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A051C">
      <w:pPr>
        <w:ind w:firstLine="480"/>
        <w:rPr>
          <w:color w:val="auto"/>
        </w:rPr>
      </w:pPr>
      <w:bookmarkStart w:id="0" w:name="_Toc259608081"/>
      <w:bookmarkStart w:id="1" w:name="_Toc89850116"/>
      <w:bookmarkStart w:id="2" w:name="_Toc89850247"/>
      <w:bookmarkStart w:id="3" w:name="_Toc89849449"/>
      <w:bookmarkStart w:id="4" w:name="_Toc97316804"/>
      <w:bookmarkStart w:id="118" w:name="_GoBack"/>
      <w:bookmarkEnd w:id="118"/>
      <w:r>
        <w:rPr>
          <w:color w:val="auto"/>
        </w:rPr>
        <w:t xml:space="preserve"> </w:t>
      </w:r>
      <w:r>
        <w:rPr>
          <w:rFonts w:eastAsia="宋体"/>
          <w:color w:val="auto"/>
        </w:rPr>
        <w:t xml:space="preserve">  </w:t>
      </w:r>
      <w:r>
        <w:rPr>
          <w:color w:val="auto"/>
        </w:rPr>
        <w:t xml:space="preserve">                           </w:t>
      </w:r>
      <w:bookmarkEnd w:id="0"/>
    </w:p>
    <w:p w14:paraId="1403BF0D">
      <w:pPr>
        <w:pStyle w:val="17"/>
        <w:spacing w:line="360" w:lineRule="auto"/>
        <w:ind w:firstLine="422"/>
        <w:rPr>
          <w:rFonts w:ascii="Times New Roman" w:hAnsi="Times New Roman" w:eastAsia="新宋体" w:cs="Times New Roman"/>
          <w:b/>
          <w:color w:val="auto"/>
          <w:spacing w:val="0"/>
          <w:sz w:val="21"/>
          <w:szCs w:val="21"/>
        </w:rPr>
      </w:pPr>
      <w:r>
        <w:rPr>
          <w:rFonts w:ascii="Times New Roman" w:hAnsi="Times New Roman" w:eastAsia="新宋体" w:cs="Times New Roman"/>
          <w:b/>
          <w:color w:val="auto"/>
          <w:spacing w:val="0"/>
          <w:sz w:val="21"/>
          <w:szCs w:val="21"/>
        </w:rPr>
        <w:t xml:space="preserve">                </w:t>
      </w:r>
    </w:p>
    <w:p w14:paraId="32ABF66F">
      <w:pPr>
        <w:spacing w:line="640" w:lineRule="exact"/>
        <w:ind w:firstLine="720"/>
        <w:jc w:val="center"/>
        <w:rPr>
          <w:color w:val="auto"/>
          <w:sz w:val="36"/>
          <w:szCs w:val="36"/>
        </w:rPr>
      </w:pPr>
    </w:p>
    <w:p w14:paraId="4403DE64">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color w:val="auto"/>
          <w:sz w:val="36"/>
          <w:szCs w:val="36"/>
          <w:lang w:eastAsia="zh-CN"/>
        </w:rPr>
      </w:pPr>
      <w:r>
        <w:rPr>
          <w:rFonts w:hint="eastAsia" w:eastAsia="宋体" w:cs="Times New Roman"/>
          <w:b/>
          <w:color w:val="auto"/>
          <w:sz w:val="36"/>
          <w:szCs w:val="36"/>
          <w:lang w:eastAsia="zh-CN"/>
        </w:rPr>
        <w:t>待补镇安康安置点帮扶车间建设项目</w:t>
      </w:r>
    </w:p>
    <w:p w14:paraId="0755B06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pacing w:val="30"/>
          <w:sz w:val="52"/>
          <w:szCs w:val="52"/>
        </w:rPr>
      </w:pPr>
      <w:bookmarkStart w:id="5" w:name="_Toc161502743"/>
      <w:bookmarkStart w:id="6" w:name="_Toc162807164"/>
      <w:r>
        <w:rPr>
          <w:rFonts w:hint="default" w:ascii="Times New Roman" w:hAnsi="Times New Roman" w:eastAsia="黑体" w:cs="Times New Roman"/>
          <w:b/>
          <w:color w:val="auto"/>
          <w:spacing w:val="30"/>
          <w:sz w:val="52"/>
          <w:szCs w:val="52"/>
        </w:rPr>
        <w:t>水土保持方案报告表</w:t>
      </w:r>
    </w:p>
    <w:p w14:paraId="11C8F74F">
      <w:pPr>
        <w:ind w:firstLine="723"/>
        <w:jc w:val="center"/>
        <w:rPr>
          <w:rFonts w:hint="default" w:ascii="Times New Roman" w:hAnsi="Times New Roman" w:eastAsia="宋体" w:cs="Times New Roman"/>
          <w:b/>
          <w:sz w:val="36"/>
          <w:szCs w:val="36"/>
        </w:rPr>
      </w:pPr>
    </w:p>
    <w:bookmarkEnd w:id="5"/>
    <w:bookmarkEnd w:id="6"/>
    <w:p w14:paraId="2A393880">
      <w:pPr>
        <w:spacing w:line="640" w:lineRule="exact"/>
        <w:ind w:firstLine="600"/>
        <w:rPr>
          <w:rFonts w:hint="default" w:ascii="Times New Roman" w:hAnsi="Times New Roman" w:cs="Times New Roman"/>
          <w:color w:val="auto"/>
          <w:sz w:val="30"/>
        </w:rPr>
      </w:pPr>
    </w:p>
    <w:p w14:paraId="44A5DE68">
      <w:pPr>
        <w:spacing w:line="640" w:lineRule="exact"/>
        <w:ind w:firstLine="600"/>
        <w:rPr>
          <w:rFonts w:hint="default" w:ascii="Times New Roman" w:hAnsi="Times New Roman" w:cs="Times New Roman"/>
          <w:color w:val="auto"/>
          <w:sz w:val="30"/>
        </w:rPr>
      </w:pPr>
    </w:p>
    <w:p w14:paraId="02ED3D0C">
      <w:pPr>
        <w:spacing w:line="640" w:lineRule="exact"/>
        <w:ind w:firstLine="600"/>
        <w:rPr>
          <w:rFonts w:hint="default" w:ascii="Times New Roman" w:hAnsi="Times New Roman" w:cs="Times New Roman"/>
          <w:color w:val="auto"/>
          <w:sz w:val="30"/>
        </w:rPr>
      </w:pPr>
    </w:p>
    <w:p w14:paraId="380FC2F5">
      <w:pPr>
        <w:spacing w:line="640" w:lineRule="exact"/>
        <w:ind w:firstLine="600"/>
        <w:rPr>
          <w:rFonts w:hint="default" w:ascii="Times New Roman" w:hAnsi="Times New Roman" w:cs="Times New Roman"/>
          <w:color w:val="auto"/>
          <w:sz w:val="30"/>
        </w:rPr>
      </w:pPr>
    </w:p>
    <w:p w14:paraId="20B7BE62">
      <w:pPr>
        <w:spacing w:line="640" w:lineRule="exact"/>
        <w:ind w:firstLine="600"/>
        <w:rPr>
          <w:rFonts w:hint="default" w:ascii="Times New Roman" w:hAnsi="Times New Roman" w:cs="Times New Roman"/>
          <w:color w:val="auto"/>
          <w:sz w:val="30"/>
        </w:rPr>
      </w:pPr>
    </w:p>
    <w:p w14:paraId="2A60E02D">
      <w:pPr>
        <w:spacing w:line="640" w:lineRule="exact"/>
        <w:ind w:firstLine="600"/>
        <w:rPr>
          <w:rFonts w:hint="default" w:ascii="Times New Roman" w:hAnsi="Times New Roman" w:cs="Times New Roman"/>
          <w:color w:val="auto"/>
          <w:sz w:val="30"/>
        </w:rPr>
      </w:pPr>
    </w:p>
    <w:p w14:paraId="377C88DD">
      <w:pPr>
        <w:spacing w:line="640" w:lineRule="exact"/>
        <w:ind w:firstLine="600"/>
        <w:rPr>
          <w:rFonts w:hint="default" w:ascii="Times New Roman" w:hAnsi="Times New Roman" w:cs="Times New Roman"/>
          <w:color w:val="auto"/>
          <w:sz w:val="30"/>
        </w:rPr>
      </w:pPr>
    </w:p>
    <w:p w14:paraId="7106C7AE">
      <w:pPr>
        <w:spacing w:line="640" w:lineRule="exact"/>
        <w:ind w:firstLine="600"/>
        <w:rPr>
          <w:rFonts w:hint="default" w:ascii="Times New Roman" w:hAnsi="Times New Roman" w:cs="Times New Roman"/>
          <w:color w:val="auto"/>
          <w:sz w:val="30"/>
        </w:rPr>
      </w:pPr>
    </w:p>
    <w:p w14:paraId="028D5A18">
      <w:pPr>
        <w:spacing w:line="640" w:lineRule="exact"/>
        <w:ind w:firstLine="600"/>
        <w:rPr>
          <w:rFonts w:hint="default" w:ascii="Times New Roman" w:hAnsi="Times New Roman" w:cs="Times New Roman"/>
          <w:color w:val="auto"/>
          <w:sz w:val="30"/>
        </w:rPr>
      </w:pPr>
    </w:p>
    <w:p w14:paraId="3384AD27">
      <w:pPr>
        <w:spacing w:line="640" w:lineRule="exact"/>
        <w:ind w:firstLine="600"/>
        <w:rPr>
          <w:rFonts w:hint="default" w:ascii="Times New Roman" w:hAnsi="Times New Roman" w:cs="Times New Roman"/>
          <w:color w:val="auto"/>
          <w:sz w:val="30"/>
        </w:rPr>
      </w:pPr>
    </w:p>
    <w:bookmarkEnd w:id="1"/>
    <w:bookmarkEnd w:id="2"/>
    <w:bookmarkEnd w:id="3"/>
    <w:bookmarkEnd w:id="4"/>
    <w:p w14:paraId="3529B655">
      <w:pPr>
        <w:keepNext w:val="0"/>
        <w:keepLines w:val="0"/>
        <w:pageBreakBefore w:val="0"/>
        <w:widowControl/>
        <w:suppressLineNumbers w:val="0"/>
        <w:kinsoku/>
        <w:wordWrap/>
        <w:overflowPunct/>
        <w:topLinePunct w:val="0"/>
        <w:autoSpaceDE/>
        <w:autoSpaceDN/>
        <w:bidi w:val="0"/>
        <w:adjustRightInd/>
        <w:snapToGrid/>
        <w:ind w:firstLine="1807" w:firstLineChars="600"/>
        <w:jc w:val="both"/>
        <w:textAlignment w:val="auto"/>
        <w:rPr>
          <w:rFonts w:hint="default" w:ascii="Times New Roman" w:hAnsi="Times New Roman" w:eastAsia="宋体" w:cs="Times New Roman"/>
          <w:b/>
          <w:color w:val="auto"/>
          <w:spacing w:val="0"/>
          <w:w w:val="100"/>
          <w:kern w:val="32"/>
          <w:sz w:val="30"/>
          <w:szCs w:val="30"/>
          <w:lang w:val="en-US" w:eastAsia="zh-CN" w:bidi="ar-SA"/>
        </w:rPr>
      </w:pPr>
      <w:r>
        <w:rPr>
          <w:rFonts w:hint="default" w:ascii="Times New Roman" w:hAnsi="Times New Roman" w:eastAsia="宋体" w:cs="Times New Roman"/>
          <w:b/>
          <w:color w:val="auto"/>
          <w:spacing w:val="0"/>
          <w:w w:val="100"/>
          <w:kern w:val="32"/>
          <w:sz w:val="30"/>
          <w:szCs w:val="30"/>
          <w:lang w:val="en-US" w:eastAsia="zh-CN" w:bidi="ar-SA"/>
        </w:rPr>
        <w:t>建设单位：</w:t>
      </w:r>
      <w:r>
        <w:rPr>
          <w:rFonts w:hint="eastAsia" w:ascii="Times New Roman" w:hAnsi="Times New Roman" w:eastAsia="宋体" w:cs="Times New Roman"/>
          <w:b/>
          <w:color w:val="auto"/>
          <w:spacing w:val="0"/>
          <w:w w:val="100"/>
          <w:kern w:val="32"/>
          <w:sz w:val="30"/>
          <w:szCs w:val="30"/>
          <w:lang w:val="en-US" w:eastAsia="zh-CN" w:bidi="ar-SA"/>
        </w:rPr>
        <w:t>会泽县待补镇人民政府</w:t>
      </w:r>
    </w:p>
    <w:p w14:paraId="412821B6">
      <w:pPr>
        <w:keepNext w:val="0"/>
        <w:keepLines w:val="0"/>
        <w:pageBreakBefore w:val="0"/>
        <w:widowControl/>
        <w:kinsoku/>
        <w:wordWrap/>
        <w:overflowPunct/>
        <w:topLinePunct w:val="0"/>
        <w:autoSpaceDE/>
        <w:autoSpaceDN/>
        <w:bidi w:val="0"/>
        <w:adjustRightInd w:val="0"/>
        <w:snapToGrid w:val="0"/>
        <w:ind w:firstLine="1807" w:firstLineChars="600"/>
        <w:jc w:val="both"/>
        <w:textAlignment w:val="auto"/>
        <w:rPr>
          <w:rFonts w:hint="default" w:ascii="Times New Roman" w:hAnsi="Times New Roman" w:eastAsia="宋体" w:cs="Times New Roman"/>
          <w:b/>
          <w:bCs w:val="0"/>
          <w:sz w:val="30"/>
          <w:szCs w:val="30"/>
          <w:lang w:eastAsia="zh-CN"/>
        </w:rPr>
      </w:pPr>
      <w:r>
        <w:rPr>
          <w:rFonts w:hint="default" w:ascii="Times New Roman" w:hAnsi="Times New Roman" w:eastAsia="宋体" w:cs="Times New Roman"/>
          <w:b/>
          <w:bCs w:val="0"/>
          <w:spacing w:val="0"/>
          <w:w w:val="100"/>
          <w:kern w:val="32"/>
          <w:sz w:val="30"/>
          <w:szCs w:val="30"/>
        </w:rPr>
        <w:t>设计单位：</w:t>
      </w:r>
      <w:r>
        <w:rPr>
          <w:rFonts w:hint="default" w:eastAsia="宋体" w:cs="Times New Roman"/>
          <w:b/>
          <w:color w:val="auto"/>
          <w:spacing w:val="0"/>
          <w:w w:val="100"/>
          <w:kern w:val="32"/>
          <w:sz w:val="30"/>
          <w:szCs w:val="30"/>
          <w:lang w:val="en-US" w:eastAsia="zh-CN" w:bidi="ar-SA"/>
        </w:rPr>
        <w:t>云南环沃工程咨询有限公司</w:t>
      </w:r>
    </w:p>
    <w:p w14:paraId="1676B7D6">
      <w:pPr>
        <w:pStyle w:val="18"/>
        <w:jc w:val="center"/>
        <w:rPr>
          <w:rFonts w:eastAsia="宋体"/>
          <w:b/>
          <w:color w:val="auto"/>
          <w:sz w:val="30"/>
          <w:szCs w:val="30"/>
        </w:rPr>
      </w:pPr>
      <w:r>
        <w:rPr>
          <w:rFonts w:hint="default" w:ascii="Times New Roman" w:hAnsi="Times New Roman" w:eastAsia="宋体" w:cs="Times New Roman"/>
          <w:b/>
          <w:bCs w:val="0"/>
          <w:spacing w:val="0"/>
          <w:w w:val="100"/>
          <w:kern w:val="32"/>
          <w:sz w:val="30"/>
          <w:szCs w:val="30"/>
        </w:rPr>
        <w:t>二〇二</w:t>
      </w:r>
      <w:r>
        <w:rPr>
          <w:rFonts w:hint="default" w:ascii="Times New Roman" w:hAnsi="Times New Roman" w:eastAsia="宋体" w:cs="Times New Roman"/>
          <w:b/>
          <w:bCs w:val="0"/>
          <w:spacing w:val="0"/>
          <w:w w:val="100"/>
          <w:kern w:val="32"/>
          <w:sz w:val="30"/>
          <w:szCs w:val="30"/>
          <w:lang w:val="en-US" w:eastAsia="zh-CN"/>
        </w:rPr>
        <w:t>四</w:t>
      </w:r>
      <w:r>
        <w:rPr>
          <w:rFonts w:hint="default" w:ascii="Times New Roman" w:hAnsi="Times New Roman" w:eastAsia="宋体" w:cs="Times New Roman"/>
          <w:b/>
          <w:bCs w:val="0"/>
          <w:spacing w:val="0"/>
          <w:w w:val="100"/>
          <w:kern w:val="32"/>
          <w:sz w:val="30"/>
          <w:szCs w:val="30"/>
        </w:rPr>
        <w:t>年</w:t>
      </w:r>
      <w:r>
        <w:rPr>
          <w:rFonts w:hint="eastAsia" w:eastAsia="宋体" w:cs="Times New Roman"/>
          <w:b/>
          <w:bCs w:val="0"/>
          <w:spacing w:val="0"/>
          <w:w w:val="100"/>
          <w:kern w:val="32"/>
          <w:sz w:val="30"/>
          <w:szCs w:val="30"/>
          <w:lang w:val="en-US" w:eastAsia="zh-CN"/>
        </w:rPr>
        <w:t>八</w:t>
      </w:r>
      <w:r>
        <w:rPr>
          <w:rFonts w:hint="default" w:ascii="Times New Roman" w:hAnsi="Times New Roman" w:eastAsia="宋体" w:cs="Times New Roman"/>
          <w:b/>
          <w:bCs w:val="0"/>
          <w:spacing w:val="0"/>
          <w:w w:val="100"/>
          <w:kern w:val="32"/>
          <w:sz w:val="30"/>
          <w:szCs w:val="30"/>
        </w:rPr>
        <w:t>月</w:t>
      </w:r>
    </w:p>
    <w:p w14:paraId="0B289156">
      <w:pPr>
        <w:pStyle w:val="18"/>
        <w:rPr>
          <w:rFonts w:ascii="Times New Roman" w:hAnsi="Times New Roman" w:eastAsia="宋体" w:cs="Times New Roman"/>
          <w:b/>
          <w:color w:val="auto"/>
          <w:sz w:val="30"/>
          <w:szCs w:val="30"/>
        </w:rPr>
      </w:pPr>
    </w:p>
    <w:p w14:paraId="0BC21702">
      <w:pPr>
        <w:pStyle w:val="18"/>
        <w:rPr>
          <w:rFonts w:hint="default" w:ascii="Times New Roman" w:hAnsi="Times New Roman" w:eastAsia="宋体" w:cs="Times New Roman"/>
          <w:b/>
          <w:color w:val="auto"/>
          <w:sz w:val="30"/>
          <w:szCs w:val="30"/>
        </w:rPr>
      </w:pPr>
    </w:p>
    <w:p w14:paraId="72474228">
      <w:pPr>
        <w:pStyle w:val="18"/>
        <w:rPr>
          <w:rFonts w:hint="default" w:ascii="Times New Roman" w:hAnsi="Times New Roman" w:eastAsia="宋体" w:cs="Times New Roman"/>
          <w:b/>
          <w:color w:val="auto"/>
          <w:sz w:val="30"/>
          <w:szCs w:val="30"/>
        </w:rPr>
      </w:pPr>
    </w:p>
    <w:p w14:paraId="2DACE838">
      <w:pPr>
        <w:keepNext w:val="0"/>
        <w:keepLines w:val="0"/>
        <w:pageBreakBefore w:val="0"/>
        <w:widowControl/>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spacing w:val="0"/>
          <w:w w:val="100"/>
          <w:kern w:val="32"/>
          <w:sz w:val="32"/>
          <w:szCs w:val="32"/>
        </w:rPr>
      </w:pPr>
    </w:p>
    <w:p w14:paraId="5BAB50CE">
      <w:pPr>
        <w:ind w:firstLine="3915" w:firstLineChars="1300"/>
        <w:rPr>
          <w:rFonts w:hint="default" w:ascii="Times New Roman" w:hAnsi="Times New Roman" w:eastAsia="宋体" w:cs="Times New Roman"/>
          <w:b/>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134" w:right="1418" w:bottom="1134" w:left="1134" w:header="851" w:footer="992" w:gutter="0"/>
          <w:pgBorders>
            <w:top w:val="none" w:sz="0" w:space="0"/>
            <w:left w:val="none" w:sz="0" w:space="0"/>
            <w:bottom w:val="none" w:sz="0" w:space="0"/>
            <w:right w:val="none" w:sz="0" w:space="0"/>
          </w:pgBorders>
          <w:cols w:space="425" w:num="1"/>
          <w:docGrid w:type="lines" w:linePitch="312" w:charSpace="0"/>
        </w:sectPr>
      </w:pPr>
    </w:p>
    <w:p w14:paraId="2EB8FC1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color w:val="auto"/>
          <w:sz w:val="36"/>
          <w:szCs w:val="36"/>
          <w:lang w:eastAsia="zh-CN"/>
        </w:rPr>
      </w:pPr>
      <w:r>
        <w:rPr>
          <w:rFonts w:hint="eastAsia" w:eastAsia="宋体" w:cs="Times New Roman"/>
          <w:b/>
          <w:color w:val="auto"/>
          <w:sz w:val="36"/>
          <w:szCs w:val="36"/>
          <w:lang w:eastAsia="zh-CN"/>
        </w:rPr>
        <w:t>待补镇安康安置点帮扶车间建设项目</w:t>
      </w:r>
    </w:p>
    <w:p w14:paraId="758F7B60">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z w:val="52"/>
          <w:szCs w:val="52"/>
          <w:lang w:eastAsia="zh-CN"/>
        </w:rPr>
      </w:pPr>
      <w:r>
        <w:rPr>
          <w:rFonts w:hint="default" w:ascii="Times New Roman" w:hAnsi="Times New Roman" w:eastAsia="黑体" w:cs="Times New Roman"/>
          <w:b/>
          <w:color w:val="auto"/>
          <w:spacing w:val="30"/>
          <w:sz w:val="52"/>
          <w:szCs w:val="52"/>
        </w:rPr>
        <w:t>水土保持方案报告</w:t>
      </w:r>
      <w:r>
        <w:rPr>
          <w:rFonts w:hint="default" w:ascii="Times New Roman" w:hAnsi="Times New Roman" w:eastAsia="黑体" w:cs="Times New Roman"/>
          <w:b/>
          <w:color w:val="auto"/>
          <w:spacing w:val="30"/>
          <w:sz w:val="52"/>
          <w:szCs w:val="52"/>
          <w:lang w:val="en-US" w:eastAsia="zh-CN"/>
        </w:rPr>
        <w:t>表</w:t>
      </w:r>
    </w:p>
    <w:p w14:paraId="5D3D2D4B">
      <w:pPr>
        <w:widowControl/>
        <w:ind w:firstLine="0" w:firstLineChars="0"/>
        <w:jc w:val="center"/>
        <w:rPr>
          <w:rFonts w:hint="default" w:ascii="Times New Roman" w:hAnsi="Times New Roman" w:eastAsia="宋体" w:cs="Times New Roman"/>
          <w:b/>
          <w:bCs/>
          <w:color w:val="auto"/>
          <w:kern w:val="0"/>
          <w:sz w:val="32"/>
          <w:szCs w:val="32"/>
          <w:lang w:val="en-US" w:eastAsia="zh-CN" w:bidi="ar"/>
        </w:rPr>
      </w:pPr>
      <w:r>
        <w:rPr>
          <w:rFonts w:hint="default" w:ascii="Times New Roman" w:hAnsi="Times New Roman" w:eastAsia="宋体" w:cs="Times New Roman"/>
          <w:b/>
          <w:bCs/>
          <w:color w:val="auto"/>
          <w:kern w:val="0"/>
          <w:sz w:val="32"/>
          <w:szCs w:val="32"/>
          <w:lang w:val="en-US" w:eastAsia="zh-CN" w:bidi="ar"/>
        </w:rPr>
        <w:t>责任页</w:t>
      </w:r>
    </w:p>
    <w:p w14:paraId="016B8F3B">
      <w:pPr>
        <w:widowControl/>
        <w:ind w:firstLine="0" w:firstLineChars="0"/>
        <w:jc w:val="center"/>
        <w:rPr>
          <w:rFonts w:hint="default" w:ascii="Times New Roman" w:hAnsi="Times New Roman" w:eastAsia="宋体" w:cs="Times New Roman"/>
          <w:b/>
          <w:bCs/>
          <w:color w:val="auto"/>
          <w:kern w:val="0"/>
          <w:sz w:val="32"/>
          <w:szCs w:val="32"/>
          <w:lang w:val="en-US" w:eastAsia="zh-CN" w:bidi="ar"/>
        </w:rPr>
      </w:pPr>
      <w:r>
        <w:rPr>
          <w:rFonts w:hint="default" w:ascii="Times New Roman" w:hAnsi="Times New Roman" w:eastAsia="宋体" w:cs="Times New Roman"/>
          <w:b/>
          <w:bCs/>
          <w:color w:val="auto"/>
          <w:kern w:val="0"/>
          <w:sz w:val="32"/>
          <w:szCs w:val="32"/>
          <w:lang w:val="en-US" w:eastAsia="zh-CN" w:bidi="ar"/>
        </w:rPr>
        <w:t>（云南环沃工程咨询有限公司）</w:t>
      </w:r>
    </w:p>
    <w:tbl>
      <w:tblPr>
        <w:tblStyle w:val="27"/>
        <w:tblW w:w="8897" w:type="dxa"/>
        <w:jc w:val="center"/>
        <w:tblLayout w:type="fixed"/>
        <w:tblCellMar>
          <w:top w:w="0" w:type="dxa"/>
          <w:left w:w="108" w:type="dxa"/>
          <w:bottom w:w="0" w:type="dxa"/>
          <w:right w:w="108" w:type="dxa"/>
        </w:tblCellMar>
      </w:tblPr>
      <w:tblGrid>
        <w:gridCol w:w="1806"/>
        <w:gridCol w:w="1273"/>
        <w:gridCol w:w="1415"/>
        <w:gridCol w:w="2342"/>
        <w:gridCol w:w="2061"/>
      </w:tblGrid>
      <w:tr w14:paraId="277F230A">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0A5206BB">
            <w:pPr>
              <w:spacing w:line="240" w:lineRule="auto"/>
              <w:ind w:firstLine="0" w:firstLineChars="0"/>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批      准：</w:t>
            </w:r>
          </w:p>
        </w:tc>
        <w:tc>
          <w:tcPr>
            <w:tcW w:w="1273" w:type="dxa"/>
            <w:shd w:val="clear" w:color="auto" w:fill="auto"/>
            <w:vAlign w:val="center"/>
          </w:tcPr>
          <w:p w14:paraId="32A1CBE3">
            <w:pPr>
              <w:spacing w:line="240" w:lineRule="auto"/>
              <w:ind w:firstLine="0" w:firstLineChars="0"/>
              <w:jc w:val="center"/>
              <w:rPr>
                <w:rFonts w:hint="default" w:ascii="Times New Roman" w:hAnsi="Times New Roman" w:eastAsia="宋体" w:cs="Times New Roman"/>
                <w:b/>
                <w:bCs/>
                <w:color w:val="auto"/>
                <w:sz w:val="28"/>
                <w:lang w:eastAsia="zh-CN"/>
              </w:rPr>
            </w:pPr>
            <w:r>
              <w:rPr>
                <w:rFonts w:hint="default" w:ascii="Times New Roman" w:hAnsi="Times New Roman" w:eastAsia="宋体" w:cs="Times New Roman"/>
                <w:b/>
                <w:bCs/>
                <w:color w:val="auto"/>
                <w:sz w:val="28"/>
                <w:lang w:val="en-US" w:eastAsia="zh-CN"/>
              </w:rPr>
              <w:t>高顺全</w:t>
            </w:r>
          </w:p>
        </w:tc>
        <w:tc>
          <w:tcPr>
            <w:tcW w:w="1415" w:type="dxa"/>
            <w:shd w:val="clear" w:color="auto" w:fill="auto"/>
            <w:vAlign w:val="center"/>
          </w:tcPr>
          <w:p w14:paraId="4BE64A90">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总经理</w:t>
            </w:r>
          </w:p>
        </w:tc>
        <w:tc>
          <w:tcPr>
            <w:tcW w:w="2342" w:type="dxa"/>
            <w:shd w:val="clear" w:color="auto" w:fill="auto"/>
            <w:vAlign w:val="center"/>
          </w:tcPr>
          <w:p w14:paraId="7E76656B">
            <w:pPr>
              <w:spacing w:line="240" w:lineRule="auto"/>
              <w:ind w:firstLine="0" w:firstLineChars="0"/>
              <w:jc w:val="center"/>
              <w:rPr>
                <w:rFonts w:hint="default" w:ascii="Times New Roman" w:hAnsi="Times New Roman" w:eastAsia="宋体" w:cs="Times New Roman"/>
                <w:b/>
                <w:bCs/>
                <w:color w:val="auto"/>
                <w:sz w:val="28"/>
              </w:rPr>
            </w:pPr>
            <w:r>
              <w:rPr>
                <w:rFonts w:hint="eastAsia" w:ascii="Times New Roman" w:hAnsi="Times New Roman" w:eastAsia="宋体" w:cs="Times New Roman"/>
                <w:b/>
                <w:bCs/>
                <w:color w:val="auto"/>
                <w:sz w:val="28"/>
                <w:lang w:eastAsia="zh-CN"/>
              </w:rPr>
              <w:drawing>
                <wp:inline distT="0" distB="0" distL="114300" distR="114300">
                  <wp:extent cx="1158875" cy="435610"/>
                  <wp:effectExtent l="0" t="0" r="9525" b="8890"/>
                  <wp:docPr id="4" name="图片 4"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件_贝工贝_00"/>
                          <pic:cNvPicPr>
                            <a:picLocks noChangeAspect="1"/>
                          </pic:cNvPicPr>
                        </pic:nvPicPr>
                        <pic:blipFill>
                          <a:blip r:embed="rId28"/>
                          <a:srcRect l="56916" t="13820" r="17880" b="79845"/>
                          <a:stretch>
                            <a:fillRect/>
                          </a:stretch>
                        </pic:blipFill>
                        <pic:spPr>
                          <a:xfrm>
                            <a:off x="0" y="0"/>
                            <a:ext cx="1158875" cy="435610"/>
                          </a:xfrm>
                          <a:prstGeom prst="rect">
                            <a:avLst/>
                          </a:prstGeom>
                        </pic:spPr>
                      </pic:pic>
                    </a:graphicData>
                  </a:graphic>
                </wp:inline>
              </w:drawing>
            </w:r>
          </w:p>
        </w:tc>
        <w:tc>
          <w:tcPr>
            <w:tcW w:w="2061" w:type="dxa"/>
            <w:shd w:val="clear" w:color="auto" w:fill="auto"/>
            <w:vAlign w:val="center"/>
          </w:tcPr>
          <w:p w14:paraId="4633C567">
            <w:pPr>
              <w:spacing w:line="240" w:lineRule="auto"/>
              <w:ind w:firstLine="0" w:firstLineChars="0"/>
              <w:jc w:val="center"/>
              <w:rPr>
                <w:rFonts w:hint="default" w:ascii="Times New Roman" w:hAnsi="Times New Roman" w:eastAsia="宋体" w:cs="Times New Roman"/>
                <w:color w:val="auto"/>
                <w:sz w:val="28"/>
              </w:rPr>
            </w:pPr>
          </w:p>
        </w:tc>
      </w:tr>
      <w:tr w14:paraId="0B4A328B">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747FED3A">
            <w:pPr>
              <w:spacing w:line="240" w:lineRule="auto"/>
              <w:ind w:firstLine="0" w:firstLineChars="0"/>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核      定：</w:t>
            </w:r>
          </w:p>
        </w:tc>
        <w:tc>
          <w:tcPr>
            <w:tcW w:w="1273" w:type="dxa"/>
            <w:shd w:val="clear" w:color="auto" w:fill="auto"/>
            <w:vAlign w:val="center"/>
          </w:tcPr>
          <w:p w14:paraId="4977747F">
            <w:pPr>
              <w:spacing w:line="240" w:lineRule="auto"/>
              <w:ind w:firstLine="0" w:firstLineChars="0"/>
              <w:jc w:val="center"/>
              <w:rPr>
                <w:rFonts w:hint="default" w:ascii="Times New Roman" w:hAnsi="Times New Roman" w:eastAsia="宋体" w:cs="Times New Roman"/>
                <w:b/>
                <w:bCs/>
                <w:color w:val="auto"/>
                <w:sz w:val="28"/>
                <w:lang w:val="en-US" w:eastAsia="zh-CN"/>
              </w:rPr>
            </w:pPr>
            <w:r>
              <w:rPr>
                <w:rFonts w:hint="default" w:ascii="Times New Roman" w:hAnsi="Times New Roman" w:eastAsia="宋体" w:cs="Times New Roman"/>
                <w:b/>
                <w:bCs/>
                <w:color w:val="auto"/>
                <w:sz w:val="28"/>
                <w:lang w:val="en-US" w:eastAsia="zh-CN"/>
              </w:rPr>
              <w:t>沈聪</w:t>
            </w:r>
          </w:p>
        </w:tc>
        <w:tc>
          <w:tcPr>
            <w:tcW w:w="1415" w:type="dxa"/>
            <w:shd w:val="clear" w:color="auto" w:fill="auto"/>
            <w:vAlign w:val="center"/>
          </w:tcPr>
          <w:p w14:paraId="532D60C1">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工程师</w:t>
            </w:r>
          </w:p>
        </w:tc>
        <w:tc>
          <w:tcPr>
            <w:tcW w:w="2342" w:type="dxa"/>
            <w:shd w:val="clear" w:color="auto" w:fill="auto"/>
            <w:vAlign w:val="center"/>
          </w:tcPr>
          <w:p w14:paraId="5F8599F4">
            <w:pPr>
              <w:spacing w:line="240" w:lineRule="auto"/>
              <w:ind w:firstLine="0" w:firstLineChars="0"/>
              <w:jc w:val="center"/>
              <w:rPr>
                <w:rFonts w:hint="default" w:ascii="Times New Roman" w:hAnsi="Times New Roman" w:eastAsia="宋体" w:cs="Times New Roman"/>
                <w:b/>
                <w:bCs/>
                <w:color w:val="auto"/>
                <w:sz w:val="28"/>
              </w:rPr>
            </w:pPr>
            <w:r>
              <w:rPr>
                <w:rFonts w:hint="eastAsia" w:ascii="Times New Roman" w:hAnsi="Times New Roman" w:eastAsia="宋体" w:cs="Times New Roman"/>
                <w:b/>
                <w:bCs/>
                <w:color w:val="auto"/>
                <w:sz w:val="28"/>
                <w:lang w:eastAsia="zh-CN"/>
              </w:rPr>
              <w:drawing>
                <wp:inline distT="0" distB="0" distL="114300" distR="114300">
                  <wp:extent cx="847725" cy="464185"/>
                  <wp:effectExtent l="0" t="0" r="3175" b="5715"/>
                  <wp:docPr id="5" name="图片 5"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件_贝工贝_00"/>
                          <pic:cNvPicPr>
                            <a:picLocks noChangeAspect="1"/>
                          </pic:cNvPicPr>
                        </pic:nvPicPr>
                        <pic:blipFill>
                          <a:blip r:embed="rId29"/>
                          <a:srcRect l="54514" t="21476" r="28177" b="71814"/>
                          <a:stretch>
                            <a:fillRect/>
                          </a:stretch>
                        </pic:blipFill>
                        <pic:spPr>
                          <a:xfrm>
                            <a:off x="0" y="0"/>
                            <a:ext cx="847725" cy="464185"/>
                          </a:xfrm>
                          <a:prstGeom prst="rect">
                            <a:avLst/>
                          </a:prstGeom>
                        </pic:spPr>
                      </pic:pic>
                    </a:graphicData>
                  </a:graphic>
                </wp:inline>
              </w:drawing>
            </w:r>
          </w:p>
        </w:tc>
        <w:tc>
          <w:tcPr>
            <w:tcW w:w="2061" w:type="dxa"/>
            <w:shd w:val="clear" w:color="auto" w:fill="auto"/>
            <w:vAlign w:val="center"/>
          </w:tcPr>
          <w:p w14:paraId="6C8D52B9">
            <w:pPr>
              <w:widowControl/>
              <w:adjustRightInd/>
              <w:snapToGrid/>
              <w:spacing w:line="240" w:lineRule="auto"/>
              <w:ind w:firstLine="0" w:firstLineChars="0"/>
              <w:jc w:val="center"/>
              <w:rPr>
                <w:rFonts w:hint="default" w:ascii="Times New Roman" w:hAnsi="Times New Roman" w:eastAsia="宋体" w:cs="Times New Roman"/>
                <w:color w:val="auto"/>
                <w:kern w:val="0"/>
              </w:rPr>
            </w:pPr>
          </w:p>
        </w:tc>
      </w:tr>
      <w:tr w14:paraId="315DAEFC">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7D26A367">
            <w:pPr>
              <w:spacing w:line="240" w:lineRule="auto"/>
              <w:ind w:firstLine="0" w:firstLineChars="0"/>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审      查：</w:t>
            </w:r>
          </w:p>
        </w:tc>
        <w:tc>
          <w:tcPr>
            <w:tcW w:w="1273" w:type="dxa"/>
            <w:shd w:val="clear" w:color="auto" w:fill="auto"/>
            <w:vAlign w:val="center"/>
          </w:tcPr>
          <w:p w14:paraId="42A3846C">
            <w:pPr>
              <w:spacing w:line="240" w:lineRule="auto"/>
              <w:ind w:firstLine="0" w:firstLineChars="0"/>
              <w:jc w:val="center"/>
              <w:rPr>
                <w:rFonts w:hint="default" w:ascii="Times New Roman" w:hAnsi="Times New Roman" w:eastAsia="宋体" w:cs="Times New Roman"/>
                <w:b/>
                <w:bCs/>
                <w:color w:val="auto"/>
                <w:sz w:val="28"/>
                <w:lang w:val="en-US" w:eastAsia="zh-CN"/>
              </w:rPr>
            </w:pPr>
            <w:r>
              <w:rPr>
                <w:rFonts w:hint="default" w:ascii="Times New Roman" w:hAnsi="Times New Roman" w:eastAsia="宋体" w:cs="Times New Roman"/>
                <w:b/>
                <w:bCs/>
                <w:color w:val="auto"/>
                <w:sz w:val="28"/>
                <w:lang w:val="en-US" w:eastAsia="zh-CN"/>
              </w:rPr>
              <w:t>喻显媚</w:t>
            </w:r>
          </w:p>
        </w:tc>
        <w:tc>
          <w:tcPr>
            <w:tcW w:w="1415" w:type="dxa"/>
            <w:shd w:val="clear" w:color="auto" w:fill="auto"/>
            <w:vAlign w:val="center"/>
          </w:tcPr>
          <w:p w14:paraId="3F622899">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工程师</w:t>
            </w:r>
          </w:p>
        </w:tc>
        <w:tc>
          <w:tcPr>
            <w:tcW w:w="2342" w:type="dxa"/>
            <w:shd w:val="clear" w:color="auto" w:fill="auto"/>
            <w:vAlign w:val="center"/>
          </w:tcPr>
          <w:p w14:paraId="4F80C288">
            <w:pPr>
              <w:spacing w:line="240" w:lineRule="auto"/>
              <w:ind w:firstLine="0" w:firstLineChars="0"/>
              <w:jc w:val="center"/>
              <w:rPr>
                <w:rFonts w:hint="default" w:ascii="Times New Roman" w:hAnsi="Times New Roman" w:eastAsia="宋体" w:cs="Times New Roman"/>
                <w:b/>
                <w:bCs/>
                <w:color w:val="auto"/>
                <w:sz w:val="28"/>
              </w:rPr>
            </w:pPr>
            <w:r>
              <w:rPr>
                <w:rFonts w:hint="eastAsia" w:ascii="Times New Roman" w:hAnsi="Times New Roman" w:eastAsia="宋体" w:cs="Times New Roman"/>
                <w:b/>
                <w:bCs/>
                <w:color w:val="auto"/>
                <w:sz w:val="28"/>
                <w:lang w:eastAsia="zh-CN"/>
              </w:rPr>
              <w:drawing>
                <wp:inline distT="0" distB="0" distL="114300" distR="114300">
                  <wp:extent cx="916305" cy="480695"/>
                  <wp:effectExtent l="0" t="0" r="10795" b="1905"/>
                  <wp:docPr id="6" name="图片 6"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件_贝工贝_00"/>
                          <pic:cNvPicPr>
                            <a:picLocks noChangeAspect="1"/>
                          </pic:cNvPicPr>
                        </pic:nvPicPr>
                        <pic:blipFill>
                          <a:blip r:embed="rId30"/>
                          <a:srcRect l="55545" t="28557" r="21236" b="62826"/>
                          <a:stretch>
                            <a:fillRect/>
                          </a:stretch>
                        </pic:blipFill>
                        <pic:spPr>
                          <a:xfrm>
                            <a:off x="0" y="0"/>
                            <a:ext cx="916305" cy="480695"/>
                          </a:xfrm>
                          <a:prstGeom prst="rect">
                            <a:avLst/>
                          </a:prstGeom>
                        </pic:spPr>
                      </pic:pic>
                    </a:graphicData>
                  </a:graphic>
                </wp:inline>
              </w:drawing>
            </w:r>
          </w:p>
        </w:tc>
        <w:tc>
          <w:tcPr>
            <w:tcW w:w="2061" w:type="dxa"/>
            <w:shd w:val="clear" w:color="auto" w:fill="auto"/>
            <w:vAlign w:val="center"/>
          </w:tcPr>
          <w:p w14:paraId="2FA2D6EC">
            <w:pPr>
              <w:spacing w:line="240" w:lineRule="auto"/>
              <w:ind w:firstLine="0" w:firstLineChars="0"/>
              <w:jc w:val="center"/>
              <w:rPr>
                <w:rFonts w:hint="default" w:ascii="Times New Roman" w:hAnsi="Times New Roman" w:eastAsia="宋体" w:cs="Times New Roman"/>
                <w:color w:val="auto"/>
                <w:sz w:val="28"/>
              </w:rPr>
            </w:pPr>
          </w:p>
        </w:tc>
      </w:tr>
      <w:tr w14:paraId="50C26C65">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4A049A0F">
            <w:pPr>
              <w:spacing w:line="240" w:lineRule="auto"/>
              <w:ind w:firstLine="0" w:firstLineChars="0"/>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校      核：</w:t>
            </w:r>
          </w:p>
        </w:tc>
        <w:tc>
          <w:tcPr>
            <w:tcW w:w="1273" w:type="dxa"/>
            <w:shd w:val="clear" w:color="auto" w:fill="auto"/>
            <w:vAlign w:val="center"/>
          </w:tcPr>
          <w:p w14:paraId="7343174D">
            <w:pPr>
              <w:spacing w:line="240" w:lineRule="auto"/>
              <w:ind w:firstLine="0" w:firstLineChars="0"/>
              <w:jc w:val="center"/>
              <w:rPr>
                <w:rFonts w:hint="default" w:ascii="Times New Roman" w:hAnsi="Times New Roman" w:eastAsia="宋体" w:cs="Times New Roman"/>
                <w:b/>
                <w:bCs/>
                <w:color w:val="auto"/>
                <w:sz w:val="28"/>
                <w:lang w:val="en-US" w:eastAsia="zh-CN"/>
              </w:rPr>
            </w:pPr>
            <w:r>
              <w:rPr>
                <w:rFonts w:hint="default" w:ascii="Times New Roman" w:hAnsi="Times New Roman" w:eastAsia="宋体" w:cs="Times New Roman"/>
                <w:b/>
                <w:bCs/>
                <w:color w:val="auto"/>
                <w:sz w:val="28"/>
                <w:lang w:val="en-US" w:eastAsia="zh-CN"/>
              </w:rPr>
              <w:t>曹雪芹</w:t>
            </w:r>
          </w:p>
        </w:tc>
        <w:tc>
          <w:tcPr>
            <w:tcW w:w="1415" w:type="dxa"/>
            <w:shd w:val="clear" w:color="auto" w:fill="auto"/>
            <w:vAlign w:val="center"/>
          </w:tcPr>
          <w:p w14:paraId="102F62D6">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工程师</w:t>
            </w:r>
          </w:p>
        </w:tc>
        <w:tc>
          <w:tcPr>
            <w:tcW w:w="2342" w:type="dxa"/>
            <w:shd w:val="clear" w:color="auto" w:fill="auto"/>
            <w:vAlign w:val="center"/>
          </w:tcPr>
          <w:p w14:paraId="38172644">
            <w:pPr>
              <w:spacing w:line="240" w:lineRule="auto"/>
              <w:ind w:firstLine="0" w:firstLineChars="0"/>
              <w:jc w:val="center"/>
              <w:rPr>
                <w:rFonts w:hint="default" w:ascii="Times New Roman" w:hAnsi="Times New Roman" w:eastAsia="宋体" w:cs="Times New Roman"/>
                <w:b/>
                <w:bCs/>
                <w:color w:val="auto"/>
                <w:sz w:val="28"/>
              </w:rPr>
            </w:pPr>
            <w:r>
              <w:rPr>
                <w:rFonts w:hint="eastAsia" w:ascii="Times New Roman" w:hAnsi="Times New Roman" w:eastAsia="宋体" w:cs="Times New Roman"/>
                <w:b/>
                <w:bCs/>
                <w:color w:val="auto"/>
                <w:sz w:val="28"/>
                <w:lang w:eastAsia="zh-CN"/>
              </w:rPr>
              <w:drawing>
                <wp:inline distT="0" distB="0" distL="114300" distR="114300">
                  <wp:extent cx="954405" cy="497840"/>
                  <wp:effectExtent l="0" t="0" r="10795" b="10160"/>
                  <wp:docPr id="14" name="图片 14"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件_贝工贝_00"/>
                          <pic:cNvPicPr>
                            <a:picLocks noChangeAspect="1"/>
                          </pic:cNvPicPr>
                        </pic:nvPicPr>
                        <pic:blipFill>
                          <a:blip r:embed="rId31"/>
                          <a:srcRect l="55262" t="37108" r="24917" b="55578"/>
                          <a:stretch>
                            <a:fillRect/>
                          </a:stretch>
                        </pic:blipFill>
                        <pic:spPr>
                          <a:xfrm>
                            <a:off x="0" y="0"/>
                            <a:ext cx="954405" cy="497840"/>
                          </a:xfrm>
                          <a:prstGeom prst="rect">
                            <a:avLst/>
                          </a:prstGeom>
                        </pic:spPr>
                      </pic:pic>
                    </a:graphicData>
                  </a:graphic>
                </wp:inline>
              </w:drawing>
            </w:r>
          </w:p>
        </w:tc>
        <w:tc>
          <w:tcPr>
            <w:tcW w:w="2061" w:type="dxa"/>
            <w:shd w:val="clear" w:color="auto" w:fill="auto"/>
            <w:vAlign w:val="center"/>
          </w:tcPr>
          <w:p w14:paraId="3C745895">
            <w:pPr>
              <w:spacing w:line="240" w:lineRule="auto"/>
              <w:ind w:firstLine="0" w:firstLineChars="0"/>
              <w:jc w:val="center"/>
              <w:rPr>
                <w:rFonts w:hint="default" w:ascii="Times New Roman" w:hAnsi="Times New Roman" w:eastAsia="宋体" w:cs="Times New Roman"/>
                <w:color w:val="auto"/>
                <w:sz w:val="28"/>
              </w:rPr>
            </w:pPr>
          </w:p>
        </w:tc>
      </w:tr>
      <w:tr w14:paraId="1777F56A">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72050EA3">
            <w:pPr>
              <w:spacing w:line="240" w:lineRule="auto"/>
              <w:ind w:firstLine="0" w:firstLineChars="0"/>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项目负责人：</w:t>
            </w:r>
          </w:p>
        </w:tc>
        <w:tc>
          <w:tcPr>
            <w:tcW w:w="1273" w:type="dxa"/>
            <w:shd w:val="clear" w:color="auto" w:fill="auto"/>
            <w:vAlign w:val="center"/>
          </w:tcPr>
          <w:p w14:paraId="5D12DABC">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lang w:val="en-US" w:eastAsia="zh-CN"/>
              </w:rPr>
              <w:t>高顺全</w:t>
            </w:r>
          </w:p>
        </w:tc>
        <w:tc>
          <w:tcPr>
            <w:tcW w:w="1415" w:type="dxa"/>
            <w:shd w:val="clear" w:color="auto" w:fill="auto"/>
            <w:vAlign w:val="center"/>
          </w:tcPr>
          <w:p w14:paraId="0023790C">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工程师</w:t>
            </w:r>
          </w:p>
        </w:tc>
        <w:tc>
          <w:tcPr>
            <w:tcW w:w="2342" w:type="dxa"/>
            <w:shd w:val="clear" w:color="auto" w:fill="auto"/>
            <w:vAlign w:val="center"/>
          </w:tcPr>
          <w:p w14:paraId="2BAAFA54">
            <w:pPr>
              <w:spacing w:line="240" w:lineRule="auto"/>
              <w:ind w:firstLine="0" w:firstLineChars="0"/>
              <w:jc w:val="center"/>
              <w:rPr>
                <w:rFonts w:hint="default" w:ascii="Times New Roman" w:hAnsi="Times New Roman" w:eastAsia="宋体" w:cs="Times New Roman"/>
                <w:b/>
                <w:bCs/>
                <w:color w:val="auto"/>
                <w:sz w:val="28"/>
              </w:rPr>
            </w:pPr>
            <w:r>
              <w:rPr>
                <w:rFonts w:hint="eastAsia" w:ascii="Times New Roman" w:hAnsi="Times New Roman" w:eastAsia="宋体" w:cs="Times New Roman"/>
                <w:b/>
                <w:bCs/>
                <w:color w:val="auto"/>
                <w:sz w:val="28"/>
                <w:lang w:eastAsia="zh-CN"/>
              </w:rPr>
              <w:drawing>
                <wp:inline distT="0" distB="0" distL="114300" distR="114300">
                  <wp:extent cx="923290" cy="479425"/>
                  <wp:effectExtent l="0" t="0" r="3810" b="3175"/>
                  <wp:docPr id="17" name="图片 17"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件_贝工贝_00"/>
                          <pic:cNvPicPr>
                            <a:picLocks noChangeAspect="1"/>
                          </pic:cNvPicPr>
                        </pic:nvPicPr>
                        <pic:blipFill>
                          <a:blip r:embed="rId32"/>
                          <a:srcRect l="54176" t="43487" r="18641" b="46526"/>
                          <a:stretch>
                            <a:fillRect/>
                          </a:stretch>
                        </pic:blipFill>
                        <pic:spPr>
                          <a:xfrm>
                            <a:off x="0" y="0"/>
                            <a:ext cx="923290" cy="479425"/>
                          </a:xfrm>
                          <a:prstGeom prst="rect">
                            <a:avLst/>
                          </a:prstGeom>
                        </pic:spPr>
                      </pic:pic>
                    </a:graphicData>
                  </a:graphic>
                </wp:inline>
              </w:drawing>
            </w:r>
          </w:p>
        </w:tc>
        <w:tc>
          <w:tcPr>
            <w:tcW w:w="2061" w:type="dxa"/>
            <w:shd w:val="clear" w:color="auto" w:fill="auto"/>
            <w:vAlign w:val="center"/>
          </w:tcPr>
          <w:p w14:paraId="310E2128">
            <w:pPr>
              <w:spacing w:line="240" w:lineRule="auto"/>
              <w:ind w:firstLine="0" w:firstLineChars="0"/>
              <w:jc w:val="center"/>
              <w:rPr>
                <w:rFonts w:hint="default" w:ascii="Times New Roman" w:hAnsi="Times New Roman" w:eastAsia="宋体" w:cs="Times New Roman"/>
                <w:color w:val="auto"/>
                <w:sz w:val="28"/>
              </w:rPr>
            </w:pPr>
          </w:p>
        </w:tc>
      </w:tr>
      <w:tr w14:paraId="4E8362A5">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5C52E44E">
            <w:pPr>
              <w:spacing w:line="240" w:lineRule="auto"/>
              <w:ind w:firstLine="0" w:firstLineChars="0"/>
              <w:jc w:val="center"/>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编      写：</w:t>
            </w:r>
          </w:p>
        </w:tc>
        <w:tc>
          <w:tcPr>
            <w:tcW w:w="1273" w:type="dxa"/>
            <w:shd w:val="clear" w:color="auto" w:fill="auto"/>
            <w:vAlign w:val="center"/>
          </w:tcPr>
          <w:p w14:paraId="7BFCF162">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lang w:val="en-US" w:eastAsia="zh-CN"/>
              </w:rPr>
              <w:t>高顺全</w:t>
            </w:r>
          </w:p>
        </w:tc>
        <w:tc>
          <w:tcPr>
            <w:tcW w:w="1415" w:type="dxa"/>
            <w:shd w:val="clear" w:color="auto" w:fill="auto"/>
            <w:vAlign w:val="center"/>
          </w:tcPr>
          <w:p w14:paraId="3552FD27">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工程师</w:t>
            </w:r>
          </w:p>
        </w:tc>
        <w:tc>
          <w:tcPr>
            <w:tcW w:w="2342" w:type="dxa"/>
            <w:shd w:val="clear" w:color="auto" w:fill="auto"/>
            <w:vAlign w:val="center"/>
          </w:tcPr>
          <w:p w14:paraId="4FF11A91">
            <w:pPr>
              <w:spacing w:line="240" w:lineRule="auto"/>
              <w:ind w:firstLine="0" w:firstLineChars="0"/>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eastAsia="zh-CN"/>
              </w:rPr>
              <w:drawing>
                <wp:inline distT="0" distB="0" distL="114300" distR="114300">
                  <wp:extent cx="758825" cy="434975"/>
                  <wp:effectExtent l="0" t="0" r="3175" b="9525"/>
                  <wp:docPr id="19" name="图片 19"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扫描件_贝工贝_00"/>
                          <pic:cNvPicPr>
                            <a:picLocks noChangeAspect="1"/>
                          </pic:cNvPicPr>
                        </pic:nvPicPr>
                        <pic:blipFill>
                          <a:blip r:embed="rId33"/>
                          <a:srcRect l="55065" t="52138" r="27238" b="40687"/>
                          <a:stretch>
                            <a:fillRect/>
                          </a:stretch>
                        </pic:blipFill>
                        <pic:spPr>
                          <a:xfrm>
                            <a:off x="0" y="0"/>
                            <a:ext cx="758825" cy="434975"/>
                          </a:xfrm>
                          <a:prstGeom prst="rect">
                            <a:avLst/>
                          </a:prstGeom>
                        </pic:spPr>
                      </pic:pic>
                    </a:graphicData>
                  </a:graphic>
                </wp:inline>
              </w:drawing>
            </w:r>
          </w:p>
        </w:tc>
        <w:tc>
          <w:tcPr>
            <w:tcW w:w="2061" w:type="dxa"/>
            <w:shd w:val="clear" w:color="auto" w:fill="auto"/>
            <w:vAlign w:val="center"/>
          </w:tcPr>
          <w:p w14:paraId="13F196F9">
            <w:pPr>
              <w:spacing w:line="240" w:lineRule="auto"/>
              <w:ind w:firstLine="0" w:firstLineChars="0"/>
              <w:jc w:val="center"/>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附件、附图</w:t>
            </w:r>
            <w:r>
              <w:rPr>
                <w:rFonts w:hint="default" w:ascii="Times New Roman" w:hAnsi="Times New Roman" w:eastAsia="宋体" w:cs="Times New Roman"/>
                <w:b/>
                <w:bCs/>
                <w:color w:val="auto"/>
                <w:sz w:val="28"/>
                <w:szCs w:val="28"/>
              </w:rPr>
              <w:t>）</w:t>
            </w:r>
          </w:p>
        </w:tc>
      </w:tr>
      <w:tr w14:paraId="5E51292D">
        <w:tblPrEx>
          <w:tblCellMar>
            <w:top w:w="0" w:type="dxa"/>
            <w:left w:w="108" w:type="dxa"/>
            <w:bottom w:w="0" w:type="dxa"/>
            <w:right w:w="108" w:type="dxa"/>
          </w:tblCellMar>
        </w:tblPrEx>
        <w:trPr>
          <w:trHeight w:val="1191" w:hRule="atLeast"/>
          <w:jc w:val="center"/>
        </w:trPr>
        <w:tc>
          <w:tcPr>
            <w:tcW w:w="1806" w:type="dxa"/>
            <w:shd w:val="clear" w:color="auto" w:fill="auto"/>
            <w:vAlign w:val="center"/>
          </w:tcPr>
          <w:p w14:paraId="64896D9E">
            <w:pPr>
              <w:spacing w:line="240" w:lineRule="auto"/>
              <w:ind w:firstLine="0" w:firstLineChars="0"/>
              <w:jc w:val="center"/>
              <w:rPr>
                <w:rFonts w:hint="default" w:ascii="Times New Roman" w:hAnsi="Times New Roman" w:eastAsia="宋体" w:cs="Times New Roman"/>
                <w:color w:val="auto"/>
                <w:sz w:val="28"/>
              </w:rPr>
            </w:pPr>
          </w:p>
        </w:tc>
        <w:tc>
          <w:tcPr>
            <w:tcW w:w="1273" w:type="dxa"/>
            <w:shd w:val="clear" w:color="auto" w:fill="auto"/>
            <w:vAlign w:val="center"/>
          </w:tcPr>
          <w:p w14:paraId="4A728AC3">
            <w:pPr>
              <w:spacing w:line="240" w:lineRule="auto"/>
              <w:ind w:firstLine="0" w:firstLineChars="0"/>
              <w:jc w:val="center"/>
              <w:rPr>
                <w:rFonts w:hint="default" w:ascii="Times New Roman" w:hAnsi="Times New Roman" w:eastAsia="宋体" w:cs="Times New Roman"/>
                <w:b/>
                <w:bCs/>
                <w:color w:val="auto"/>
                <w:sz w:val="28"/>
                <w:lang w:eastAsia="zh-CN"/>
              </w:rPr>
            </w:pPr>
            <w:r>
              <w:rPr>
                <w:rFonts w:hint="default" w:ascii="Times New Roman" w:hAnsi="Times New Roman" w:eastAsia="宋体" w:cs="Times New Roman"/>
                <w:b/>
                <w:bCs/>
                <w:color w:val="auto"/>
                <w:sz w:val="28"/>
                <w:lang w:val="en-US" w:eastAsia="zh-CN"/>
              </w:rPr>
              <w:t>曹波</w:t>
            </w:r>
          </w:p>
        </w:tc>
        <w:tc>
          <w:tcPr>
            <w:tcW w:w="1415" w:type="dxa"/>
            <w:shd w:val="clear" w:color="auto" w:fill="auto"/>
            <w:vAlign w:val="center"/>
          </w:tcPr>
          <w:p w14:paraId="63C42E73">
            <w:pPr>
              <w:spacing w:line="240" w:lineRule="auto"/>
              <w:ind w:firstLine="0" w:firstLineChars="0"/>
              <w:jc w:val="center"/>
              <w:rPr>
                <w:rFonts w:hint="default" w:ascii="Times New Roman" w:hAnsi="Times New Roman" w:eastAsia="宋体" w:cs="Times New Roman"/>
                <w:b/>
                <w:bCs/>
                <w:color w:val="auto"/>
                <w:sz w:val="28"/>
              </w:rPr>
            </w:pPr>
            <w:r>
              <w:rPr>
                <w:rFonts w:hint="default" w:ascii="Times New Roman" w:hAnsi="Times New Roman" w:eastAsia="宋体" w:cs="Times New Roman"/>
                <w:b/>
                <w:bCs/>
                <w:color w:val="auto"/>
                <w:sz w:val="28"/>
              </w:rPr>
              <w:t>工程师</w:t>
            </w:r>
          </w:p>
        </w:tc>
        <w:tc>
          <w:tcPr>
            <w:tcW w:w="2342" w:type="dxa"/>
            <w:shd w:val="clear" w:color="auto" w:fill="auto"/>
            <w:vAlign w:val="center"/>
          </w:tcPr>
          <w:p w14:paraId="555B76AF">
            <w:pPr>
              <w:spacing w:line="240" w:lineRule="auto"/>
              <w:ind w:firstLine="0" w:firstLineChars="0"/>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eastAsia="zh-CN"/>
              </w:rPr>
              <w:drawing>
                <wp:inline distT="0" distB="0" distL="114300" distR="114300">
                  <wp:extent cx="698500" cy="323850"/>
                  <wp:effectExtent l="0" t="0" r="0" b="6350"/>
                  <wp:docPr id="20" name="图片 20" descr="扫描件_贝工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件_贝工贝_00"/>
                          <pic:cNvPicPr>
                            <a:picLocks noChangeAspect="1"/>
                          </pic:cNvPicPr>
                        </pic:nvPicPr>
                        <pic:blipFill>
                          <a:blip r:embed="rId34"/>
                          <a:srcRect l="53988" t="61528" r="28774" b="32819"/>
                          <a:stretch>
                            <a:fillRect/>
                          </a:stretch>
                        </pic:blipFill>
                        <pic:spPr>
                          <a:xfrm>
                            <a:off x="0" y="0"/>
                            <a:ext cx="698500" cy="323850"/>
                          </a:xfrm>
                          <a:prstGeom prst="rect">
                            <a:avLst/>
                          </a:prstGeom>
                        </pic:spPr>
                      </pic:pic>
                    </a:graphicData>
                  </a:graphic>
                </wp:inline>
              </w:drawing>
            </w:r>
          </w:p>
        </w:tc>
        <w:tc>
          <w:tcPr>
            <w:tcW w:w="2061" w:type="dxa"/>
            <w:shd w:val="clear" w:color="auto" w:fill="auto"/>
            <w:vAlign w:val="center"/>
          </w:tcPr>
          <w:p w14:paraId="4E658D06">
            <w:pPr>
              <w:spacing w:line="240" w:lineRule="auto"/>
              <w:ind w:firstLine="0" w:firstLineChars="0"/>
              <w:jc w:val="center"/>
              <w:rPr>
                <w:rFonts w:hint="default" w:ascii="Times New Roman" w:hAnsi="Times New Roman" w:eastAsia="宋体" w:cs="Times New Roman"/>
                <w:color w:val="auto"/>
                <w:sz w:val="28"/>
              </w:rPr>
            </w:pPr>
            <w:r>
              <w:rPr>
                <w:rFonts w:hint="default" w:ascii="Times New Roman" w:hAnsi="Times New Roman" w:eastAsia="宋体" w:cs="Times New Roman"/>
                <w:b/>
                <w:bCs/>
                <w:color w:val="auto"/>
                <w:sz w:val="28"/>
                <w:szCs w:val="28"/>
              </w:rPr>
              <w:t>（</w:t>
            </w:r>
            <w:r>
              <w:rPr>
                <w:rFonts w:hint="default" w:ascii="Times New Roman" w:hAnsi="Times New Roman" w:eastAsia="宋体" w:cs="Times New Roman"/>
                <w:b/>
                <w:bCs/>
                <w:color w:val="auto"/>
                <w:sz w:val="28"/>
                <w:szCs w:val="28"/>
                <w:lang w:val="en-US" w:eastAsia="zh-CN"/>
              </w:rPr>
              <w:t>文本</w:t>
            </w:r>
            <w:r>
              <w:rPr>
                <w:rFonts w:hint="default" w:ascii="Times New Roman" w:hAnsi="Times New Roman" w:eastAsia="宋体" w:cs="Times New Roman"/>
                <w:b/>
                <w:bCs/>
                <w:color w:val="auto"/>
                <w:sz w:val="28"/>
                <w:szCs w:val="28"/>
              </w:rPr>
              <w:t>）</w:t>
            </w:r>
          </w:p>
        </w:tc>
      </w:tr>
    </w:tbl>
    <w:p w14:paraId="6F5788A7">
      <w:pPr>
        <w:ind w:firstLine="0" w:firstLineChars="0"/>
        <w:jc w:val="center"/>
        <w:rPr>
          <w:rFonts w:hint="default" w:ascii="Times New Roman" w:hAnsi="Times New Roman" w:eastAsia="宋体" w:cs="Times New Roman"/>
          <w:color w:val="auto"/>
          <w:sz w:val="32"/>
          <w:szCs w:val="32"/>
        </w:rPr>
        <w:sectPr>
          <w:pgSz w:w="11906" w:h="16838"/>
          <w:pgMar w:top="1417" w:right="1417" w:bottom="1417" w:left="1701" w:header="851" w:footer="850" w:gutter="0"/>
          <w:pgBorders>
            <w:top w:val="none" w:sz="0" w:space="0"/>
            <w:left w:val="none" w:sz="0" w:space="0"/>
            <w:bottom w:val="none" w:sz="0" w:space="0"/>
            <w:right w:val="none" w:sz="0" w:space="0"/>
          </w:pgBorders>
          <w:pgNumType w:fmt="decimal" w:start="1"/>
          <w:cols w:space="0" w:num="1"/>
          <w:docGrid w:linePitch="368" w:charSpace="0"/>
        </w:sectPr>
      </w:pPr>
    </w:p>
    <w:p w14:paraId="3A181CDA">
      <w:pPr>
        <w:widowControl w:val="0"/>
        <w:adjustRightInd w:val="0"/>
        <w:snapToGrid w:val="0"/>
        <w:spacing w:line="240" w:lineRule="auto"/>
        <w:ind w:firstLine="0" w:firstLineChars="0"/>
        <w:jc w:val="center"/>
        <w:rPr>
          <w:rFonts w:hint="default" w:ascii="Times New Roman" w:hAnsi="Times New Roman" w:eastAsia="仿宋_GB2312" w:cs="Times New Roman"/>
          <w:b/>
          <w:bCs w:val="0"/>
          <w:color w:val="000000" w:themeColor="text1"/>
          <w:kern w:val="0"/>
          <w:sz w:val="24"/>
          <w:szCs w:val="24"/>
        </w:rPr>
      </w:pPr>
      <w:r>
        <w:rPr>
          <w:rFonts w:hint="eastAsia" w:cs="Times New Roman"/>
          <w:b/>
          <w:bCs w:val="0"/>
          <w:color w:val="000000" w:themeColor="text1"/>
          <w:kern w:val="0"/>
          <w:sz w:val="24"/>
          <w:szCs w:val="24"/>
          <w:lang w:val="en-US" w:eastAsia="zh-CN"/>
        </w:rPr>
        <w:t>待补镇安康安置点帮扶车间建设项目</w:t>
      </w:r>
      <w:r>
        <w:rPr>
          <w:rFonts w:hint="default" w:ascii="Times New Roman" w:hAnsi="Times New Roman" w:eastAsia="仿宋_GB2312" w:cs="Times New Roman"/>
          <w:b/>
          <w:bCs w:val="0"/>
          <w:color w:val="000000" w:themeColor="text1"/>
          <w:kern w:val="0"/>
          <w:sz w:val="24"/>
          <w:szCs w:val="24"/>
        </w:rPr>
        <w:t>水土保持方案报告表</w:t>
      </w:r>
    </w:p>
    <w:tbl>
      <w:tblPr>
        <w:tblStyle w:val="27"/>
        <w:tblW w:w="88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56"/>
        <w:gridCol w:w="1077"/>
        <w:gridCol w:w="1709"/>
        <w:gridCol w:w="213"/>
        <w:gridCol w:w="855"/>
        <w:gridCol w:w="605"/>
        <w:gridCol w:w="1413"/>
        <w:gridCol w:w="2245"/>
      </w:tblGrid>
      <w:tr w14:paraId="6FDBF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restart"/>
            <w:tcBorders>
              <w:tl2br w:val="nil"/>
              <w:tr2bl w:val="nil"/>
            </w:tcBorders>
            <w:shd w:val="clear" w:color="auto" w:fill="auto"/>
            <w:vAlign w:val="center"/>
          </w:tcPr>
          <w:p w14:paraId="136A5DB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项目概况</w:t>
            </w:r>
          </w:p>
        </w:tc>
        <w:tc>
          <w:tcPr>
            <w:tcW w:w="1077" w:type="dxa"/>
            <w:tcBorders>
              <w:tl2br w:val="nil"/>
              <w:tr2bl w:val="nil"/>
            </w:tcBorders>
            <w:shd w:val="clear" w:color="auto" w:fill="auto"/>
            <w:vAlign w:val="center"/>
          </w:tcPr>
          <w:p w14:paraId="26BA4C3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位置</w:t>
            </w:r>
          </w:p>
        </w:tc>
        <w:tc>
          <w:tcPr>
            <w:tcW w:w="7040" w:type="dxa"/>
            <w:gridSpan w:val="6"/>
            <w:tcBorders>
              <w:tl2br w:val="nil"/>
              <w:tr2bl w:val="nil"/>
            </w:tcBorders>
            <w:shd w:val="clear" w:color="auto" w:fill="auto"/>
            <w:vAlign w:val="center"/>
          </w:tcPr>
          <w:p w14:paraId="040FF8B4">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rPr>
            </w:pPr>
            <w:r>
              <w:rPr>
                <w:rFonts w:hint="eastAsia" w:cs="Times New Roman"/>
                <w:sz w:val="18"/>
                <w:szCs w:val="18"/>
                <w:highlight w:val="none"/>
                <w:lang w:val="en-US" w:eastAsia="zh-CN"/>
              </w:rPr>
              <w:t>云南省曲靖市</w:t>
            </w:r>
            <w:r>
              <w:rPr>
                <w:rFonts w:hint="default" w:ascii="Times New Roman" w:hAnsi="Times New Roman" w:eastAsia="仿宋_GB2312" w:cs="Times New Roman"/>
                <w:sz w:val="18"/>
                <w:szCs w:val="18"/>
                <w:highlight w:val="none"/>
              </w:rPr>
              <w:t>会泽县</w:t>
            </w:r>
            <w:r>
              <w:rPr>
                <w:rFonts w:hint="default" w:ascii="Times New Roman" w:hAnsi="Times New Roman" w:eastAsia="仿宋_GB2312" w:cs="Times New Roman"/>
                <w:sz w:val="18"/>
                <w:szCs w:val="18"/>
                <w:highlight w:val="none"/>
                <w:lang w:eastAsia="zh-CN"/>
              </w:rPr>
              <w:t>待补镇</w:t>
            </w:r>
            <w:r>
              <w:rPr>
                <w:rFonts w:hint="eastAsia" w:cs="Times New Roman"/>
                <w:sz w:val="18"/>
                <w:szCs w:val="18"/>
                <w:highlight w:val="none"/>
                <w:lang w:val="en-US" w:eastAsia="zh-CN"/>
              </w:rPr>
              <w:t>鸡鸣山大道旁</w:t>
            </w:r>
          </w:p>
        </w:tc>
      </w:tr>
      <w:tr w14:paraId="0F2BF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32CD5C4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tcBorders>
              <w:tl2br w:val="nil"/>
              <w:tr2bl w:val="nil"/>
            </w:tcBorders>
            <w:shd w:val="clear" w:color="auto" w:fill="auto"/>
            <w:vAlign w:val="center"/>
          </w:tcPr>
          <w:p w14:paraId="49E6207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建设内容</w:t>
            </w:r>
          </w:p>
        </w:tc>
        <w:tc>
          <w:tcPr>
            <w:tcW w:w="7040" w:type="dxa"/>
            <w:gridSpan w:val="6"/>
            <w:tcBorders>
              <w:tl2br w:val="nil"/>
              <w:tr2bl w:val="nil"/>
            </w:tcBorders>
            <w:shd w:val="clear" w:color="auto" w:fill="auto"/>
            <w:vAlign w:val="center"/>
          </w:tcPr>
          <w:p w14:paraId="16A1E77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sz w:val="18"/>
                <w:szCs w:val="18"/>
                <w:highlight w:val="none"/>
                <w:lang w:eastAsia="zh-CN"/>
              </w:rPr>
              <w:t>项目</w:t>
            </w:r>
            <w:r>
              <w:rPr>
                <w:rFonts w:hint="default" w:ascii="Times New Roman" w:hAnsi="Times New Roman" w:eastAsia="仿宋_GB2312" w:cs="Times New Roman"/>
                <w:color w:val="auto"/>
                <w:sz w:val="18"/>
                <w:szCs w:val="18"/>
                <w:highlight w:val="none"/>
              </w:rPr>
              <w:t>总用地面积为</w:t>
            </w:r>
            <w:r>
              <w:rPr>
                <w:rFonts w:hint="default" w:ascii="Times New Roman" w:hAnsi="Times New Roman" w:eastAsia="仿宋_GB2312" w:cs="Times New Roman"/>
                <w:color w:val="auto"/>
                <w:sz w:val="18"/>
                <w:szCs w:val="18"/>
                <w:highlight w:val="none"/>
                <w:lang w:val="en-US" w:eastAsia="zh-CN"/>
              </w:rPr>
              <w:t>1.51</w:t>
            </w:r>
            <w:r>
              <w:rPr>
                <w:rFonts w:hint="default" w:ascii="Times New Roman" w:hAnsi="Times New Roman" w:eastAsia="仿宋_GB2312" w:cs="Times New Roman"/>
                <w:color w:val="auto"/>
                <w:sz w:val="18"/>
                <w:szCs w:val="18"/>
                <w:highlight w:val="none"/>
              </w:rPr>
              <w:t>hm</w:t>
            </w:r>
            <w:r>
              <w:rPr>
                <w:rFonts w:hint="default" w:ascii="Times New Roman" w:hAnsi="Times New Roman" w:eastAsia="仿宋_GB2312" w:cs="Times New Roman"/>
                <w:color w:val="auto"/>
                <w:sz w:val="18"/>
                <w:szCs w:val="18"/>
                <w:highlight w:val="none"/>
                <w:vertAlign w:val="superscript"/>
              </w:rPr>
              <w:t>2</w:t>
            </w:r>
            <w:r>
              <w:rPr>
                <w:rFonts w:hint="default" w:ascii="Times New Roman" w:hAnsi="Times New Roman" w:eastAsia="仿宋_GB2312" w:cs="Times New Roman"/>
                <w:color w:val="auto"/>
                <w:sz w:val="18"/>
                <w:szCs w:val="18"/>
                <w:highlight w:val="none"/>
              </w:rPr>
              <w:t>，</w:t>
            </w:r>
            <w:r>
              <w:rPr>
                <w:rFonts w:hint="default" w:ascii="Times New Roman" w:hAnsi="Times New Roman" w:eastAsia="仿宋_GB2312" w:cs="Times New Roman"/>
                <w:spacing w:val="33"/>
                <w:sz w:val="18"/>
                <w:szCs w:val="18"/>
                <w:highlight w:val="none"/>
              </w:rPr>
              <w:t>总建筑面积为</w:t>
            </w:r>
            <w:r>
              <w:rPr>
                <w:rFonts w:hint="default" w:ascii="Times New Roman" w:hAnsi="Times New Roman" w:eastAsia="仿宋_GB2312" w:cs="Times New Roman"/>
                <w:sz w:val="18"/>
                <w:szCs w:val="18"/>
                <w:highlight w:val="none"/>
                <w:lang w:eastAsia="zh-CN"/>
              </w:rPr>
              <w:t>11642.10</w:t>
            </w:r>
            <w:r>
              <w:rPr>
                <w:rFonts w:hint="default" w:ascii="Times New Roman" w:hAnsi="Times New Roman" w:eastAsia="仿宋_GB2312" w:cs="Times New Roman"/>
                <w:sz w:val="18"/>
                <w:szCs w:val="18"/>
                <w:highlight w:val="none"/>
              </w:rPr>
              <w:t>m²，建筑占地面积为</w:t>
            </w:r>
            <w:r>
              <w:rPr>
                <w:rFonts w:hint="default" w:ascii="Times New Roman" w:hAnsi="Times New Roman" w:eastAsia="仿宋_GB2312" w:cs="Times New Roman"/>
                <w:sz w:val="18"/>
                <w:szCs w:val="18"/>
                <w:highlight w:val="none"/>
                <w:lang w:eastAsia="zh-CN"/>
              </w:rPr>
              <w:t>8762.78</w:t>
            </w:r>
            <w:r>
              <w:rPr>
                <w:rFonts w:hint="default" w:ascii="Times New Roman" w:hAnsi="Times New Roman" w:eastAsia="仿宋_GB2312" w:cs="Times New Roman"/>
                <w:sz w:val="18"/>
                <w:szCs w:val="18"/>
                <w:highlight w:val="none"/>
              </w:rPr>
              <w:t>m²，建筑密度</w:t>
            </w:r>
            <w:r>
              <w:rPr>
                <w:rFonts w:hint="default" w:ascii="Times New Roman" w:hAnsi="Times New Roman" w:eastAsia="仿宋_GB2312" w:cs="Times New Roman"/>
                <w:sz w:val="18"/>
                <w:szCs w:val="18"/>
                <w:highlight w:val="none"/>
                <w:lang w:val="en-US" w:eastAsia="zh-CN"/>
              </w:rPr>
              <w:t>57.62</w:t>
            </w:r>
            <w:r>
              <w:rPr>
                <w:rFonts w:hint="default" w:ascii="Times New Roman" w:hAnsi="Times New Roman" w:eastAsia="仿宋_GB2312" w:cs="Times New Roman"/>
                <w:sz w:val="18"/>
                <w:szCs w:val="18"/>
                <w:highlight w:val="none"/>
              </w:rPr>
              <w:t>%，容积率</w:t>
            </w:r>
            <w:r>
              <w:rPr>
                <w:rFonts w:hint="default" w:ascii="Times New Roman" w:hAnsi="Times New Roman" w:eastAsia="仿宋_GB2312" w:cs="Times New Roman"/>
                <w:sz w:val="18"/>
                <w:szCs w:val="18"/>
                <w:highlight w:val="none"/>
                <w:lang w:val="en-US" w:eastAsia="zh-CN"/>
              </w:rPr>
              <w:t>0.77</w:t>
            </w:r>
            <w:r>
              <w:rPr>
                <w:rFonts w:hint="default" w:ascii="Times New Roman" w:hAnsi="Times New Roman" w:eastAsia="仿宋_GB2312" w:cs="Times New Roman"/>
                <w:sz w:val="18"/>
                <w:szCs w:val="18"/>
                <w:highlight w:val="none"/>
              </w:rPr>
              <w:t>，绿化面积</w:t>
            </w:r>
            <w:r>
              <w:rPr>
                <w:rFonts w:hint="default" w:ascii="Times New Roman" w:hAnsi="Times New Roman" w:eastAsia="仿宋_GB2312" w:cs="Times New Roman"/>
                <w:sz w:val="18"/>
                <w:szCs w:val="18"/>
                <w:highlight w:val="none"/>
                <w:lang w:val="en-US" w:eastAsia="zh-CN"/>
              </w:rPr>
              <w:t>0.23h</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，绿地率</w:t>
            </w:r>
            <w:r>
              <w:rPr>
                <w:rFonts w:hint="default" w:ascii="Times New Roman" w:hAnsi="Times New Roman" w:eastAsia="仿宋_GB2312" w:cs="Times New Roman"/>
                <w:sz w:val="18"/>
                <w:szCs w:val="18"/>
                <w:highlight w:val="none"/>
                <w:lang w:val="en-US" w:eastAsia="zh-CN"/>
              </w:rPr>
              <w:t>15.23</w:t>
            </w:r>
            <w:r>
              <w:rPr>
                <w:rFonts w:hint="default" w:ascii="Times New Roman" w:hAnsi="Times New Roman" w:eastAsia="仿宋_GB2312" w:cs="Times New Roman"/>
                <w:sz w:val="18"/>
                <w:szCs w:val="18"/>
                <w:highlight w:val="none"/>
              </w:rPr>
              <w:t>%。主要建设内容包括</w:t>
            </w:r>
            <w:r>
              <w:rPr>
                <w:rFonts w:hint="default" w:ascii="Times New Roman" w:hAnsi="Times New Roman" w:eastAsia="仿宋_GB2312" w:cs="Times New Roman"/>
                <w:sz w:val="18"/>
                <w:szCs w:val="18"/>
                <w:highlight w:val="none"/>
                <w:lang w:val="en-US" w:eastAsia="zh-CN"/>
              </w:rPr>
              <w:t>深加工车间、包装车间、低温仓储、常温仓储、设备用房及</w:t>
            </w:r>
            <w:r>
              <w:rPr>
                <w:rFonts w:hint="default" w:ascii="Times New Roman" w:hAnsi="Times New Roman" w:eastAsia="仿宋_GB2312" w:cs="Times New Roman"/>
                <w:sz w:val="18"/>
                <w:szCs w:val="18"/>
                <w:highlight w:val="none"/>
              </w:rPr>
              <w:t>附属设施</w:t>
            </w:r>
            <w:r>
              <w:rPr>
                <w:rFonts w:hint="default" w:ascii="Times New Roman" w:hAnsi="Times New Roman" w:eastAsia="仿宋_GB2312" w:cs="Times New Roman"/>
                <w:sz w:val="18"/>
                <w:szCs w:val="18"/>
                <w:highlight w:val="none"/>
                <w:lang w:eastAsia="zh-CN"/>
              </w:rPr>
              <w:t>（</w:t>
            </w:r>
            <w:r>
              <w:rPr>
                <w:rFonts w:hint="default" w:ascii="Times New Roman" w:hAnsi="Times New Roman" w:eastAsia="仿宋_GB2312" w:cs="Times New Roman"/>
                <w:sz w:val="18"/>
                <w:szCs w:val="18"/>
                <w:highlight w:val="none"/>
              </w:rPr>
              <w:t>室外</w:t>
            </w:r>
            <w:r>
              <w:rPr>
                <w:rFonts w:hint="default" w:ascii="Times New Roman" w:hAnsi="Times New Roman" w:eastAsia="仿宋_GB2312" w:cs="Times New Roman"/>
                <w:sz w:val="18"/>
                <w:szCs w:val="18"/>
                <w:highlight w:val="none"/>
                <w:lang w:val="en-US" w:eastAsia="zh-CN"/>
              </w:rPr>
              <w:t>污水处理工程、给排水管网工程、供电照明工程</w:t>
            </w:r>
            <w:r>
              <w:rPr>
                <w:rFonts w:hint="default" w:ascii="Times New Roman" w:hAnsi="Times New Roman" w:eastAsia="仿宋_GB2312" w:cs="Times New Roman"/>
                <w:sz w:val="18"/>
                <w:szCs w:val="18"/>
                <w:highlight w:val="none"/>
                <w:lang w:eastAsia="zh-CN"/>
              </w:rPr>
              <w:t>），</w:t>
            </w:r>
            <w:r>
              <w:rPr>
                <w:rFonts w:hint="default" w:ascii="Times New Roman" w:hAnsi="Times New Roman" w:eastAsia="仿宋_GB2312" w:cs="Times New Roman"/>
                <w:sz w:val="18"/>
                <w:szCs w:val="18"/>
                <w:highlight w:val="none"/>
                <w:lang w:val="en-US" w:eastAsia="zh-CN"/>
              </w:rPr>
              <w:t>配套场内道路、硬化场地、景观绿化等配套设施。</w:t>
            </w:r>
          </w:p>
        </w:tc>
      </w:tr>
      <w:tr w14:paraId="44536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0EA855B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tcBorders>
              <w:tl2br w:val="nil"/>
              <w:tr2bl w:val="nil"/>
            </w:tcBorders>
            <w:shd w:val="clear" w:color="auto" w:fill="auto"/>
            <w:vAlign w:val="center"/>
          </w:tcPr>
          <w:p w14:paraId="4375C66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建设性质</w:t>
            </w:r>
          </w:p>
        </w:tc>
        <w:tc>
          <w:tcPr>
            <w:tcW w:w="3382" w:type="dxa"/>
            <w:gridSpan w:val="4"/>
            <w:tcBorders>
              <w:tl2br w:val="nil"/>
              <w:tr2bl w:val="nil"/>
            </w:tcBorders>
            <w:shd w:val="clear" w:color="auto" w:fill="auto"/>
            <w:vAlign w:val="center"/>
          </w:tcPr>
          <w:p w14:paraId="4A73A8C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新建建设类项目</w:t>
            </w:r>
          </w:p>
        </w:tc>
        <w:tc>
          <w:tcPr>
            <w:tcW w:w="1413" w:type="dxa"/>
            <w:tcBorders>
              <w:tl2br w:val="nil"/>
              <w:tr2bl w:val="nil"/>
            </w:tcBorders>
            <w:shd w:val="clear" w:color="auto" w:fill="auto"/>
            <w:vAlign w:val="center"/>
          </w:tcPr>
          <w:p w14:paraId="7F16BC2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总投资（万元）</w:t>
            </w:r>
          </w:p>
        </w:tc>
        <w:tc>
          <w:tcPr>
            <w:tcW w:w="2245" w:type="dxa"/>
            <w:tcBorders>
              <w:tl2br w:val="nil"/>
              <w:tr2bl w:val="nil"/>
            </w:tcBorders>
            <w:shd w:val="clear" w:color="auto" w:fill="auto"/>
            <w:vAlign w:val="center"/>
          </w:tcPr>
          <w:p w14:paraId="12D4AC9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sz w:val="18"/>
                <w:szCs w:val="18"/>
                <w:highlight w:val="none"/>
                <w:lang w:eastAsia="zh-CN"/>
              </w:rPr>
              <w:t>2203.01</w:t>
            </w:r>
          </w:p>
        </w:tc>
      </w:tr>
      <w:tr w14:paraId="1D94D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59809C2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vMerge w:val="restart"/>
            <w:tcBorders>
              <w:tl2br w:val="nil"/>
              <w:tr2bl w:val="nil"/>
            </w:tcBorders>
            <w:shd w:val="clear" w:color="auto" w:fill="auto"/>
            <w:vAlign w:val="center"/>
          </w:tcPr>
          <w:p w14:paraId="261F3E9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土建投资</w:t>
            </w:r>
          </w:p>
          <w:p w14:paraId="462AE19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（万元）</w:t>
            </w:r>
          </w:p>
        </w:tc>
        <w:tc>
          <w:tcPr>
            <w:tcW w:w="3382" w:type="dxa"/>
            <w:gridSpan w:val="4"/>
            <w:vMerge w:val="restart"/>
            <w:tcBorders>
              <w:tl2br w:val="nil"/>
              <w:tr2bl w:val="nil"/>
            </w:tcBorders>
            <w:shd w:val="clear" w:color="auto" w:fill="auto"/>
            <w:vAlign w:val="center"/>
          </w:tcPr>
          <w:p w14:paraId="43C9275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sz w:val="18"/>
                <w:szCs w:val="18"/>
                <w:highlight w:val="none"/>
                <w:lang w:eastAsia="zh-CN"/>
              </w:rPr>
              <w:t>462.63</w:t>
            </w:r>
          </w:p>
        </w:tc>
        <w:tc>
          <w:tcPr>
            <w:tcW w:w="1413" w:type="dxa"/>
            <w:vMerge w:val="restart"/>
            <w:tcBorders>
              <w:tl2br w:val="nil"/>
              <w:tr2bl w:val="nil"/>
            </w:tcBorders>
            <w:shd w:val="clear" w:color="auto" w:fill="auto"/>
            <w:vAlign w:val="center"/>
          </w:tcPr>
          <w:p w14:paraId="64FAC9A4">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占地面积（hm</w:t>
            </w:r>
            <w:r>
              <w:rPr>
                <w:rFonts w:hint="default" w:ascii="Times New Roman" w:hAnsi="Times New Roman" w:eastAsia="仿宋_GB2312" w:cs="Times New Roman"/>
                <w:color w:val="000000" w:themeColor="text1"/>
                <w:kern w:val="0"/>
                <w:sz w:val="18"/>
                <w:szCs w:val="18"/>
                <w:highlight w:val="none"/>
                <w:vertAlign w:val="superscript"/>
                <w:lang w:val="en-US" w:eastAsia="zh-CN"/>
              </w:rPr>
              <w:t>2</w:t>
            </w:r>
            <w:r>
              <w:rPr>
                <w:rFonts w:hint="default" w:ascii="Times New Roman" w:hAnsi="Times New Roman" w:eastAsia="仿宋_GB2312" w:cs="Times New Roman"/>
                <w:color w:val="000000" w:themeColor="text1"/>
                <w:kern w:val="0"/>
                <w:sz w:val="18"/>
                <w:szCs w:val="18"/>
                <w:highlight w:val="none"/>
                <w:lang w:val="en-US" w:eastAsia="zh-CN"/>
              </w:rPr>
              <w:t>）</w:t>
            </w:r>
          </w:p>
        </w:tc>
        <w:tc>
          <w:tcPr>
            <w:tcW w:w="2245" w:type="dxa"/>
            <w:tcBorders>
              <w:tl2br w:val="nil"/>
              <w:tr2bl w:val="nil"/>
            </w:tcBorders>
            <w:shd w:val="clear" w:color="auto" w:fill="auto"/>
            <w:vAlign w:val="center"/>
          </w:tcPr>
          <w:p w14:paraId="21B688D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永久：1.51</w:t>
            </w:r>
          </w:p>
        </w:tc>
      </w:tr>
      <w:tr w14:paraId="02AF0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0A10F2F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vMerge w:val="continue"/>
            <w:tcBorders>
              <w:tl2br w:val="nil"/>
              <w:tr2bl w:val="nil"/>
            </w:tcBorders>
            <w:vAlign w:val="center"/>
          </w:tcPr>
          <w:p w14:paraId="699A978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3382" w:type="dxa"/>
            <w:gridSpan w:val="4"/>
            <w:vMerge w:val="continue"/>
            <w:tcBorders>
              <w:tl2br w:val="nil"/>
              <w:tr2bl w:val="nil"/>
            </w:tcBorders>
            <w:vAlign w:val="center"/>
          </w:tcPr>
          <w:p w14:paraId="08FA1A4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c>
          <w:tcPr>
            <w:tcW w:w="1413" w:type="dxa"/>
            <w:vMerge w:val="continue"/>
            <w:tcBorders>
              <w:tl2br w:val="nil"/>
              <w:tr2bl w:val="nil"/>
            </w:tcBorders>
            <w:vAlign w:val="center"/>
          </w:tcPr>
          <w:p w14:paraId="3BD1954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c>
          <w:tcPr>
            <w:tcW w:w="2245" w:type="dxa"/>
            <w:tcBorders>
              <w:tl2br w:val="nil"/>
              <w:tr2bl w:val="nil"/>
            </w:tcBorders>
            <w:shd w:val="clear" w:color="auto" w:fill="auto"/>
            <w:vAlign w:val="center"/>
          </w:tcPr>
          <w:p w14:paraId="38542E9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临时：0</w:t>
            </w:r>
          </w:p>
        </w:tc>
      </w:tr>
      <w:tr w14:paraId="1BF83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3B2C965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tcBorders>
              <w:tl2br w:val="nil"/>
              <w:tr2bl w:val="nil"/>
            </w:tcBorders>
            <w:shd w:val="clear" w:color="auto" w:fill="auto"/>
            <w:vAlign w:val="center"/>
          </w:tcPr>
          <w:p w14:paraId="4340F172">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动工时间</w:t>
            </w:r>
          </w:p>
        </w:tc>
        <w:tc>
          <w:tcPr>
            <w:tcW w:w="3382" w:type="dxa"/>
            <w:gridSpan w:val="4"/>
            <w:tcBorders>
              <w:tl2br w:val="nil"/>
              <w:tr2bl w:val="nil"/>
            </w:tcBorders>
            <w:shd w:val="clear" w:color="auto" w:fill="auto"/>
            <w:vAlign w:val="center"/>
          </w:tcPr>
          <w:p w14:paraId="66214E84">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eastAsia="zh-CN"/>
              </w:rPr>
            </w:pPr>
            <w:r>
              <w:rPr>
                <w:rFonts w:hint="default" w:ascii="Times New Roman" w:hAnsi="Times New Roman" w:eastAsia="仿宋_GB2312" w:cs="Times New Roman"/>
                <w:color w:val="000000" w:themeColor="text1"/>
                <w:kern w:val="0"/>
                <w:sz w:val="18"/>
                <w:szCs w:val="18"/>
                <w:highlight w:val="none"/>
                <w:lang w:eastAsia="zh-CN"/>
              </w:rPr>
              <w:t>2024年4月</w:t>
            </w:r>
          </w:p>
        </w:tc>
        <w:tc>
          <w:tcPr>
            <w:tcW w:w="1413" w:type="dxa"/>
            <w:tcBorders>
              <w:tl2br w:val="nil"/>
              <w:tr2bl w:val="nil"/>
            </w:tcBorders>
            <w:shd w:val="clear" w:color="auto" w:fill="auto"/>
            <w:vAlign w:val="center"/>
          </w:tcPr>
          <w:p w14:paraId="3CA120DF">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完工时间</w:t>
            </w:r>
          </w:p>
        </w:tc>
        <w:tc>
          <w:tcPr>
            <w:tcW w:w="2245" w:type="dxa"/>
            <w:tcBorders>
              <w:tl2br w:val="nil"/>
              <w:tr2bl w:val="nil"/>
            </w:tcBorders>
            <w:shd w:val="clear" w:color="auto" w:fill="auto"/>
            <w:vAlign w:val="center"/>
          </w:tcPr>
          <w:p w14:paraId="07F4173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eastAsia="zh-CN"/>
              </w:rPr>
            </w:pPr>
            <w:r>
              <w:rPr>
                <w:rFonts w:hint="default" w:ascii="Times New Roman" w:hAnsi="Times New Roman" w:eastAsia="仿宋_GB2312" w:cs="Times New Roman"/>
                <w:color w:val="000000" w:themeColor="text1"/>
                <w:kern w:val="0"/>
                <w:sz w:val="18"/>
                <w:szCs w:val="18"/>
                <w:highlight w:val="none"/>
                <w:lang w:eastAsia="zh-CN"/>
              </w:rPr>
              <w:t>2025年6月</w:t>
            </w:r>
          </w:p>
        </w:tc>
      </w:tr>
      <w:tr w14:paraId="50804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2C397EB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vMerge w:val="restart"/>
            <w:tcBorders>
              <w:tl2br w:val="nil"/>
              <w:tr2bl w:val="nil"/>
            </w:tcBorders>
            <w:shd w:val="clear" w:color="auto" w:fill="auto"/>
            <w:vAlign w:val="center"/>
          </w:tcPr>
          <w:p w14:paraId="6178E51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土石方（m</w:t>
            </w:r>
            <w:r>
              <w:rPr>
                <w:rFonts w:hint="default" w:ascii="Times New Roman" w:hAnsi="Times New Roman" w:eastAsia="仿宋_GB2312" w:cs="Times New Roman"/>
                <w:color w:val="000000" w:themeColor="text1"/>
                <w:kern w:val="0"/>
                <w:sz w:val="18"/>
                <w:szCs w:val="18"/>
                <w:highlight w:val="none"/>
                <w:vertAlign w:val="superscript"/>
              </w:rPr>
              <w:t>3</w:t>
            </w:r>
            <w:r>
              <w:rPr>
                <w:rFonts w:hint="default" w:ascii="Times New Roman" w:hAnsi="Times New Roman" w:eastAsia="仿宋_GB2312" w:cs="Times New Roman"/>
                <w:color w:val="000000" w:themeColor="text1"/>
                <w:kern w:val="0"/>
                <w:sz w:val="18"/>
                <w:szCs w:val="18"/>
                <w:highlight w:val="none"/>
              </w:rPr>
              <w:t>）</w:t>
            </w:r>
          </w:p>
        </w:tc>
        <w:tc>
          <w:tcPr>
            <w:tcW w:w="1922" w:type="dxa"/>
            <w:gridSpan w:val="2"/>
            <w:tcBorders>
              <w:tl2br w:val="nil"/>
              <w:tr2bl w:val="nil"/>
            </w:tcBorders>
            <w:shd w:val="clear" w:color="auto" w:fill="auto"/>
            <w:vAlign w:val="center"/>
          </w:tcPr>
          <w:p w14:paraId="3D1111FF">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挖方</w:t>
            </w:r>
          </w:p>
        </w:tc>
        <w:tc>
          <w:tcPr>
            <w:tcW w:w="1460" w:type="dxa"/>
            <w:gridSpan w:val="2"/>
            <w:tcBorders>
              <w:tl2br w:val="nil"/>
              <w:tr2bl w:val="nil"/>
            </w:tcBorders>
            <w:shd w:val="clear" w:color="auto" w:fill="auto"/>
            <w:vAlign w:val="center"/>
          </w:tcPr>
          <w:p w14:paraId="7C5A17AF">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填方</w:t>
            </w:r>
          </w:p>
        </w:tc>
        <w:tc>
          <w:tcPr>
            <w:tcW w:w="1413" w:type="dxa"/>
            <w:tcBorders>
              <w:tl2br w:val="nil"/>
              <w:tr2bl w:val="nil"/>
            </w:tcBorders>
            <w:shd w:val="clear" w:color="auto" w:fill="auto"/>
            <w:vAlign w:val="center"/>
          </w:tcPr>
          <w:p w14:paraId="16B7D51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借方</w:t>
            </w:r>
          </w:p>
        </w:tc>
        <w:tc>
          <w:tcPr>
            <w:tcW w:w="2245" w:type="dxa"/>
            <w:tcBorders>
              <w:tl2br w:val="nil"/>
              <w:tr2bl w:val="nil"/>
            </w:tcBorders>
            <w:shd w:val="clear" w:color="auto" w:fill="auto"/>
            <w:vAlign w:val="center"/>
          </w:tcPr>
          <w:p w14:paraId="5D4B0D6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余（弃）方</w:t>
            </w:r>
          </w:p>
        </w:tc>
      </w:tr>
      <w:tr w14:paraId="3FFDC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75D4839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vMerge w:val="continue"/>
            <w:tcBorders>
              <w:tl2br w:val="nil"/>
              <w:tr2bl w:val="nil"/>
            </w:tcBorders>
            <w:vAlign w:val="center"/>
          </w:tcPr>
          <w:p w14:paraId="3E97B18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922" w:type="dxa"/>
            <w:gridSpan w:val="2"/>
            <w:tcBorders>
              <w:tl2br w:val="nil"/>
              <w:tr2bl w:val="nil"/>
            </w:tcBorders>
            <w:shd w:val="clear" w:color="auto" w:fill="auto"/>
            <w:vAlign w:val="center"/>
          </w:tcPr>
          <w:p w14:paraId="45DADC4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10045.00</w:t>
            </w:r>
          </w:p>
        </w:tc>
        <w:tc>
          <w:tcPr>
            <w:tcW w:w="1460" w:type="dxa"/>
            <w:gridSpan w:val="2"/>
            <w:tcBorders>
              <w:tl2br w:val="nil"/>
              <w:tr2bl w:val="nil"/>
            </w:tcBorders>
            <w:shd w:val="clear" w:color="auto" w:fill="auto"/>
            <w:vAlign w:val="center"/>
          </w:tcPr>
          <w:p w14:paraId="631F9FC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10045.00</w:t>
            </w:r>
          </w:p>
        </w:tc>
        <w:tc>
          <w:tcPr>
            <w:tcW w:w="1413" w:type="dxa"/>
            <w:tcBorders>
              <w:tl2br w:val="nil"/>
              <w:tr2bl w:val="nil"/>
            </w:tcBorders>
            <w:shd w:val="clear" w:color="auto" w:fill="auto"/>
            <w:vAlign w:val="center"/>
          </w:tcPr>
          <w:p w14:paraId="11B72E6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w:t>
            </w:r>
          </w:p>
        </w:tc>
        <w:tc>
          <w:tcPr>
            <w:tcW w:w="2245" w:type="dxa"/>
            <w:tcBorders>
              <w:tl2br w:val="nil"/>
              <w:tr2bl w:val="nil"/>
            </w:tcBorders>
            <w:shd w:val="clear" w:color="auto" w:fill="auto"/>
            <w:vAlign w:val="center"/>
          </w:tcPr>
          <w:p w14:paraId="656CFD1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w:t>
            </w:r>
          </w:p>
        </w:tc>
      </w:tr>
      <w:tr w14:paraId="3BECC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729AC74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tcBorders>
              <w:tl2br w:val="nil"/>
              <w:tr2bl w:val="nil"/>
            </w:tcBorders>
            <w:shd w:val="clear" w:color="auto" w:fill="auto"/>
            <w:vAlign w:val="center"/>
          </w:tcPr>
          <w:p w14:paraId="68CD038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取土场</w:t>
            </w:r>
          </w:p>
        </w:tc>
        <w:tc>
          <w:tcPr>
            <w:tcW w:w="7040" w:type="dxa"/>
            <w:gridSpan w:val="6"/>
            <w:tcBorders>
              <w:tl2br w:val="nil"/>
              <w:tr2bl w:val="nil"/>
            </w:tcBorders>
            <w:shd w:val="clear" w:color="auto" w:fill="auto"/>
            <w:vAlign w:val="center"/>
          </w:tcPr>
          <w:p w14:paraId="0663EDC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无</w:t>
            </w:r>
          </w:p>
        </w:tc>
      </w:tr>
      <w:tr w14:paraId="4D4DB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2284B00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tcBorders>
              <w:tl2br w:val="nil"/>
              <w:tr2bl w:val="nil"/>
            </w:tcBorders>
            <w:shd w:val="clear" w:color="auto" w:fill="auto"/>
            <w:vAlign w:val="center"/>
          </w:tcPr>
          <w:p w14:paraId="4AC602E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弃土场</w:t>
            </w:r>
          </w:p>
        </w:tc>
        <w:tc>
          <w:tcPr>
            <w:tcW w:w="7040" w:type="dxa"/>
            <w:gridSpan w:val="6"/>
            <w:tcBorders>
              <w:tl2br w:val="nil"/>
              <w:tr2bl w:val="nil"/>
            </w:tcBorders>
            <w:shd w:val="clear" w:color="auto" w:fill="auto"/>
            <w:vAlign w:val="center"/>
          </w:tcPr>
          <w:p w14:paraId="1A75103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无</w:t>
            </w:r>
          </w:p>
        </w:tc>
      </w:tr>
      <w:tr w14:paraId="5C348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restart"/>
            <w:tcBorders>
              <w:tl2br w:val="nil"/>
              <w:tr2bl w:val="nil"/>
            </w:tcBorders>
            <w:shd w:val="clear" w:color="auto" w:fill="auto"/>
            <w:vAlign w:val="center"/>
          </w:tcPr>
          <w:p w14:paraId="5B1F529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可能造成水土流失</w:t>
            </w:r>
          </w:p>
        </w:tc>
        <w:tc>
          <w:tcPr>
            <w:tcW w:w="1077" w:type="dxa"/>
            <w:tcBorders>
              <w:tl2br w:val="nil"/>
              <w:tr2bl w:val="nil"/>
            </w:tcBorders>
            <w:shd w:val="clear" w:color="auto" w:fill="auto"/>
            <w:vAlign w:val="center"/>
          </w:tcPr>
          <w:p w14:paraId="437E200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涉及重点防治区情况</w:t>
            </w:r>
          </w:p>
        </w:tc>
        <w:tc>
          <w:tcPr>
            <w:tcW w:w="2777" w:type="dxa"/>
            <w:gridSpan w:val="3"/>
            <w:tcBorders>
              <w:tl2br w:val="nil"/>
              <w:tr2bl w:val="nil"/>
            </w:tcBorders>
            <w:shd w:val="clear" w:color="auto" w:fill="auto"/>
            <w:vAlign w:val="center"/>
          </w:tcPr>
          <w:p w14:paraId="2C9F138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sz w:val="18"/>
                <w:szCs w:val="18"/>
                <w:highlight w:val="none"/>
                <w:lang w:val="en-US" w:eastAsia="zh-CN"/>
              </w:rPr>
              <w:t>金沙江下游国家级水土流失重点治理区</w:t>
            </w:r>
          </w:p>
        </w:tc>
        <w:tc>
          <w:tcPr>
            <w:tcW w:w="2018" w:type="dxa"/>
            <w:gridSpan w:val="2"/>
            <w:tcBorders>
              <w:tl2br w:val="nil"/>
              <w:tr2bl w:val="nil"/>
            </w:tcBorders>
            <w:shd w:val="clear" w:color="auto" w:fill="auto"/>
            <w:vAlign w:val="center"/>
          </w:tcPr>
          <w:p w14:paraId="6BAE137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地貌类型</w:t>
            </w:r>
          </w:p>
        </w:tc>
        <w:tc>
          <w:tcPr>
            <w:tcW w:w="2245" w:type="dxa"/>
            <w:tcBorders>
              <w:tl2br w:val="nil"/>
              <w:tr2bl w:val="nil"/>
            </w:tcBorders>
            <w:shd w:val="clear" w:color="auto" w:fill="auto"/>
            <w:vAlign w:val="center"/>
          </w:tcPr>
          <w:p w14:paraId="49D9E74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构造侵蚀低中山地貌</w:t>
            </w:r>
          </w:p>
        </w:tc>
      </w:tr>
      <w:tr w14:paraId="1CD7D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723BE2F2">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86" w:type="dxa"/>
            <w:gridSpan w:val="2"/>
            <w:tcBorders>
              <w:tl2br w:val="nil"/>
              <w:tr2bl w:val="nil"/>
            </w:tcBorders>
            <w:shd w:val="clear" w:color="auto" w:fill="auto"/>
            <w:vAlign w:val="center"/>
          </w:tcPr>
          <w:p w14:paraId="2EEDDCA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原地貌土壤侵蚀模数[t/km</w:t>
            </w:r>
            <w:r>
              <w:rPr>
                <w:rFonts w:hint="default" w:ascii="Times New Roman" w:hAnsi="Times New Roman" w:eastAsia="仿宋_GB2312" w:cs="Times New Roman"/>
                <w:color w:val="000000" w:themeColor="text1"/>
                <w:kern w:val="0"/>
                <w:sz w:val="18"/>
                <w:szCs w:val="18"/>
                <w:highlight w:val="none"/>
                <w:vertAlign w:val="superscript"/>
              </w:rPr>
              <w:t>2</w:t>
            </w:r>
            <w:r>
              <w:rPr>
                <w:rFonts w:hint="default" w:ascii="Times New Roman" w:hAnsi="Times New Roman" w:eastAsia="仿宋_GB2312" w:cs="Times New Roman"/>
                <w:color w:val="000000" w:themeColor="text1"/>
                <w:kern w:val="0"/>
                <w:sz w:val="18"/>
                <w:szCs w:val="18"/>
                <w:highlight w:val="none"/>
              </w:rPr>
              <w:t>·a]</w:t>
            </w:r>
          </w:p>
        </w:tc>
        <w:tc>
          <w:tcPr>
            <w:tcW w:w="1068" w:type="dxa"/>
            <w:gridSpan w:val="2"/>
            <w:tcBorders>
              <w:tl2br w:val="nil"/>
              <w:tr2bl w:val="nil"/>
            </w:tcBorders>
            <w:shd w:val="clear" w:color="auto" w:fill="auto"/>
            <w:vAlign w:val="center"/>
          </w:tcPr>
          <w:p w14:paraId="5187FBE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450</w:t>
            </w:r>
          </w:p>
        </w:tc>
        <w:tc>
          <w:tcPr>
            <w:tcW w:w="2018" w:type="dxa"/>
            <w:gridSpan w:val="2"/>
            <w:tcBorders>
              <w:tl2br w:val="nil"/>
              <w:tr2bl w:val="nil"/>
            </w:tcBorders>
            <w:shd w:val="clear" w:color="auto" w:fill="auto"/>
            <w:vAlign w:val="center"/>
          </w:tcPr>
          <w:p w14:paraId="0E7B4ECF">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容许土壤流失量[t/km2·a]</w:t>
            </w:r>
          </w:p>
        </w:tc>
        <w:tc>
          <w:tcPr>
            <w:tcW w:w="2245" w:type="dxa"/>
            <w:tcBorders>
              <w:tl2br w:val="nil"/>
              <w:tr2bl w:val="nil"/>
            </w:tcBorders>
            <w:shd w:val="clear" w:color="auto" w:fill="auto"/>
            <w:vAlign w:val="center"/>
          </w:tcPr>
          <w:p w14:paraId="189D3B6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500</w:t>
            </w:r>
          </w:p>
        </w:tc>
      </w:tr>
      <w:tr w14:paraId="5EE55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2" w:hRule="atLeast"/>
        </w:trPr>
        <w:tc>
          <w:tcPr>
            <w:tcW w:w="3542" w:type="dxa"/>
            <w:gridSpan w:val="3"/>
            <w:tcBorders>
              <w:tl2br w:val="nil"/>
              <w:tr2bl w:val="nil"/>
            </w:tcBorders>
            <w:shd w:val="clear" w:color="auto" w:fill="auto"/>
            <w:vAlign w:val="center"/>
          </w:tcPr>
          <w:p w14:paraId="74E0D18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项目选址（线）水土保持评价</w:t>
            </w:r>
          </w:p>
        </w:tc>
        <w:tc>
          <w:tcPr>
            <w:tcW w:w="5331" w:type="dxa"/>
            <w:gridSpan w:val="5"/>
            <w:tcBorders>
              <w:tl2br w:val="nil"/>
              <w:tr2bl w:val="nil"/>
            </w:tcBorders>
            <w:shd w:val="clear" w:color="auto" w:fill="auto"/>
            <w:vAlign w:val="center"/>
          </w:tcPr>
          <w:p w14:paraId="382EF97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无水土保持制约性因素</w:t>
            </w:r>
          </w:p>
        </w:tc>
      </w:tr>
      <w:tr w14:paraId="78452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3542" w:type="dxa"/>
            <w:gridSpan w:val="3"/>
            <w:tcBorders>
              <w:tl2br w:val="nil"/>
              <w:tr2bl w:val="nil"/>
            </w:tcBorders>
            <w:shd w:val="clear" w:color="auto" w:fill="auto"/>
            <w:vAlign w:val="center"/>
          </w:tcPr>
          <w:p w14:paraId="3FD5DBB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预测水土流失总量</w:t>
            </w:r>
          </w:p>
        </w:tc>
        <w:tc>
          <w:tcPr>
            <w:tcW w:w="5331" w:type="dxa"/>
            <w:gridSpan w:val="5"/>
            <w:tcBorders>
              <w:tl2br w:val="nil"/>
              <w:tr2bl w:val="nil"/>
            </w:tcBorders>
            <w:shd w:val="clear" w:color="auto" w:fill="auto"/>
            <w:vAlign w:val="center"/>
          </w:tcPr>
          <w:p w14:paraId="03BBC52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179.33t</w:t>
            </w:r>
          </w:p>
        </w:tc>
      </w:tr>
      <w:tr w14:paraId="47F4C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9" w:hRule="atLeast"/>
        </w:trPr>
        <w:tc>
          <w:tcPr>
            <w:tcW w:w="3542" w:type="dxa"/>
            <w:gridSpan w:val="3"/>
            <w:tcBorders>
              <w:tl2br w:val="nil"/>
              <w:tr2bl w:val="nil"/>
            </w:tcBorders>
            <w:shd w:val="clear" w:color="auto" w:fill="auto"/>
            <w:vAlign w:val="center"/>
          </w:tcPr>
          <w:p w14:paraId="4E41F9A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防治责任范围（</w:t>
            </w:r>
            <w:r>
              <w:rPr>
                <w:rFonts w:hint="default" w:ascii="Times New Roman" w:hAnsi="Times New Roman" w:eastAsia="仿宋_GB2312" w:cs="Times New Roman"/>
                <w:color w:val="000000" w:themeColor="text1"/>
                <w:kern w:val="0"/>
                <w:sz w:val="18"/>
                <w:szCs w:val="18"/>
                <w:highlight w:val="none"/>
                <w:lang w:val="en-US" w:eastAsia="zh-CN"/>
              </w:rPr>
              <w:t>h</w:t>
            </w:r>
            <w:r>
              <w:rPr>
                <w:rFonts w:hint="default" w:ascii="Times New Roman" w:hAnsi="Times New Roman" w:eastAsia="仿宋_GB2312" w:cs="Times New Roman"/>
                <w:color w:val="000000" w:themeColor="text1"/>
                <w:kern w:val="0"/>
                <w:sz w:val="18"/>
                <w:szCs w:val="18"/>
                <w:highlight w:val="none"/>
              </w:rPr>
              <w:t>m</w:t>
            </w:r>
            <w:r>
              <w:rPr>
                <w:rFonts w:hint="default" w:ascii="Times New Roman" w:hAnsi="Times New Roman" w:eastAsia="仿宋_GB2312" w:cs="Times New Roman"/>
                <w:color w:val="000000" w:themeColor="text1"/>
                <w:kern w:val="0"/>
                <w:sz w:val="18"/>
                <w:szCs w:val="18"/>
                <w:highlight w:val="none"/>
                <w:vertAlign w:val="superscript"/>
              </w:rPr>
              <w:t>2</w:t>
            </w:r>
            <w:r>
              <w:rPr>
                <w:rFonts w:hint="default" w:ascii="Times New Roman" w:hAnsi="Times New Roman" w:eastAsia="仿宋_GB2312" w:cs="Times New Roman"/>
                <w:color w:val="000000" w:themeColor="text1"/>
                <w:kern w:val="0"/>
                <w:sz w:val="18"/>
                <w:szCs w:val="18"/>
                <w:highlight w:val="none"/>
              </w:rPr>
              <w:t>）</w:t>
            </w:r>
          </w:p>
        </w:tc>
        <w:tc>
          <w:tcPr>
            <w:tcW w:w="5331" w:type="dxa"/>
            <w:gridSpan w:val="5"/>
            <w:tcBorders>
              <w:tl2br w:val="nil"/>
              <w:tr2bl w:val="nil"/>
            </w:tcBorders>
            <w:shd w:val="clear" w:color="auto" w:fill="auto"/>
            <w:vAlign w:val="center"/>
          </w:tcPr>
          <w:p w14:paraId="7BCCA7E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1.51</w:t>
            </w:r>
          </w:p>
        </w:tc>
      </w:tr>
      <w:tr w14:paraId="6F450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restart"/>
            <w:tcBorders>
              <w:tl2br w:val="nil"/>
              <w:tr2bl w:val="nil"/>
            </w:tcBorders>
            <w:shd w:val="clear" w:color="auto" w:fill="auto"/>
            <w:vAlign w:val="center"/>
          </w:tcPr>
          <w:p w14:paraId="27E40D5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防治标准等级及目标</w:t>
            </w:r>
          </w:p>
        </w:tc>
        <w:tc>
          <w:tcPr>
            <w:tcW w:w="2786" w:type="dxa"/>
            <w:gridSpan w:val="2"/>
            <w:tcBorders>
              <w:tl2br w:val="nil"/>
              <w:tr2bl w:val="nil"/>
            </w:tcBorders>
            <w:shd w:val="clear" w:color="auto" w:fill="auto"/>
            <w:vAlign w:val="center"/>
          </w:tcPr>
          <w:p w14:paraId="0B2373A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防治标准等级</w:t>
            </w:r>
          </w:p>
        </w:tc>
        <w:tc>
          <w:tcPr>
            <w:tcW w:w="5331" w:type="dxa"/>
            <w:gridSpan w:val="5"/>
            <w:tcBorders>
              <w:tl2br w:val="nil"/>
              <w:tr2bl w:val="nil"/>
            </w:tcBorders>
            <w:shd w:val="clear" w:color="auto" w:fill="auto"/>
            <w:vAlign w:val="center"/>
          </w:tcPr>
          <w:p w14:paraId="773B7CF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一级</w:t>
            </w:r>
          </w:p>
        </w:tc>
      </w:tr>
      <w:tr w14:paraId="4FED2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4B11917A">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86" w:type="dxa"/>
            <w:gridSpan w:val="2"/>
            <w:tcBorders>
              <w:tl2br w:val="nil"/>
              <w:tr2bl w:val="nil"/>
            </w:tcBorders>
            <w:shd w:val="clear" w:color="auto" w:fill="auto"/>
            <w:vAlign w:val="center"/>
          </w:tcPr>
          <w:p w14:paraId="4D035D6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水土流失治理度（%）</w:t>
            </w:r>
          </w:p>
        </w:tc>
        <w:tc>
          <w:tcPr>
            <w:tcW w:w="1068" w:type="dxa"/>
            <w:gridSpan w:val="2"/>
            <w:tcBorders>
              <w:tl2br w:val="nil"/>
              <w:tr2bl w:val="nil"/>
            </w:tcBorders>
            <w:shd w:val="clear" w:color="auto" w:fill="auto"/>
            <w:vAlign w:val="center"/>
          </w:tcPr>
          <w:p w14:paraId="1962530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97</w:t>
            </w:r>
          </w:p>
        </w:tc>
        <w:tc>
          <w:tcPr>
            <w:tcW w:w="2018" w:type="dxa"/>
            <w:gridSpan w:val="2"/>
            <w:tcBorders>
              <w:tl2br w:val="nil"/>
              <w:tr2bl w:val="nil"/>
            </w:tcBorders>
            <w:shd w:val="clear" w:color="auto" w:fill="auto"/>
            <w:vAlign w:val="center"/>
          </w:tcPr>
          <w:p w14:paraId="1D42FD7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土壤流失控制比</w:t>
            </w:r>
          </w:p>
        </w:tc>
        <w:tc>
          <w:tcPr>
            <w:tcW w:w="2245" w:type="dxa"/>
            <w:tcBorders>
              <w:tl2br w:val="nil"/>
              <w:tr2bl w:val="nil"/>
            </w:tcBorders>
            <w:shd w:val="clear" w:color="auto" w:fill="auto"/>
            <w:vAlign w:val="center"/>
          </w:tcPr>
          <w:p w14:paraId="28F28562">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1.0</w:t>
            </w:r>
          </w:p>
        </w:tc>
      </w:tr>
      <w:tr w14:paraId="5F9F9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34A718F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86" w:type="dxa"/>
            <w:gridSpan w:val="2"/>
            <w:tcBorders>
              <w:tl2br w:val="nil"/>
              <w:tr2bl w:val="nil"/>
            </w:tcBorders>
            <w:shd w:val="clear" w:color="auto" w:fill="auto"/>
            <w:vAlign w:val="center"/>
          </w:tcPr>
          <w:p w14:paraId="78BB399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渣土防护率（%）</w:t>
            </w:r>
          </w:p>
        </w:tc>
        <w:tc>
          <w:tcPr>
            <w:tcW w:w="1068" w:type="dxa"/>
            <w:gridSpan w:val="2"/>
            <w:tcBorders>
              <w:tl2br w:val="nil"/>
              <w:tr2bl w:val="nil"/>
            </w:tcBorders>
            <w:shd w:val="clear" w:color="auto" w:fill="auto"/>
            <w:vAlign w:val="center"/>
          </w:tcPr>
          <w:p w14:paraId="583C63E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rPr>
              <w:t>9</w:t>
            </w:r>
            <w:r>
              <w:rPr>
                <w:rFonts w:hint="default" w:ascii="Times New Roman" w:hAnsi="Times New Roman" w:eastAsia="仿宋_GB2312" w:cs="Times New Roman"/>
                <w:color w:val="000000" w:themeColor="text1"/>
                <w:kern w:val="0"/>
                <w:sz w:val="18"/>
                <w:szCs w:val="18"/>
                <w:highlight w:val="none"/>
                <w:lang w:val="en-US" w:eastAsia="zh-CN"/>
              </w:rPr>
              <w:t>2</w:t>
            </w:r>
          </w:p>
        </w:tc>
        <w:tc>
          <w:tcPr>
            <w:tcW w:w="2018" w:type="dxa"/>
            <w:gridSpan w:val="2"/>
            <w:tcBorders>
              <w:tl2br w:val="nil"/>
              <w:tr2bl w:val="nil"/>
            </w:tcBorders>
            <w:shd w:val="clear" w:color="auto" w:fill="auto"/>
            <w:vAlign w:val="center"/>
          </w:tcPr>
          <w:p w14:paraId="0C7D19D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表土保护率（%）</w:t>
            </w:r>
          </w:p>
        </w:tc>
        <w:tc>
          <w:tcPr>
            <w:tcW w:w="2245" w:type="dxa"/>
            <w:tcBorders>
              <w:tl2br w:val="nil"/>
              <w:tr2bl w:val="nil"/>
            </w:tcBorders>
            <w:shd w:val="clear" w:color="auto" w:fill="auto"/>
            <w:vAlign w:val="center"/>
          </w:tcPr>
          <w:p w14:paraId="285184F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95</w:t>
            </w:r>
          </w:p>
        </w:tc>
      </w:tr>
      <w:tr w14:paraId="7E9E1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756" w:type="dxa"/>
            <w:vMerge w:val="continue"/>
            <w:tcBorders>
              <w:tl2br w:val="nil"/>
              <w:tr2bl w:val="nil"/>
            </w:tcBorders>
            <w:vAlign w:val="center"/>
          </w:tcPr>
          <w:p w14:paraId="6E14718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86" w:type="dxa"/>
            <w:gridSpan w:val="2"/>
            <w:tcBorders>
              <w:tl2br w:val="nil"/>
              <w:tr2bl w:val="nil"/>
            </w:tcBorders>
            <w:shd w:val="clear" w:color="auto" w:fill="auto"/>
            <w:vAlign w:val="center"/>
          </w:tcPr>
          <w:p w14:paraId="34B4AFC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林草植被恢复率（%）</w:t>
            </w:r>
          </w:p>
        </w:tc>
        <w:tc>
          <w:tcPr>
            <w:tcW w:w="1068" w:type="dxa"/>
            <w:gridSpan w:val="2"/>
            <w:tcBorders>
              <w:tl2br w:val="nil"/>
              <w:tr2bl w:val="nil"/>
            </w:tcBorders>
            <w:shd w:val="clear" w:color="auto" w:fill="auto"/>
            <w:vAlign w:val="center"/>
          </w:tcPr>
          <w:p w14:paraId="0C170EF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96</w:t>
            </w:r>
          </w:p>
        </w:tc>
        <w:tc>
          <w:tcPr>
            <w:tcW w:w="2018" w:type="dxa"/>
            <w:gridSpan w:val="2"/>
            <w:tcBorders>
              <w:tl2br w:val="nil"/>
              <w:tr2bl w:val="nil"/>
            </w:tcBorders>
            <w:shd w:val="clear" w:color="auto" w:fill="auto"/>
            <w:vAlign w:val="center"/>
          </w:tcPr>
          <w:p w14:paraId="2B629FD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林草覆盖率（%）</w:t>
            </w:r>
          </w:p>
        </w:tc>
        <w:tc>
          <w:tcPr>
            <w:tcW w:w="2245" w:type="dxa"/>
            <w:tcBorders>
              <w:tl2br w:val="nil"/>
              <w:tr2bl w:val="nil"/>
            </w:tcBorders>
            <w:shd w:val="clear" w:color="auto" w:fill="auto"/>
            <w:vAlign w:val="center"/>
          </w:tcPr>
          <w:p w14:paraId="665EF902">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15</w:t>
            </w:r>
          </w:p>
        </w:tc>
      </w:tr>
      <w:tr w14:paraId="5C8AF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56" w:type="dxa"/>
            <w:tcBorders>
              <w:tl2br w:val="nil"/>
              <w:tr2bl w:val="nil"/>
            </w:tcBorders>
            <w:shd w:val="clear" w:color="auto" w:fill="auto"/>
            <w:vAlign w:val="center"/>
          </w:tcPr>
          <w:p w14:paraId="1F548E4A">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水土保持措施</w:t>
            </w:r>
          </w:p>
        </w:tc>
        <w:tc>
          <w:tcPr>
            <w:tcW w:w="8117" w:type="dxa"/>
            <w:gridSpan w:val="7"/>
            <w:tcBorders>
              <w:tl2br w:val="nil"/>
              <w:tr2bl w:val="nil"/>
            </w:tcBorders>
            <w:shd w:val="clear" w:color="auto" w:fill="auto"/>
            <w:vAlign w:val="center"/>
          </w:tcPr>
          <w:p w14:paraId="01969CCB">
            <w:pPr>
              <w:widowControl/>
              <w:spacing w:line="240" w:lineRule="auto"/>
              <w:ind w:firstLine="0" w:firstLineChars="0"/>
              <w:jc w:val="left"/>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一、主体工程中具有水土保持功能的措施：</w:t>
            </w:r>
          </w:p>
          <w:p w14:paraId="4A07C530">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1、地块一</w:t>
            </w:r>
          </w:p>
          <w:p w14:paraId="5EEF089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（1）工程措施：表土剥离</w:t>
            </w:r>
            <w:r>
              <w:rPr>
                <w:rFonts w:hint="default" w:ascii="Times New Roman" w:hAnsi="Times New Roman" w:eastAsia="仿宋_GB2312" w:cs="Times New Roman"/>
                <w:sz w:val="18"/>
                <w:szCs w:val="18"/>
                <w:highlight w:val="none"/>
                <w:lang w:val="en-US" w:eastAsia="zh-CN"/>
              </w:rPr>
              <w:t>555</w:t>
            </w:r>
            <w:r>
              <w:rPr>
                <w:rFonts w:hint="default" w:ascii="Times New Roman" w:hAnsi="Times New Roman" w:eastAsia="仿宋_GB2312" w:cs="Times New Roman"/>
                <w:sz w:val="18"/>
                <w:szCs w:val="18"/>
                <w:highlight w:val="none"/>
                <w:lang w:eastAsia="zh-CN"/>
              </w:rPr>
              <w:t>.00</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3</w:t>
            </w:r>
            <w:r>
              <w:rPr>
                <w:rFonts w:hint="default" w:ascii="Times New Roman" w:hAnsi="Times New Roman" w:eastAsia="仿宋_GB2312" w:cs="Times New Roman"/>
                <w:sz w:val="18"/>
                <w:szCs w:val="18"/>
                <w:highlight w:val="none"/>
              </w:rPr>
              <w:t>，雨水管网</w:t>
            </w:r>
            <w:r>
              <w:rPr>
                <w:rFonts w:hint="default" w:ascii="Times New Roman" w:hAnsi="Times New Roman" w:eastAsia="仿宋_GB2312" w:cs="Times New Roman"/>
                <w:sz w:val="18"/>
                <w:szCs w:val="18"/>
                <w:highlight w:val="none"/>
                <w:lang w:val="en-US" w:eastAsia="zh-CN"/>
              </w:rPr>
              <w:t>200</w:t>
            </w:r>
            <w:r>
              <w:rPr>
                <w:rFonts w:hint="default" w:ascii="Times New Roman" w:hAnsi="Times New Roman" w:eastAsia="仿宋_GB2312" w:cs="Times New Roman"/>
                <w:sz w:val="18"/>
                <w:szCs w:val="18"/>
                <w:highlight w:val="none"/>
              </w:rPr>
              <w:t>m；</w:t>
            </w:r>
          </w:p>
          <w:p w14:paraId="456F6D27">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（2）植物措施：景观绿化0.0</w:t>
            </w:r>
            <w:r>
              <w:rPr>
                <w:rFonts w:hint="default" w:ascii="Times New Roman" w:hAnsi="Times New Roman" w:eastAsia="仿宋_GB2312" w:cs="Times New Roman"/>
                <w:sz w:val="18"/>
                <w:szCs w:val="18"/>
                <w:highlight w:val="none"/>
                <w:lang w:val="en-US" w:eastAsia="zh-CN"/>
              </w:rPr>
              <w:t>9</w:t>
            </w:r>
            <w:r>
              <w:rPr>
                <w:rFonts w:hint="default" w:ascii="Times New Roman" w:hAnsi="Times New Roman" w:eastAsia="仿宋_GB2312" w:cs="Times New Roman"/>
                <w:sz w:val="18"/>
                <w:szCs w:val="18"/>
                <w:highlight w:val="none"/>
              </w:rPr>
              <w:t>hm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w:t>
            </w:r>
          </w:p>
          <w:p w14:paraId="7BF24F3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2、地块二</w:t>
            </w:r>
          </w:p>
          <w:p w14:paraId="39C85D4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（1）工程措施：表土剥离</w:t>
            </w:r>
            <w:r>
              <w:rPr>
                <w:rFonts w:hint="default" w:ascii="Times New Roman" w:hAnsi="Times New Roman" w:eastAsia="仿宋_GB2312" w:cs="Times New Roman"/>
                <w:sz w:val="18"/>
                <w:szCs w:val="18"/>
                <w:highlight w:val="none"/>
                <w:lang w:val="en-US" w:eastAsia="zh-CN"/>
              </w:rPr>
              <w:t>1365</w:t>
            </w:r>
            <w:r>
              <w:rPr>
                <w:rFonts w:hint="default" w:ascii="Times New Roman" w:hAnsi="Times New Roman" w:eastAsia="仿宋_GB2312" w:cs="Times New Roman"/>
                <w:sz w:val="18"/>
                <w:szCs w:val="18"/>
                <w:highlight w:val="none"/>
                <w:lang w:eastAsia="zh-CN"/>
              </w:rPr>
              <w:t>.00</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3</w:t>
            </w:r>
            <w:r>
              <w:rPr>
                <w:rFonts w:hint="default" w:ascii="Times New Roman" w:hAnsi="Times New Roman" w:eastAsia="仿宋_GB2312" w:cs="Times New Roman"/>
                <w:sz w:val="18"/>
                <w:szCs w:val="18"/>
                <w:highlight w:val="none"/>
              </w:rPr>
              <w:t>，雨水管网</w:t>
            </w:r>
            <w:r>
              <w:rPr>
                <w:rFonts w:hint="default" w:ascii="Times New Roman" w:hAnsi="Times New Roman" w:eastAsia="仿宋_GB2312" w:cs="Times New Roman"/>
                <w:sz w:val="18"/>
                <w:szCs w:val="18"/>
                <w:highlight w:val="none"/>
                <w:lang w:val="en-US" w:eastAsia="zh-CN"/>
              </w:rPr>
              <w:t>245</w:t>
            </w:r>
            <w:r>
              <w:rPr>
                <w:rFonts w:hint="default" w:ascii="Times New Roman" w:hAnsi="Times New Roman" w:eastAsia="仿宋_GB2312" w:cs="Times New Roman"/>
                <w:sz w:val="18"/>
                <w:szCs w:val="18"/>
                <w:highlight w:val="none"/>
              </w:rPr>
              <w:t>m；</w:t>
            </w:r>
          </w:p>
          <w:p w14:paraId="5A1BA8D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000000" w:themeColor="text1"/>
                <w:sz w:val="18"/>
                <w:szCs w:val="18"/>
                <w:highlight w:val="none"/>
              </w:rPr>
            </w:pPr>
            <w:r>
              <w:rPr>
                <w:rFonts w:hint="default" w:ascii="Times New Roman" w:hAnsi="Times New Roman" w:eastAsia="仿宋_GB2312" w:cs="Times New Roman"/>
                <w:sz w:val="18"/>
                <w:szCs w:val="18"/>
                <w:highlight w:val="none"/>
              </w:rPr>
              <w:t>（2）植物措施：景观绿化0.</w:t>
            </w:r>
            <w:r>
              <w:rPr>
                <w:rFonts w:hint="default" w:ascii="Times New Roman" w:hAnsi="Times New Roman" w:eastAsia="仿宋_GB2312" w:cs="Times New Roman"/>
                <w:sz w:val="18"/>
                <w:szCs w:val="18"/>
                <w:highlight w:val="none"/>
                <w:lang w:val="en-US" w:eastAsia="zh-CN"/>
              </w:rPr>
              <w:t>14</w:t>
            </w:r>
            <w:r>
              <w:rPr>
                <w:rFonts w:hint="default" w:ascii="Times New Roman" w:hAnsi="Times New Roman" w:eastAsia="仿宋_GB2312" w:cs="Times New Roman"/>
                <w:sz w:val="18"/>
                <w:szCs w:val="18"/>
                <w:highlight w:val="none"/>
              </w:rPr>
              <w:t>hm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w:t>
            </w:r>
          </w:p>
          <w:p w14:paraId="4ACEEABE">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二、方案新增的水土保持措施为：</w:t>
            </w:r>
          </w:p>
          <w:p w14:paraId="01CC5CFD">
            <w:pPr>
              <w:pStyle w:val="10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1、地块一</w:t>
            </w:r>
          </w:p>
          <w:p w14:paraId="668CC22E">
            <w:pPr>
              <w:pStyle w:val="10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rPr>
            </w:pPr>
            <w:r>
              <w:rPr>
                <w:rFonts w:hint="default" w:ascii="Times New Roman" w:hAnsi="Times New Roman" w:eastAsia="仿宋_GB2312" w:cs="Times New Roman"/>
                <w:sz w:val="18"/>
                <w:szCs w:val="18"/>
                <w:highlight w:val="none"/>
              </w:rPr>
              <w:t>（1）临时措施：临时彩条布苫盖</w:t>
            </w:r>
            <w:r>
              <w:rPr>
                <w:rFonts w:hint="default" w:ascii="Times New Roman" w:hAnsi="Times New Roman" w:eastAsia="仿宋_GB2312" w:cs="Times New Roman"/>
                <w:sz w:val="18"/>
                <w:szCs w:val="18"/>
                <w:highlight w:val="none"/>
                <w:lang w:val="en-US" w:eastAsia="zh-CN"/>
              </w:rPr>
              <w:t>881.40</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，临时沉砂池</w:t>
            </w:r>
            <w:r>
              <w:rPr>
                <w:rFonts w:hint="default" w:ascii="Times New Roman" w:hAnsi="Times New Roman" w:eastAsia="仿宋_GB2312" w:cs="Times New Roman"/>
                <w:sz w:val="18"/>
                <w:szCs w:val="18"/>
                <w:highlight w:val="none"/>
                <w:lang w:val="en-US" w:eastAsia="zh-CN"/>
              </w:rPr>
              <w:t>2</w:t>
            </w:r>
            <w:r>
              <w:rPr>
                <w:rFonts w:hint="default" w:ascii="Times New Roman" w:hAnsi="Times New Roman" w:eastAsia="仿宋_GB2312" w:cs="Times New Roman"/>
                <w:sz w:val="18"/>
                <w:szCs w:val="18"/>
                <w:highlight w:val="none"/>
              </w:rPr>
              <w:t>座，车辆清</w:t>
            </w:r>
            <w:r>
              <w:rPr>
                <w:rFonts w:hint="default" w:ascii="Times New Roman" w:hAnsi="Times New Roman" w:eastAsia="仿宋_GB2312" w:cs="Times New Roman"/>
                <w:sz w:val="18"/>
                <w:szCs w:val="18"/>
                <w:highlight w:val="none"/>
                <w:lang w:val="en-US" w:eastAsia="zh-CN"/>
              </w:rPr>
              <w:t>洗池1座，车辆冲洗设备</w:t>
            </w:r>
            <w:r>
              <w:rPr>
                <w:rFonts w:hint="default" w:ascii="Times New Roman" w:hAnsi="Times New Roman" w:eastAsia="仿宋_GB2312" w:cs="Times New Roman"/>
                <w:sz w:val="18"/>
                <w:szCs w:val="18"/>
                <w:highlight w:val="none"/>
              </w:rPr>
              <w:t>1</w:t>
            </w:r>
            <w:r>
              <w:rPr>
                <w:rFonts w:hint="default" w:ascii="Times New Roman" w:hAnsi="Times New Roman" w:eastAsia="仿宋_GB2312" w:cs="Times New Roman"/>
                <w:sz w:val="18"/>
                <w:szCs w:val="18"/>
                <w:highlight w:val="none"/>
                <w:lang w:val="en-US" w:eastAsia="zh-CN"/>
              </w:rPr>
              <w:t>套，</w:t>
            </w:r>
            <w:r>
              <w:rPr>
                <w:rFonts w:hint="default" w:ascii="Times New Roman" w:hAnsi="Times New Roman" w:eastAsia="仿宋_GB2312" w:cs="Times New Roman"/>
                <w:sz w:val="18"/>
                <w:szCs w:val="18"/>
                <w:highlight w:val="none"/>
              </w:rPr>
              <w:t>临时无纺布苫盖</w:t>
            </w:r>
            <w:r>
              <w:rPr>
                <w:rFonts w:hint="default" w:ascii="Times New Roman" w:hAnsi="Times New Roman" w:eastAsia="仿宋_GB2312" w:cs="Times New Roman"/>
                <w:sz w:val="18"/>
                <w:szCs w:val="18"/>
                <w:highlight w:val="none"/>
                <w:lang w:val="en-US" w:eastAsia="zh-CN"/>
              </w:rPr>
              <w:t>900.00</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w:t>
            </w:r>
            <w:r>
              <w:rPr>
                <w:rFonts w:hint="default" w:ascii="Times New Roman" w:hAnsi="Times New Roman" w:eastAsia="仿宋_GB2312" w:cs="Times New Roman"/>
                <w:sz w:val="18"/>
                <w:szCs w:val="18"/>
                <w:highlight w:val="none"/>
                <w:lang w:val="en-US" w:eastAsia="zh-CN"/>
              </w:rPr>
              <w:t>编织袋挡墙82m</w:t>
            </w:r>
            <w:r>
              <w:rPr>
                <w:rFonts w:hint="default" w:ascii="Times New Roman" w:hAnsi="Times New Roman" w:eastAsia="仿宋_GB2312" w:cs="Times New Roman"/>
                <w:sz w:val="18"/>
                <w:szCs w:val="18"/>
                <w:highlight w:val="none"/>
              </w:rPr>
              <w:t>。</w:t>
            </w:r>
          </w:p>
          <w:p w14:paraId="2D813EFD">
            <w:pPr>
              <w:pStyle w:val="10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sz w:val="18"/>
                <w:szCs w:val="18"/>
                <w:highlight w:val="none"/>
                <w:lang w:val="en-US" w:eastAsia="zh-CN"/>
              </w:rPr>
            </w:pPr>
            <w:r>
              <w:rPr>
                <w:rFonts w:hint="default" w:ascii="Times New Roman" w:hAnsi="Times New Roman" w:eastAsia="仿宋_GB2312" w:cs="Times New Roman"/>
                <w:sz w:val="18"/>
                <w:szCs w:val="18"/>
                <w:highlight w:val="none"/>
                <w:lang w:val="en-US" w:eastAsia="zh-CN"/>
              </w:rPr>
              <w:t>2、地块二</w:t>
            </w:r>
          </w:p>
          <w:p w14:paraId="29E6028E">
            <w:pPr>
              <w:pStyle w:val="100"/>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sz w:val="18"/>
                <w:szCs w:val="18"/>
                <w:highlight w:val="none"/>
              </w:rPr>
              <w:t>（1）临时措施：临时彩条布苫盖</w:t>
            </w:r>
            <w:r>
              <w:rPr>
                <w:rFonts w:hint="default" w:ascii="Times New Roman" w:hAnsi="Times New Roman" w:eastAsia="仿宋_GB2312" w:cs="Times New Roman"/>
                <w:sz w:val="18"/>
                <w:szCs w:val="18"/>
                <w:highlight w:val="none"/>
                <w:lang w:val="en-US" w:eastAsia="zh-CN"/>
              </w:rPr>
              <w:t>1301.20</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，临时沉砂池</w:t>
            </w:r>
            <w:r>
              <w:rPr>
                <w:rFonts w:hint="default" w:ascii="Times New Roman" w:hAnsi="Times New Roman" w:eastAsia="仿宋_GB2312" w:cs="Times New Roman"/>
                <w:sz w:val="18"/>
                <w:szCs w:val="18"/>
                <w:highlight w:val="none"/>
                <w:lang w:val="en-US" w:eastAsia="zh-CN"/>
              </w:rPr>
              <w:t>2</w:t>
            </w:r>
            <w:r>
              <w:rPr>
                <w:rFonts w:hint="default" w:ascii="Times New Roman" w:hAnsi="Times New Roman" w:eastAsia="仿宋_GB2312" w:cs="Times New Roman"/>
                <w:sz w:val="18"/>
                <w:szCs w:val="18"/>
                <w:highlight w:val="none"/>
              </w:rPr>
              <w:t>座，车辆清</w:t>
            </w:r>
            <w:r>
              <w:rPr>
                <w:rFonts w:hint="default" w:ascii="Times New Roman" w:hAnsi="Times New Roman" w:eastAsia="仿宋_GB2312" w:cs="Times New Roman"/>
                <w:sz w:val="18"/>
                <w:szCs w:val="18"/>
                <w:highlight w:val="none"/>
                <w:lang w:val="en-US" w:eastAsia="zh-CN"/>
              </w:rPr>
              <w:t>洗池1座，车辆冲洗设备</w:t>
            </w:r>
            <w:r>
              <w:rPr>
                <w:rFonts w:hint="default" w:ascii="Times New Roman" w:hAnsi="Times New Roman" w:eastAsia="仿宋_GB2312" w:cs="Times New Roman"/>
                <w:sz w:val="18"/>
                <w:szCs w:val="18"/>
                <w:highlight w:val="none"/>
              </w:rPr>
              <w:t>1</w:t>
            </w:r>
            <w:r>
              <w:rPr>
                <w:rFonts w:hint="default" w:ascii="Times New Roman" w:hAnsi="Times New Roman" w:eastAsia="仿宋_GB2312" w:cs="Times New Roman"/>
                <w:sz w:val="18"/>
                <w:szCs w:val="18"/>
                <w:highlight w:val="none"/>
                <w:lang w:val="en-US" w:eastAsia="zh-CN"/>
              </w:rPr>
              <w:t>套，</w:t>
            </w:r>
            <w:r>
              <w:rPr>
                <w:rFonts w:hint="default" w:ascii="Times New Roman" w:hAnsi="Times New Roman" w:eastAsia="仿宋_GB2312" w:cs="Times New Roman"/>
                <w:sz w:val="18"/>
                <w:szCs w:val="18"/>
                <w:highlight w:val="none"/>
              </w:rPr>
              <w:t>临时无纺布苫盖</w:t>
            </w:r>
            <w:r>
              <w:rPr>
                <w:rFonts w:hint="default" w:ascii="Times New Roman" w:hAnsi="Times New Roman" w:eastAsia="仿宋_GB2312" w:cs="Times New Roman"/>
                <w:sz w:val="18"/>
                <w:szCs w:val="18"/>
                <w:highlight w:val="none"/>
                <w:lang w:val="en-US" w:eastAsia="zh-CN"/>
              </w:rPr>
              <w:t>1400.00</w:t>
            </w:r>
            <w:r>
              <w:rPr>
                <w:rFonts w:hint="default" w:ascii="Times New Roman" w:hAnsi="Times New Roman" w:eastAsia="仿宋_GB2312" w:cs="Times New Roman"/>
                <w:sz w:val="18"/>
                <w:szCs w:val="18"/>
                <w:highlight w:val="none"/>
              </w:rPr>
              <w:t>m</w:t>
            </w:r>
            <w:r>
              <w:rPr>
                <w:rFonts w:hint="default" w:ascii="Times New Roman" w:hAnsi="Times New Roman" w:eastAsia="仿宋_GB2312" w:cs="Times New Roman"/>
                <w:sz w:val="18"/>
                <w:szCs w:val="18"/>
                <w:highlight w:val="none"/>
                <w:vertAlign w:val="superscript"/>
              </w:rPr>
              <w:t>2</w:t>
            </w:r>
            <w:r>
              <w:rPr>
                <w:rFonts w:hint="default" w:ascii="Times New Roman" w:hAnsi="Times New Roman" w:eastAsia="仿宋_GB2312" w:cs="Times New Roman"/>
                <w:sz w:val="18"/>
                <w:szCs w:val="18"/>
                <w:highlight w:val="none"/>
              </w:rPr>
              <w:t>，</w:t>
            </w:r>
            <w:r>
              <w:rPr>
                <w:rFonts w:hint="default" w:ascii="Times New Roman" w:hAnsi="Times New Roman" w:eastAsia="仿宋_GB2312" w:cs="Times New Roman"/>
                <w:sz w:val="18"/>
                <w:szCs w:val="18"/>
                <w:highlight w:val="none"/>
                <w:lang w:val="en-US" w:eastAsia="zh-CN"/>
              </w:rPr>
              <w:t>编织袋挡墙283m</w:t>
            </w:r>
            <w:r>
              <w:rPr>
                <w:rFonts w:hint="default" w:ascii="Times New Roman" w:hAnsi="Times New Roman" w:eastAsia="仿宋_GB2312" w:cs="Times New Roman"/>
                <w:sz w:val="18"/>
                <w:szCs w:val="18"/>
                <w:highlight w:val="none"/>
              </w:rPr>
              <w:t>。</w:t>
            </w:r>
          </w:p>
        </w:tc>
      </w:tr>
      <w:tr w14:paraId="5E37F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restart"/>
            <w:tcBorders>
              <w:tl2br w:val="nil"/>
              <w:tr2bl w:val="nil"/>
            </w:tcBorders>
            <w:shd w:val="clear" w:color="auto" w:fill="auto"/>
            <w:vAlign w:val="center"/>
          </w:tcPr>
          <w:p w14:paraId="2190F11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水土保持投资</w:t>
            </w:r>
            <w:r>
              <w:rPr>
                <w:rFonts w:hint="default" w:ascii="Times New Roman" w:hAnsi="Times New Roman" w:eastAsia="仿宋_GB2312" w:cs="Times New Roman"/>
                <w:color w:val="000000" w:themeColor="text1"/>
                <w:kern w:val="0"/>
                <w:sz w:val="18"/>
                <w:szCs w:val="18"/>
                <w:highlight w:val="none"/>
                <w:lang w:eastAsia="zh-CN"/>
              </w:rPr>
              <w:t>概算</w:t>
            </w:r>
            <w:r>
              <w:rPr>
                <w:rFonts w:hint="default" w:ascii="Times New Roman" w:hAnsi="Times New Roman" w:eastAsia="仿宋_GB2312" w:cs="Times New Roman"/>
                <w:color w:val="000000" w:themeColor="text1"/>
                <w:kern w:val="0"/>
                <w:sz w:val="18"/>
                <w:szCs w:val="18"/>
                <w:highlight w:val="none"/>
              </w:rPr>
              <w:t>（万元）</w:t>
            </w:r>
          </w:p>
        </w:tc>
        <w:tc>
          <w:tcPr>
            <w:tcW w:w="1077" w:type="dxa"/>
            <w:tcBorders>
              <w:tl2br w:val="nil"/>
              <w:tr2bl w:val="nil"/>
            </w:tcBorders>
            <w:shd w:val="clear" w:color="auto" w:fill="auto"/>
            <w:vAlign w:val="center"/>
          </w:tcPr>
          <w:p w14:paraId="14B62A8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工程措施</w:t>
            </w:r>
          </w:p>
        </w:tc>
        <w:tc>
          <w:tcPr>
            <w:tcW w:w="2777" w:type="dxa"/>
            <w:gridSpan w:val="3"/>
            <w:tcBorders>
              <w:tl2br w:val="nil"/>
              <w:tr2bl w:val="nil"/>
            </w:tcBorders>
            <w:shd w:val="clear" w:color="auto" w:fill="auto"/>
            <w:vAlign w:val="center"/>
          </w:tcPr>
          <w:p w14:paraId="3A9E1CD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eastAsia" w:ascii="Times New Roman" w:hAnsi="Times New Roman" w:cs="Times New Roman"/>
                <w:color w:val="000000" w:themeColor="text1"/>
                <w:kern w:val="0"/>
                <w:sz w:val="18"/>
                <w:szCs w:val="18"/>
                <w:highlight w:val="none"/>
                <w:lang w:val="en-US" w:eastAsia="zh-CN"/>
              </w:rPr>
              <w:t>10.94</w:t>
            </w:r>
          </w:p>
        </w:tc>
        <w:tc>
          <w:tcPr>
            <w:tcW w:w="2018" w:type="dxa"/>
            <w:gridSpan w:val="2"/>
            <w:tcBorders>
              <w:tl2br w:val="nil"/>
              <w:tr2bl w:val="nil"/>
            </w:tcBorders>
            <w:shd w:val="clear" w:color="auto" w:fill="auto"/>
            <w:vAlign w:val="center"/>
          </w:tcPr>
          <w:p w14:paraId="0968C7DF">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植物措施</w:t>
            </w:r>
          </w:p>
        </w:tc>
        <w:tc>
          <w:tcPr>
            <w:tcW w:w="2245" w:type="dxa"/>
            <w:tcBorders>
              <w:tl2br w:val="nil"/>
              <w:tr2bl w:val="nil"/>
            </w:tcBorders>
            <w:shd w:val="clear" w:color="auto" w:fill="auto"/>
            <w:vAlign w:val="center"/>
          </w:tcPr>
          <w:p w14:paraId="20A45E4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eastAsia" w:ascii="Times New Roman" w:hAnsi="Times New Roman" w:cs="Times New Roman"/>
                <w:color w:val="000000" w:themeColor="text1"/>
                <w:kern w:val="0"/>
                <w:sz w:val="18"/>
                <w:szCs w:val="18"/>
                <w:highlight w:val="none"/>
                <w:lang w:val="en-US" w:eastAsia="zh-CN"/>
              </w:rPr>
              <w:t>27.60</w:t>
            </w:r>
          </w:p>
        </w:tc>
      </w:tr>
      <w:tr w14:paraId="24ED9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29484DD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tcBorders>
              <w:tl2br w:val="nil"/>
              <w:tr2bl w:val="nil"/>
            </w:tcBorders>
            <w:shd w:val="clear" w:color="auto" w:fill="auto"/>
            <w:vAlign w:val="center"/>
          </w:tcPr>
          <w:p w14:paraId="21A19F3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临时措施</w:t>
            </w:r>
          </w:p>
        </w:tc>
        <w:tc>
          <w:tcPr>
            <w:tcW w:w="2777" w:type="dxa"/>
            <w:gridSpan w:val="3"/>
            <w:tcBorders>
              <w:tl2br w:val="nil"/>
              <w:tr2bl w:val="nil"/>
            </w:tcBorders>
            <w:shd w:val="clear" w:color="auto" w:fill="auto"/>
            <w:vAlign w:val="center"/>
          </w:tcPr>
          <w:p w14:paraId="1C2A3085">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eastAsia" w:ascii="Times New Roman" w:hAnsi="Times New Roman" w:cs="Times New Roman"/>
                <w:color w:val="000000" w:themeColor="text1"/>
                <w:kern w:val="0"/>
                <w:sz w:val="18"/>
                <w:szCs w:val="18"/>
                <w:highlight w:val="none"/>
                <w:lang w:val="en-US" w:eastAsia="zh-CN"/>
              </w:rPr>
              <w:t>9.39</w:t>
            </w:r>
          </w:p>
        </w:tc>
        <w:tc>
          <w:tcPr>
            <w:tcW w:w="2018" w:type="dxa"/>
            <w:gridSpan w:val="2"/>
            <w:tcBorders>
              <w:tl2br w:val="nil"/>
              <w:tr2bl w:val="nil"/>
            </w:tcBorders>
            <w:shd w:val="clear" w:color="auto" w:fill="auto"/>
            <w:vAlign w:val="center"/>
          </w:tcPr>
          <w:p w14:paraId="424BD90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水土保持补偿费</w:t>
            </w:r>
          </w:p>
        </w:tc>
        <w:tc>
          <w:tcPr>
            <w:tcW w:w="2245" w:type="dxa"/>
            <w:tcBorders>
              <w:tl2br w:val="nil"/>
              <w:tr2bl w:val="nil"/>
            </w:tcBorders>
            <w:shd w:val="clear" w:color="auto" w:fill="auto"/>
            <w:vAlign w:val="center"/>
          </w:tcPr>
          <w:p w14:paraId="397C79B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eastAsia" w:ascii="Times New Roman" w:hAnsi="Times New Roman" w:cs="Times New Roman"/>
                <w:color w:val="000000" w:themeColor="text1"/>
                <w:kern w:val="0"/>
                <w:sz w:val="18"/>
                <w:szCs w:val="18"/>
                <w:highlight w:val="none"/>
                <w:lang w:val="en-US" w:eastAsia="zh-CN"/>
              </w:rPr>
              <w:t>1.06</w:t>
            </w:r>
          </w:p>
        </w:tc>
      </w:tr>
      <w:tr w14:paraId="6ABA3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1FEB937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vMerge w:val="restart"/>
            <w:tcBorders>
              <w:tl2br w:val="nil"/>
              <w:tr2bl w:val="nil"/>
            </w:tcBorders>
            <w:shd w:val="clear" w:color="auto" w:fill="auto"/>
            <w:vAlign w:val="center"/>
          </w:tcPr>
          <w:p w14:paraId="56CF02F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独立费用</w:t>
            </w:r>
          </w:p>
        </w:tc>
        <w:tc>
          <w:tcPr>
            <w:tcW w:w="2777" w:type="dxa"/>
            <w:gridSpan w:val="3"/>
            <w:tcBorders>
              <w:tl2br w:val="nil"/>
              <w:tr2bl w:val="nil"/>
            </w:tcBorders>
            <w:shd w:val="clear" w:color="auto" w:fill="auto"/>
            <w:vAlign w:val="center"/>
          </w:tcPr>
          <w:p w14:paraId="4CEFC62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建设管理费</w:t>
            </w:r>
          </w:p>
        </w:tc>
        <w:tc>
          <w:tcPr>
            <w:tcW w:w="4263" w:type="dxa"/>
            <w:gridSpan w:val="3"/>
            <w:tcBorders>
              <w:tl2br w:val="nil"/>
              <w:tr2bl w:val="nil"/>
            </w:tcBorders>
            <w:shd w:val="clear" w:color="auto" w:fill="auto"/>
            <w:vAlign w:val="center"/>
          </w:tcPr>
          <w:p w14:paraId="2105CD8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0.</w:t>
            </w:r>
            <w:r>
              <w:rPr>
                <w:rFonts w:hint="eastAsia" w:ascii="Times New Roman" w:hAnsi="Times New Roman" w:cs="Times New Roman"/>
                <w:color w:val="000000" w:themeColor="text1"/>
                <w:kern w:val="0"/>
                <w:sz w:val="18"/>
                <w:szCs w:val="18"/>
                <w:highlight w:val="none"/>
                <w:lang w:val="en-US" w:eastAsia="zh-CN"/>
              </w:rPr>
              <w:t>19</w:t>
            </w:r>
          </w:p>
        </w:tc>
      </w:tr>
      <w:tr w14:paraId="6F0BB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08E595C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vMerge w:val="continue"/>
            <w:tcBorders>
              <w:tl2br w:val="nil"/>
              <w:tr2bl w:val="nil"/>
            </w:tcBorders>
            <w:vAlign w:val="center"/>
          </w:tcPr>
          <w:p w14:paraId="469093B2">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77" w:type="dxa"/>
            <w:gridSpan w:val="3"/>
            <w:tcBorders>
              <w:tl2br w:val="nil"/>
              <w:tr2bl w:val="nil"/>
            </w:tcBorders>
            <w:shd w:val="clear" w:color="auto" w:fill="auto"/>
            <w:vAlign w:val="center"/>
          </w:tcPr>
          <w:p w14:paraId="3F1FA61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水土保持监理费</w:t>
            </w:r>
          </w:p>
        </w:tc>
        <w:tc>
          <w:tcPr>
            <w:tcW w:w="4263" w:type="dxa"/>
            <w:gridSpan w:val="3"/>
            <w:tcBorders>
              <w:tl2br w:val="nil"/>
              <w:tr2bl w:val="nil"/>
            </w:tcBorders>
            <w:shd w:val="clear" w:color="auto" w:fill="auto"/>
            <w:vAlign w:val="center"/>
          </w:tcPr>
          <w:p w14:paraId="725A1C2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4.00</w:t>
            </w:r>
          </w:p>
        </w:tc>
      </w:tr>
      <w:tr w14:paraId="66B66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33FD5D2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vMerge w:val="continue"/>
            <w:tcBorders>
              <w:tl2br w:val="nil"/>
              <w:tr2bl w:val="nil"/>
            </w:tcBorders>
            <w:vAlign w:val="center"/>
          </w:tcPr>
          <w:p w14:paraId="1A349D2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77" w:type="dxa"/>
            <w:gridSpan w:val="3"/>
            <w:tcBorders>
              <w:tl2br w:val="nil"/>
              <w:tr2bl w:val="nil"/>
            </w:tcBorders>
            <w:shd w:val="clear" w:color="auto" w:fill="auto"/>
            <w:vAlign w:val="center"/>
          </w:tcPr>
          <w:p w14:paraId="62CE4A1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水土保持监测费</w:t>
            </w:r>
          </w:p>
        </w:tc>
        <w:tc>
          <w:tcPr>
            <w:tcW w:w="4263" w:type="dxa"/>
            <w:gridSpan w:val="3"/>
            <w:tcBorders>
              <w:tl2br w:val="nil"/>
              <w:tr2bl w:val="nil"/>
            </w:tcBorders>
            <w:shd w:val="clear" w:color="auto" w:fill="auto"/>
            <w:vAlign w:val="center"/>
          </w:tcPr>
          <w:p w14:paraId="2E84735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2.00</w:t>
            </w:r>
          </w:p>
        </w:tc>
      </w:tr>
      <w:tr w14:paraId="144BA7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5887B8B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vMerge w:val="continue"/>
            <w:tcBorders>
              <w:tl2br w:val="nil"/>
              <w:tr2bl w:val="nil"/>
            </w:tcBorders>
            <w:vAlign w:val="center"/>
          </w:tcPr>
          <w:p w14:paraId="3EB9874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77" w:type="dxa"/>
            <w:gridSpan w:val="3"/>
            <w:tcBorders>
              <w:tl2br w:val="nil"/>
              <w:tr2bl w:val="nil"/>
            </w:tcBorders>
            <w:shd w:val="clear" w:color="auto" w:fill="auto"/>
            <w:vAlign w:val="center"/>
          </w:tcPr>
          <w:p w14:paraId="2AF0F8A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bidi="ar-SA"/>
              </w:rPr>
            </w:pPr>
            <w:r>
              <w:rPr>
                <w:rFonts w:hint="default" w:ascii="Times New Roman" w:hAnsi="Times New Roman" w:eastAsia="仿宋_GB2312" w:cs="Times New Roman"/>
                <w:color w:val="000000" w:themeColor="text1"/>
                <w:kern w:val="0"/>
                <w:sz w:val="18"/>
                <w:szCs w:val="18"/>
                <w:highlight w:val="none"/>
              </w:rPr>
              <w:t>科研勘测设计费</w:t>
            </w:r>
          </w:p>
        </w:tc>
        <w:tc>
          <w:tcPr>
            <w:tcW w:w="4263" w:type="dxa"/>
            <w:gridSpan w:val="3"/>
            <w:tcBorders>
              <w:tl2br w:val="nil"/>
              <w:tr2bl w:val="nil"/>
            </w:tcBorders>
            <w:shd w:val="clear" w:color="auto" w:fill="auto"/>
            <w:vAlign w:val="center"/>
          </w:tcPr>
          <w:p w14:paraId="234007EA">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bidi="ar-SA"/>
              </w:rPr>
            </w:pPr>
            <w:r>
              <w:rPr>
                <w:rFonts w:hint="eastAsia" w:ascii="Times New Roman" w:hAnsi="Times New Roman" w:cs="Times New Roman"/>
                <w:color w:val="000000" w:themeColor="text1"/>
                <w:kern w:val="0"/>
                <w:sz w:val="18"/>
                <w:szCs w:val="18"/>
                <w:highlight w:val="none"/>
                <w:lang w:val="en-US" w:eastAsia="zh-CN" w:bidi="ar-SA"/>
              </w:rPr>
              <w:t>2</w:t>
            </w:r>
            <w:r>
              <w:rPr>
                <w:rFonts w:hint="default" w:ascii="Times New Roman" w:hAnsi="Times New Roman" w:eastAsia="仿宋_GB2312" w:cs="Times New Roman"/>
                <w:color w:val="000000" w:themeColor="text1"/>
                <w:kern w:val="0"/>
                <w:sz w:val="18"/>
                <w:szCs w:val="18"/>
                <w:highlight w:val="none"/>
                <w:lang w:val="en-US" w:eastAsia="zh-CN" w:bidi="ar-SA"/>
              </w:rPr>
              <w:t>.00</w:t>
            </w:r>
          </w:p>
        </w:tc>
      </w:tr>
      <w:tr w14:paraId="0867F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2676B80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1077" w:type="dxa"/>
            <w:vMerge w:val="continue"/>
            <w:tcBorders>
              <w:tl2br w:val="nil"/>
              <w:tr2bl w:val="nil"/>
            </w:tcBorders>
            <w:vAlign w:val="center"/>
          </w:tcPr>
          <w:p w14:paraId="547D037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p>
        </w:tc>
        <w:tc>
          <w:tcPr>
            <w:tcW w:w="2777" w:type="dxa"/>
            <w:gridSpan w:val="3"/>
            <w:tcBorders>
              <w:tl2br w:val="nil"/>
              <w:tr2bl w:val="nil"/>
            </w:tcBorders>
            <w:shd w:val="clear" w:color="auto" w:fill="auto"/>
            <w:vAlign w:val="center"/>
          </w:tcPr>
          <w:p w14:paraId="4D8FF5A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水土保持验收报告编制费</w:t>
            </w:r>
          </w:p>
        </w:tc>
        <w:tc>
          <w:tcPr>
            <w:tcW w:w="4263" w:type="dxa"/>
            <w:gridSpan w:val="3"/>
            <w:tcBorders>
              <w:tl2br w:val="nil"/>
              <w:tr2bl w:val="nil"/>
            </w:tcBorders>
            <w:shd w:val="clear" w:color="auto" w:fill="auto"/>
            <w:vAlign w:val="center"/>
          </w:tcPr>
          <w:p w14:paraId="66BDE5F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4.00</w:t>
            </w:r>
          </w:p>
        </w:tc>
      </w:tr>
      <w:tr w14:paraId="36656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756" w:type="dxa"/>
            <w:vMerge w:val="continue"/>
            <w:tcBorders>
              <w:tl2br w:val="nil"/>
              <w:tr2bl w:val="nil"/>
            </w:tcBorders>
            <w:vAlign w:val="center"/>
          </w:tcPr>
          <w:p w14:paraId="0592980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rPr>
            </w:pPr>
          </w:p>
        </w:tc>
        <w:tc>
          <w:tcPr>
            <w:tcW w:w="1077" w:type="dxa"/>
            <w:tcBorders>
              <w:tl2br w:val="nil"/>
              <w:tr2bl w:val="nil"/>
            </w:tcBorders>
            <w:shd w:val="clear" w:color="auto" w:fill="auto"/>
            <w:vAlign w:val="center"/>
          </w:tcPr>
          <w:p w14:paraId="78B0C14A">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rPr>
            </w:pPr>
            <w:r>
              <w:rPr>
                <w:rFonts w:hint="default" w:ascii="Times New Roman" w:hAnsi="Times New Roman" w:eastAsia="仿宋_GB2312" w:cs="Times New Roman"/>
                <w:color w:val="000000" w:themeColor="text1"/>
                <w:kern w:val="0"/>
                <w:sz w:val="18"/>
                <w:szCs w:val="18"/>
                <w:highlight w:val="none"/>
              </w:rPr>
              <w:t>总投资</w:t>
            </w:r>
          </w:p>
        </w:tc>
        <w:tc>
          <w:tcPr>
            <w:tcW w:w="7040" w:type="dxa"/>
            <w:gridSpan w:val="6"/>
            <w:tcBorders>
              <w:tl2br w:val="nil"/>
              <w:tr2bl w:val="nil"/>
            </w:tcBorders>
            <w:shd w:val="clear" w:color="auto" w:fill="auto"/>
            <w:vAlign w:val="center"/>
          </w:tcPr>
          <w:p w14:paraId="357D44D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eastAsia" w:ascii="Times New Roman" w:hAnsi="Times New Roman" w:cs="Times New Roman"/>
                <w:color w:val="000000" w:themeColor="text1"/>
                <w:kern w:val="0"/>
                <w:sz w:val="18"/>
                <w:szCs w:val="18"/>
                <w:highlight w:val="none"/>
                <w:lang w:val="en-US" w:eastAsia="zh-CN"/>
              </w:rPr>
              <w:t>62.47</w:t>
            </w:r>
          </w:p>
        </w:tc>
      </w:tr>
      <w:tr w14:paraId="2357F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vAlign w:val="center"/>
          </w:tcPr>
          <w:p w14:paraId="2B797FF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编制单位</w:t>
            </w:r>
          </w:p>
        </w:tc>
        <w:tc>
          <w:tcPr>
            <w:tcW w:w="2777" w:type="dxa"/>
            <w:gridSpan w:val="3"/>
            <w:tcBorders>
              <w:tl2br w:val="nil"/>
              <w:tr2bl w:val="nil"/>
            </w:tcBorders>
            <w:shd w:val="clear" w:color="auto" w:fill="auto"/>
            <w:vAlign w:val="center"/>
          </w:tcPr>
          <w:p w14:paraId="00C8B8A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云南环沃工程咨询有限公司</w:t>
            </w:r>
          </w:p>
        </w:tc>
        <w:tc>
          <w:tcPr>
            <w:tcW w:w="2018" w:type="dxa"/>
            <w:gridSpan w:val="2"/>
            <w:tcBorders>
              <w:tl2br w:val="nil"/>
              <w:tr2bl w:val="nil"/>
            </w:tcBorders>
            <w:shd w:val="clear" w:color="auto" w:fill="auto"/>
            <w:vAlign w:val="center"/>
          </w:tcPr>
          <w:p w14:paraId="7E0E376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建设单位</w:t>
            </w:r>
          </w:p>
        </w:tc>
        <w:tc>
          <w:tcPr>
            <w:tcW w:w="2245" w:type="dxa"/>
            <w:tcBorders>
              <w:tl2br w:val="nil"/>
              <w:tr2bl w:val="nil"/>
            </w:tcBorders>
            <w:shd w:val="clear" w:color="auto" w:fill="auto"/>
            <w:vAlign w:val="center"/>
          </w:tcPr>
          <w:p w14:paraId="172E3EA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eastAsia" w:cs="Times New Roman"/>
                <w:color w:val="000000" w:themeColor="text1"/>
                <w:kern w:val="0"/>
                <w:sz w:val="18"/>
                <w:szCs w:val="18"/>
                <w:highlight w:val="none"/>
                <w:lang w:val="en-US" w:eastAsia="zh-CN"/>
              </w:rPr>
              <w:t>会泽县待补镇人民政府</w:t>
            </w:r>
          </w:p>
        </w:tc>
      </w:tr>
      <w:tr w14:paraId="48A1F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vAlign w:val="center"/>
          </w:tcPr>
          <w:p w14:paraId="63462F9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法定代表人</w:t>
            </w:r>
          </w:p>
        </w:tc>
        <w:tc>
          <w:tcPr>
            <w:tcW w:w="2777" w:type="dxa"/>
            <w:gridSpan w:val="3"/>
            <w:tcBorders>
              <w:tl2br w:val="nil"/>
              <w:tr2bl w:val="nil"/>
            </w:tcBorders>
            <w:shd w:val="clear" w:color="auto" w:fill="auto"/>
            <w:vAlign w:val="center"/>
          </w:tcPr>
          <w:p w14:paraId="0DA6BA1E">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高顺全</w:t>
            </w:r>
          </w:p>
        </w:tc>
        <w:tc>
          <w:tcPr>
            <w:tcW w:w="2018" w:type="dxa"/>
            <w:gridSpan w:val="2"/>
            <w:tcBorders>
              <w:tl2br w:val="nil"/>
              <w:tr2bl w:val="nil"/>
            </w:tcBorders>
            <w:shd w:val="clear" w:color="auto" w:fill="auto"/>
            <w:vAlign w:val="center"/>
          </w:tcPr>
          <w:p w14:paraId="2517FD4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法定代表人</w:t>
            </w:r>
          </w:p>
        </w:tc>
        <w:tc>
          <w:tcPr>
            <w:tcW w:w="2245" w:type="dxa"/>
            <w:tcBorders>
              <w:tl2br w:val="nil"/>
              <w:tr2bl w:val="nil"/>
            </w:tcBorders>
            <w:shd w:val="clear" w:color="auto" w:fill="auto"/>
            <w:vAlign w:val="center"/>
          </w:tcPr>
          <w:p w14:paraId="51D0276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yellow"/>
                <w:lang w:val="en-US" w:eastAsia="zh-CN"/>
              </w:rPr>
            </w:pPr>
            <w:r>
              <w:rPr>
                <w:rFonts w:hint="eastAsia" w:cs="Times New Roman"/>
                <w:color w:val="000000" w:themeColor="text1"/>
                <w:kern w:val="0"/>
                <w:sz w:val="18"/>
                <w:szCs w:val="18"/>
                <w:highlight w:val="none"/>
                <w:lang w:val="en-US" w:eastAsia="zh-CN"/>
              </w:rPr>
              <w:t>张毕恩</w:t>
            </w:r>
          </w:p>
        </w:tc>
      </w:tr>
      <w:tr w14:paraId="72535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vAlign w:val="center"/>
          </w:tcPr>
          <w:p w14:paraId="4D1A115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地址</w:t>
            </w:r>
          </w:p>
        </w:tc>
        <w:tc>
          <w:tcPr>
            <w:tcW w:w="2777" w:type="dxa"/>
            <w:gridSpan w:val="3"/>
            <w:tcBorders>
              <w:tl2br w:val="nil"/>
              <w:tr2bl w:val="nil"/>
            </w:tcBorders>
            <w:shd w:val="clear" w:color="auto" w:fill="auto"/>
            <w:vAlign w:val="center"/>
          </w:tcPr>
          <w:p w14:paraId="58784D63">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云南省曲靖市会泽县古城街道办事处翠屏社区翠屏直街66号</w:t>
            </w:r>
          </w:p>
        </w:tc>
        <w:tc>
          <w:tcPr>
            <w:tcW w:w="2018" w:type="dxa"/>
            <w:gridSpan w:val="2"/>
            <w:tcBorders>
              <w:tl2br w:val="nil"/>
              <w:tr2bl w:val="nil"/>
            </w:tcBorders>
            <w:shd w:val="clear" w:color="auto" w:fill="auto"/>
            <w:vAlign w:val="center"/>
          </w:tcPr>
          <w:p w14:paraId="044FF61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地址</w:t>
            </w:r>
          </w:p>
        </w:tc>
        <w:tc>
          <w:tcPr>
            <w:tcW w:w="2245" w:type="dxa"/>
            <w:tcBorders>
              <w:tl2br w:val="nil"/>
              <w:tr2bl w:val="nil"/>
            </w:tcBorders>
            <w:shd w:val="clear" w:color="auto" w:fill="auto"/>
            <w:vAlign w:val="center"/>
          </w:tcPr>
          <w:p w14:paraId="061845A9">
            <w:pPr>
              <w:widowControl/>
              <w:spacing w:line="240" w:lineRule="auto"/>
              <w:ind w:firstLine="0" w:firstLineChars="0"/>
              <w:jc w:val="center"/>
              <w:rPr>
                <w:rFonts w:hint="default" w:cs="Times New Roman"/>
                <w:color w:val="000000" w:themeColor="text1"/>
                <w:kern w:val="0"/>
                <w:sz w:val="18"/>
                <w:szCs w:val="18"/>
                <w:highlight w:val="none"/>
                <w:lang w:val="en-US" w:eastAsia="zh-CN"/>
              </w:rPr>
            </w:pPr>
            <w:r>
              <w:rPr>
                <w:rFonts w:hint="eastAsia" w:cs="Times New Roman"/>
                <w:color w:val="000000" w:themeColor="text1"/>
                <w:kern w:val="0"/>
                <w:sz w:val="18"/>
                <w:szCs w:val="18"/>
                <w:highlight w:val="none"/>
                <w:lang w:val="en-US" w:eastAsia="zh-CN"/>
              </w:rPr>
              <w:t>云南省曲靖</w:t>
            </w:r>
            <w:r>
              <w:rPr>
                <w:rFonts w:hint="default" w:cs="Times New Roman"/>
                <w:color w:val="000000" w:themeColor="text1"/>
                <w:kern w:val="0"/>
                <w:sz w:val="18"/>
                <w:szCs w:val="18"/>
                <w:highlight w:val="none"/>
                <w:lang w:val="en-US" w:eastAsia="zh-CN"/>
              </w:rPr>
              <w:t>市会泽县待补镇鸡鸣山大道</w:t>
            </w:r>
          </w:p>
        </w:tc>
      </w:tr>
      <w:tr w14:paraId="52541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vAlign w:val="center"/>
          </w:tcPr>
          <w:p w14:paraId="3E86F70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邮编</w:t>
            </w:r>
          </w:p>
        </w:tc>
        <w:tc>
          <w:tcPr>
            <w:tcW w:w="2777" w:type="dxa"/>
            <w:gridSpan w:val="3"/>
            <w:tcBorders>
              <w:tl2br w:val="nil"/>
              <w:tr2bl w:val="nil"/>
            </w:tcBorders>
            <w:shd w:val="clear" w:color="auto" w:fill="auto"/>
            <w:vAlign w:val="center"/>
          </w:tcPr>
          <w:p w14:paraId="7340651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c>
          <w:tcPr>
            <w:tcW w:w="2018" w:type="dxa"/>
            <w:gridSpan w:val="2"/>
            <w:tcBorders>
              <w:tl2br w:val="nil"/>
              <w:tr2bl w:val="nil"/>
            </w:tcBorders>
            <w:shd w:val="clear" w:color="auto" w:fill="auto"/>
            <w:vAlign w:val="center"/>
          </w:tcPr>
          <w:p w14:paraId="36FE747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邮编</w:t>
            </w:r>
          </w:p>
        </w:tc>
        <w:tc>
          <w:tcPr>
            <w:tcW w:w="2245" w:type="dxa"/>
            <w:tcBorders>
              <w:tl2br w:val="nil"/>
              <w:tr2bl w:val="nil"/>
            </w:tcBorders>
            <w:shd w:val="clear" w:color="auto" w:fill="auto"/>
            <w:vAlign w:val="center"/>
          </w:tcPr>
          <w:p w14:paraId="1B010776">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r>
      <w:tr w14:paraId="341C8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vAlign w:val="center"/>
          </w:tcPr>
          <w:p w14:paraId="5DF74742">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联系人及电话</w:t>
            </w:r>
          </w:p>
        </w:tc>
        <w:tc>
          <w:tcPr>
            <w:tcW w:w="2777" w:type="dxa"/>
            <w:gridSpan w:val="3"/>
            <w:tcBorders>
              <w:tl2br w:val="nil"/>
              <w:tr2bl w:val="nil"/>
            </w:tcBorders>
            <w:shd w:val="clear" w:color="auto" w:fill="auto"/>
            <w:vAlign w:val="center"/>
          </w:tcPr>
          <w:p w14:paraId="2A588A2B">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c>
          <w:tcPr>
            <w:tcW w:w="2018" w:type="dxa"/>
            <w:gridSpan w:val="2"/>
            <w:tcBorders>
              <w:tl2br w:val="nil"/>
              <w:tr2bl w:val="nil"/>
            </w:tcBorders>
            <w:shd w:val="clear" w:color="auto" w:fill="auto"/>
            <w:vAlign w:val="center"/>
          </w:tcPr>
          <w:p w14:paraId="10B408CA">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联系人及电话</w:t>
            </w:r>
          </w:p>
        </w:tc>
        <w:tc>
          <w:tcPr>
            <w:tcW w:w="2245" w:type="dxa"/>
            <w:tcBorders>
              <w:tl2br w:val="nil"/>
              <w:tr2bl w:val="nil"/>
            </w:tcBorders>
            <w:shd w:val="clear" w:color="auto" w:fill="auto"/>
            <w:vAlign w:val="center"/>
          </w:tcPr>
          <w:p w14:paraId="5CDCF930">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r>
      <w:tr w14:paraId="41295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vAlign w:val="center"/>
          </w:tcPr>
          <w:p w14:paraId="51A8014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电子信箱</w:t>
            </w:r>
          </w:p>
        </w:tc>
        <w:tc>
          <w:tcPr>
            <w:tcW w:w="2777" w:type="dxa"/>
            <w:gridSpan w:val="3"/>
            <w:tcBorders>
              <w:tl2br w:val="nil"/>
              <w:tr2bl w:val="nil"/>
            </w:tcBorders>
            <w:shd w:val="clear" w:color="auto" w:fill="auto"/>
            <w:vAlign w:val="center"/>
          </w:tcPr>
          <w:p w14:paraId="4DACDF08">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c>
          <w:tcPr>
            <w:tcW w:w="2018" w:type="dxa"/>
            <w:gridSpan w:val="2"/>
            <w:tcBorders>
              <w:tl2br w:val="nil"/>
              <w:tr2bl w:val="nil"/>
            </w:tcBorders>
            <w:shd w:val="clear" w:color="auto" w:fill="auto"/>
            <w:vAlign w:val="center"/>
          </w:tcPr>
          <w:p w14:paraId="582E8469">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电子信箱</w:t>
            </w:r>
          </w:p>
        </w:tc>
        <w:tc>
          <w:tcPr>
            <w:tcW w:w="2245" w:type="dxa"/>
            <w:tcBorders>
              <w:tl2br w:val="nil"/>
              <w:tr2bl w:val="nil"/>
            </w:tcBorders>
            <w:shd w:val="clear" w:color="auto" w:fill="auto"/>
            <w:vAlign w:val="center"/>
          </w:tcPr>
          <w:p w14:paraId="6959799C">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bCs/>
                <w:color w:val="auto"/>
                <w:kern w:val="0"/>
                <w:sz w:val="18"/>
                <w:szCs w:val="18"/>
                <w:highlight w:val="none"/>
              </w:rPr>
              <w:t>---</w:t>
            </w:r>
          </w:p>
        </w:tc>
      </w:tr>
      <w:tr w14:paraId="379A3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5" w:hRule="atLeast"/>
        </w:trPr>
        <w:tc>
          <w:tcPr>
            <w:tcW w:w="1833" w:type="dxa"/>
            <w:gridSpan w:val="2"/>
            <w:tcBorders>
              <w:tl2br w:val="nil"/>
              <w:tr2bl w:val="nil"/>
            </w:tcBorders>
            <w:shd w:val="clear" w:color="auto" w:fill="auto"/>
            <w:noWrap/>
            <w:vAlign w:val="center"/>
          </w:tcPr>
          <w:p w14:paraId="7193D36A">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传真</w:t>
            </w:r>
          </w:p>
        </w:tc>
        <w:tc>
          <w:tcPr>
            <w:tcW w:w="2777" w:type="dxa"/>
            <w:gridSpan w:val="3"/>
            <w:tcBorders>
              <w:tl2br w:val="nil"/>
              <w:tr2bl w:val="nil"/>
            </w:tcBorders>
            <w:shd w:val="clear" w:color="auto" w:fill="auto"/>
            <w:noWrap/>
            <w:vAlign w:val="center"/>
          </w:tcPr>
          <w:p w14:paraId="37A302AD">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p>
        </w:tc>
        <w:tc>
          <w:tcPr>
            <w:tcW w:w="2018" w:type="dxa"/>
            <w:gridSpan w:val="2"/>
            <w:tcBorders>
              <w:tl2br w:val="nil"/>
              <w:tr2bl w:val="nil"/>
            </w:tcBorders>
            <w:shd w:val="clear" w:color="auto" w:fill="auto"/>
            <w:noWrap/>
            <w:vAlign w:val="center"/>
          </w:tcPr>
          <w:p w14:paraId="00D68B87">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color w:val="000000" w:themeColor="text1"/>
                <w:kern w:val="0"/>
                <w:sz w:val="18"/>
                <w:szCs w:val="18"/>
                <w:highlight w:val="none"/>
                <w:lang w:val="en-US" w:eastAsia="zh-CN"/>
              </w:rPr>
              <w:t>传真</w:t>
            </w:r>
          </w:p>
        </w:tc>
        <w:tc>
          <w:tcPr>
            <w:tcW w:w="2245" w:type="dxa"/>
            <w:tcBorders>
              <w:tl2br w:val="nil"/>
              <w:tr2bl w:val="nil"/>
            </w:tcBorders>
            <w:shd w:val="clear" w:color="auto" w:fill="auto"/>
            <w:noWrap/>
            <w:vAlign w:val="center"/>
          </w:tcPr>
          <w:p w14:paraId="1ED7CBC1">
            <w:pPr>
              <w:widowControl/>
              <w:spacing w:line="240" w:lineRule="auto"/>
              <w:ind w:firstLine="0" w:firstLineChars="0"/>
              <w:jc w:val="center"/>
              <w:rPr>
                <w:rFonts w:hint="default" w:ascii="Times New Roman" w:hAnsi="Times New Roman" w:eastAsia="仿宋_GB2312" w:cs="Times New Roman"/>
                <w:color w:val="000000" w:themeColor="text1"/>
                <w:kern w:val="0"/>
                <w:sz w:val="18"/>
                <w:szCs w:val="18"/>
                <w:highlight w:val="none"/>
                <w:lang w:val="en-US" w:eastAsia="zh-CN"/>
              </w:rPr>
            </w:pPr>
            <w:r>
              <w:rPr>
                <w:rFonts w:hint="default" w:ascii="Times New Roman" w:hAnsi="Times New Roman" w:eastAsia="仿宋_GB2312" w:cs="Times New Roman"/>
                <w:bCs/>
                <w:color w:val="auto"/>
                <w:kern w:val="0"/>
                <w:sz w:val="18"/>
                <w:szCs w:val="18"/>
                <w:highlight w:val="none"/>
              </w:rPr>
              <w:t>---</w:t>
            </w:r>
          </w:p>
        </w:tc>
      </w:tr>
    </w:tbl>
    <w:p w14:paraId="24172AC1">
      <w:pPr>
        <w:ind w:firstLine="0" w:firstLineChars="0"/>
        <w:jc w:val="center"/>
        <w:rPr>
          <w:rFonts w:hint="default" w:ascii="Times New Roman" w:hAnsi="Times New Roman" w:eastAsia="宋体" w:cs="Times New Roman"/>
          <w:color w:val="auto"/>
          <w:sz w:val="32"/>
          <w:szCs w:val="32"/>
        </w:rPr>
        <w:sectPr>
          <w:pgSz w:w="11906" w:h="16838"/>
          <w:pgMar w:top="1417" w:right="1417" w:bottom="1417" w:left="1701" w:header="851" w:footer="850" w:gutter="0"/>
          <w:pgBorders>
            <w:top w:val="none" w:sz="0" w:space="0"/>
            <w:left w:val="none" w:sz="0" w:space="0"/>
            <w:bottom w:val="none" w:sz="0" w:space="0"/>
            <w:right w:val="none" w:sz="0" w:space="0"/>
          </w:pgBorders>
          <w:pgNumType w:fmt="decimal" w:start="1"/>
          <w:cols w:space="0" w:num="1"/>
          <w:docGrid w:linePitch="368" w:charSpace="0"/>
        </w:sectPr>
      </w:pPr>
    </w:p>
    <w:p w14:paraId="07CE526B">
      <w:pPr>
        <w:pStyle w:val="119"/>
        <w:rPr>
          <w:rFonts w:hint="default" w:ascii="Times New Roman" w:hAnsi="Times New Roman" w:cs="Times New Roman"/>
          <w:color w:val="auto"/>
          <w:highlight w:val="none"/>
        </w:rPr>
      </w:pPr>
      <w:r>
        <w:rPr>
          <w:rFonts w:hint="default" w:ascii="Times New Roman" w:hAnsi="Times New Roman" w:cs="Times New Roman"/>
          <w:color w:val="auto"/>
          <w:highlight w:val="none"/>
        </w:rPr>
        <w:t>项目现场照片</w:t>
      </w:r>
    </w:p>
    <w:tbl>
      <w:tblPr>
        <w:tblStyle w:val="27"/>
        <w:tblW w:w="90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4"/>
      </w:tblGrid>
      <w:tr w14:paraId="4BA5BA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04" w:type="dxa"/>
            <w:vAlign w:val="center"/>
          </w:tcPr>
          <w:p w14:paraId="41168D8F">
            <w:pPr>
              <w:adjustRightInd w:val="0"/>
              <w:snapToGrid w:val="0"/>
              <w:spacing w:line="240" w:lineRule="auto"/>
              <w:ind w:firstLine="0" w:firstLineChars="0"/>
              <w:jc w:val="center"/>
              <w:rPr>
                <w:rFonts w:hint="default" w:ascii="Times New Roman" w:hAnsi="Times New Roman" w:cs="Times New Roman"/>
                <w:kern w:val="0"/>
              </w:rPr>
            </w:pPr>
            <w:r>
              <w:rPr>
                <w:rFonts w:hint="eastAsia" w:ascii="Times New Roman" w:hAnsi="Times New Roman" w:eastAsia="仿宋_GB2312" w:cs="Times New Roman"/>
                <w:kern w:val="0"/>
                <w:lang w:eastAsia="zh-CN"/>
              </w:rPr>
              <w:drawing>
                <wp:inline distT="0" distB="0" distL="114300" distR="114300">
                  <wp:extent cx="4641850" cy="3481705"/>
                  <wp:effectExtent l="0" t="0" r="6350" b="4445"/>
                  <wp:docPr id="23" name="图片 23" descr="DJI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JI_0021"/>
                          <pic:cNvPicPr>
                            <a:picLocks noChangeAspect="1"/>
                          </pic:cNvPicPr>
                        </pic:nvPicPr>
                        <pic:blipFill>
                          <a:blip r:embed="rId35"/>
                          <a:stretch>
                            <a:fillRect/>
                          </a:stretch>
                        </pic:blipFill>
                        <pic:spPr>
                          <a:xfrm>
                            <a:off x="0" y="0"/>
                            <a:ext cx="4641850" cy="3481705"/>
                          </a:xfrm>
                          <a:prstGeom prst="rect">
                            <a:avLst/>
                          </a:prstGeom>
                        </pic:spPr>
                      </pic:pic>
                    </a:graphicData>
                  </a:graphic>
                </wp:inline>
              </w:drawing>
            </w:r>
          </w:p>
        </w:tc>
      </w:tr>
      <w:tr w14:paraId="5792FC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004" w:type="dxa"/>
            <w:vAlign w:val="center"/>
          </w:tcPr>
          <w:p w14:paraId="5BE5C4DB">
            <w:pPr>
              <w:adjustRightInd w:val="0"/>
              <w:snapToGrid w:val="0"/>
              <w:spacing w:line="240" w:lineRule="auto"/>
              <w:ind w:firstLine="0" w:firstLineChars="0"/>
              <w:jc w:val="center"/>
              <w:rPr>
                <w:rFonts w:hint="eastAsia" w:ascii="Times New Roman" w:hAnsi="Times New Roman" w:eastAsia="仿宋_GB2312" w:cs="Times New Roman"/>
                <w:kern w:val="0"/>
                <w:lang w:eastAsia="zh-CN"/>
              </w:rPr>
            </w:pPr>
            <w:r>
              <w:rPr>
                <w:rFonts w:hint="eastAsia" w:cs="Times New Roman"/>
                <w:kern w:val="0"/>
                <w:lang w:val="en-US" w:eastAsia="zh-CN"/>
              </w:rPr>
              <w:t>地块一建设</w:t>
            </w:r>
            <w:r>
              <w:rPr>
                <w:rFonts w:hint="default" w:ascii="Times New Roman" w:hAnsi="Times New Roman" w:cs="Times New Roman"/>
                <w:kern w:val="0"/>
              </w:rPr>
              <w:t>现状</w:t>
            </w:r>
          </w:p>
        </w:tc>
      </w:tr>
      <w:tr w14:paraId="19B1C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04" w:type="dxa"/>
            <w:vAlign w:val="center"/>
          </w:tcPr>
          <w:p w14:paraId="499B035A">
            <w:pPr>
              <w:adjustRightInd w:val="0"/>
              <w:snapToGrid w:val="0"/>
              <w:spacing w:line="240" w:lineRule="auto"/>
              <w:ind w:firstLine="0" w:firstLineChars="0"/>
              <w:jc w:val="center"/>
              <w:rPr>
                <w:rFonts w:hint="default" w:ascii="Times New Roman" w:hAnsi="Times New Roman" w:cs="Times New Roman"/>
                <w:kern w:val="0"/>
              </w:rPr>
            </w:pPr>
            <w:r>
              <w:drawing>
                <wp:inline distT="0" distB="0" distL="114300" distR="114300">
                  <wp:extent cx="4642485" cy="3448050"/>
                  <wp:effectExtent l="0" t="0" r="571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6"/>
                          <a:stretch>
                            <a:fillRect/>
                          </a:stretch>
                        </pic:blipFill>
                        <pic:spPr>
                          <a:xfrm>
                            <a:off x="0" y="0"/>
                            <a:ext cx="4642485" cy="3448050"/>
                          </a:xfrm>
                          <a:prstGeom prst="rect">
                            <a:avLst/>
                          </a:prstGeom>
                          <a:noFill/>
                          <a:ln>
                            <a:noFill/>
                          </a:ln>
                        </pic:spPr>
                      </pic:pic>
                    </a:graphicData>
                  </a:graphic>
                </wp:inline>
              </w:drawing>
            </w:r>
          </w:p>
        </w:tc>
      </w:tr>
      <w:tr w14:paraId="4BDDA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04" w:type="dxa"/>
            <w:vAlign w:val="center"/>
          </w:tcPr>
          <w:p w14:paraId="15E60BA4">
            <w:pPr>
              <w:adjustRightInd w:val="0"/>
              <w:snapToGrid w:val="0"/>
              <w:spacing w:line="240" w:lineRule="auto"/>
              <w:ind w:firstLine="0" w:firstLineChars="0"/>
              <w:jc w:val="center"/>
              <w:rPr>
                <w:rFonts w:hint="eastAsia" w:ascii="Times New Roman" w:hAnsi="Times New Roman" w:eastAsia="仿宋_GB2312" w:cs="Times New Roman"/>
                <w:kern w:val="0"/>
                <w:lang w:eastAsia="zh-CN"/>
              </w:rPr>
            </w:pPr>
            <w:r>
              <w:rPr>
                <w:rFonts w:hint="eastAsia" w:cs="Times New Roman"/>
                <w:kern w:val="0"/>
                <w:lang w:val="en-US" w:eastAsia="zh-CN"/>
              </w:rPr>
              <w:t>地块二建设</w:t>
            </w:r>
            <w:r>
              <w:rPr>
                <w:rFonts w:hint="default" w:ascii="Times New Roman" w:hAnsi="Times New Roman" w:cs="Times New Roman"/>
                <w:kern w:val="0"/>
              </w:rPr>
              <w:t>现状</w:t>
            </w:r>
          </w:p>
        </w:tc>
      </w:tr>
    </w:tbl>
    <w:p w14:paraId="6B4CBA1E">
      <w:pPr>
        <w:ind w:firstLine="0" w:firstLineChars="0"/>
        <w:rPr>
          <w:rFonts w:hint="default" w:ascii="Times New Roman" w:hAnsi="Times New Roman" w:cs="Times New Roman"/>
          <w:color w:val="auto"/>
          <w:kern w:val="0"/>
          <w:sz w:val="28"/>
          <w:szCs w:val="28"/>
        </w:rPr>
      </w:pPr>
    </w:p>
    <w:p w14:paraId="620EF7C2">
      <w:pPr>
        <w:ind w:firstLine="0" w:firstLineChars="0"/>
        <w:rPr>
          <w:rFonts w:hint="default" w:ascii="Times New Roman" w:hAnsi="Times New Roman" w:cs="Times New Roman"/>
          <w:color w:val="auto"/>
          <w:kern w:val="0"/>
          <w:sz w:val="28"/>
          <w:szCs w:val="28"/>
        </w:rPr>
      </w:pPr>
    </w:p>
    <w:p w14:paraId="1307E53B">
      <w:pPr>
        <w:ind w:firstLine="0" w:firstLineChars="0"/>
        <w:rPr>
          <w:rFonts w:hint="default" w:ascii="Times New Roman" w:hAnsi="Times New Roman" w:cs="Times New Roman"/>
          <w:color w:val="auto"/>
          <w:kern w:val="0"/>
          <w:sz w:val="28"/>
          <w:szCs w:val="28"/>
        </w:rPr>
        <w:sectPr>
          <w:pgSz w:w="11906" w:h="16838"/>
          <w:pgMar w:top="1417" w:right="1417" w:bottom="1417" w:left="1701" w:header="851" w:footer="850" w:gutter="0"/>
          <w:pgBorders>
            <w:top w:val="none" w:sz="0" w:space="0"/>
            <w:left w:val="none" w:sz="0" w:space="0"/>
            <w:bottom w:val="none" w:sz="0" w:space="0"/>
            <w:right w:val="none" w:sz="0" w:space="0"/>
          </w:pgBorders>
          <w:pgNumType w:fmt="decimal" w:start="1"/>
          <w:cols w:space="0" w:num="1"/>
          <w:docGrid w:linePitch="368" w:charSpace="0"/>
        </w:sectPr>
      </w:pPr>
    </w:p>
    <w:p w14:paraId="2CDEF824">
      <w:pPr>
        <w:ind w:firstLine="600"/>
        <w:jc w:val="center"/>
        <w:rPr>
          <w:rFonts w:hint="default" w:ascii="Times New Roman" w:hAnsi="Times New Roman" w:eastAsia="黑体" w:cs="Times New Roman"/>
          <w:sz w:val="30"/>
          <w:szCs w:val="30"/>
        </w:rPr>
      </w:pPr>
      <w:r>
        <w:rPr>
          <w:rFonts w:hint="default" w:ascii="Times New Roman" w:hAnsi="Times New Roman" w:eastAsia="黑体" w:cs="Times New Roman"/>
          <w:sz w:val="30"/>
          <w:szCs w:val="30"/>
        </w:rPr>
        <w:t>目  录</w:t>
      </w:r>
    </w:p>
    <w:p w14:paraId="63BB62D7">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TOC \o "1-2" \h \z \u </w:instrText>
      </w:r>
      <w:r>
        <w:rPr>
          <w:rFonts w:hint="default" w:ascii="Times New Roman" w:hAnsi="Times New Roman" w:cs="Times New Roman"/>
          <w:sz w:val="30"/>
          <w:szCs w:val="30"/>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"_Toc165223551" </w:instrText>
      </w:r>
      <w:r>
        <w:rPr>
          <w:rFonts w:hint="default" w:ascii="Times New Roman" w:hAnsi="Times New Roman" w:cs="Times New Roman"/>
        </w:rPr>
        <w:fldChar w:fldCharType="separate"/>
      </w:r>
      <w:r>
        <w:rPr>
          <w:rStyle w:val="31"/>
          <w:rFonts w:hint="default" w:ascii="Times New Roman" w:hAnsi="Times New Roman" w:eastAsia="宋体" w:cs="Times New Roman"/>
        </w:rPr>
        <w:t>1</w:t>
      </w:r>
      <w:r>
        <w:rPr>
          <w:rStyle w:val="31"/>
          <w:rFonts w:hint="default" w:ascii="Times New Roman" w:hAnsi="Times New Roman" w:cs="Times New Roman"/>
        </w:rPr>
        <w:t xml:space="preserve"> 综合说明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092B9F2D">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"_Toc165223552" </w:instrText>
      </w:r>
      <w:r>
        <w:rPr>
          <w:rFonts w:hint="default" w:ascii="Times New Roman" w:hAnsi="Times New Roman" w:cs="Times New Roman"/>
        </w:rPr>
        <w:fldChar w:fldCharType="separate"/>
      </w:r>
      <w:r>
        <w:rPr>
          <w:rStyle w:val="31"/>
          <w:rFonts w:hint="default" w:ascii="Times New Roman" w:hAnsi="Times New Roman" w:cs="Times New Roman"/>
        </w:rPr>
        <w:t>1.1 项目简况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_Toc165223552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14:paraId="03300209">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"_Toc165223553" </w:instrText>
      </w:r>
      <w:r>
        <w:rPr>
          <w:rFonts w:hint="default" w:ascii="Times New Roman" w:hAnsi="Times New Roman" w:cs="Times New Roman"/>
        </w:rPr>
        <w:fldChar w:fldCharType="separate"/>
      </w:r>
      <w:r>
        <w:rPr>
          <w:rStyle w:val="31"/>
          <w:rFonts w:hint="default" w:ascii="Times New Roman" w:hAnsi="Times New Roman" w:cs="Times New Roman"/>
        </w:rPr>
        <w:t>1.2 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_Toc165223553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rPr>
        <w:fldChar w:fldCharType="end"/>
      </w:r>
    </w:p>
    <w:p w14:paraId="52ED15C0">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"_Toc165223554" </w:instrText>
      </w:r>
      <w:r>
        <w:rPr>
          <w:rFonts w:hint="default" w:ascii="Times New Roman" w:hAnsi="Times New Roman" w:cs="Times New Roman"/>
        </w:rPr>
        <w:fldChar w:fldCharType="separate"/>
      </w:r>
      <w:r>
        <w:rPr>
          <w:rStyle w:val="31"/>
          <w:rFonts w:hint="default" w:ascii="Times New Roman" w:hAnsi="Times New Roman" w:cs="Times New Roman"/>
        </w:rPr>
        <w:t>1.3 设计水平年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_Toc165223554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14:paraId="672701D2">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"_Toc165223555" </w:instrText>
      </w:r>
      <w:r>
        <w:rPr>
          <w:rFonts w:hint="default" w:ascii="Times New Roman" w:hAnsi="Times New Roman" w:cs="Times New Roman"/>
        </w:rPr>
        <w:fldChar w:fldCharType="separate"/>
      </w:r>
      <w:r>
        <w:rPr>
          <w:rStyle w:val="31"/>
          <w:rFonts w:hint="default" w:ascii="Times New Roman" w:hAnsi="Times New Roman" w:cs="Times New Roman"/>
        </w:rPr>
        <w:t>1.4 水土流失防治责任范围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_Toc165223555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14:paraId="0CB15E06">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"_Toc165223556" </w:instrText>
      </w:r>
      <w:r>
        <w:rPr>
          <w:rFonts w:hint="default" w:ascii="Times New Roman" w:hAnsi="Times New Roman" w:cs="Times New Roman"/>
        </w:rPr>
        <w:fldChar w:fldCharType="separate"/>
      </w:r>
      <w:r>
        <w:rPr>
          <w:rStyle w:val="31"/>
          <w:rFonts w:hint="default" w:ascii="Times New Roman" w:hAnsi="Times New Roman" w:cs="Times New Roman"/>
        </w:rPr>
        <w:t>1.5 水土流失防治目标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_Toc165223556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cs="Times New Roman"/>
        </w:rPr>
        <w:fldChar w:fldCharType="end"/>
      </w:r>
    </w:p>
    <w:p w14:paraId="3390A63F">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"_Toc165223557" </w:instrText>
      </w:r>
      <w:r>
        <w:rPr>
          <w:rFonts w:hint="default" w:ascii="Times New Roman" w:hAnsi="Times New Roman" w:cs="Times New Roman"/>
        </w:rPr>
        <w:fldChar w:fldCharType="separate"/>
      </w:r>
      <w:r>
        <w:rPr>
          <w:rStyle w:val="31"/>
          <w:rFonts w:hint="default" w:ascii="Times New Roman" w:hAnsi="Times New Roman" w:cs="Times New Roman"/>
        </w:rPr>
        <w:t>1.6 项目水土保持评价结论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_Toc165223557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14:paraId="1DBE5B76">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"_Toc165223558" </w:instrText>
      </w:r>
      <w:r>
        <w:rPr>
          <w:rFonts w:hint="default" w:ascii="Times New Roman" w:hAnsi="Times New Roman" w:cs="Times New Roman"/>
        </w:rPr>
        <w:fldChar w:fldCharType="separate"/>
      </w:r>
      <w:r>
        <w:rPr>
          <w:rStyle w:val="31"/>
          <w:rFonts w:hint="default" w:ascii="Times New Roman" w:hAnsi="Times New Roman" w:cs="Times New Roman"/>
        </w:rPr>
        <w:t>1.7 水土流失预测结果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_Toc165223558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rPr>
        <w:fldChar w:fldCharType="end"/>
      </w:r>
    </w:p>
    <w:p w14:paraId="44208B45">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"_Toc165223559" </w:instrText>
      </w:r>
      <w:r>
        <w:rPr>
          <w:rFonts w:hint="default" w:ascii="Times New Roman" w:hAnsi="Times New Roman" w:cs="Times New Roman"/>
        </w:rPr>
        <w:fldChar w:fldCharType="separate"/>
      </w:r>
      <w:r>
        <w:rPr>
          <w:rStyle w:val="31"/>
          <w:rFonts w:hint="default" w:ascii="Times New Roman" w:hAnsi="Times New Roman" w:cs="Times New Roman"/>
        </w:rPr>
        <w:t>1.8 水土保持措施布设成果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_Toc165223559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14:paraId="6D5FAB18">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"_Toc165223560" </w:instrText>
      </w:r>
      <w:r>
        <w:rPr>
          <w:rFonts w:hint="default" w:ascii="Times New Roman" w:hAnsi="Times New Roman" w:cs="Times New Roman"/>
        </w:rPr>
        <w:fldChar w:fldCharType="separate"/>
      </w:r>
      <w:r>
        <w:rPr>
          <w:rStyle w:val="31"/>
          <w:rFonts w:hint="default" w:ascii="Times New Roman" w:hAnsi="Times New Roman" w:cs="Times New Roman"/>
        </w:rPr>
        <w:t>1.9 水土保持监测方案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_Toc165223560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14:paraId="294CCC76">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"_Toc165223561" </w:instrText>
      </w:r>
      <w:r>
        <w:rPr>
          <w:rFonts w:hint="default" w:ascii="Times New Roman" w:hAnsi="Times New Roman" w:cs="Times New Roman"/>
        </w:rPr>
        <w:fldChar w:fldCharType="separate"/>
      </w:r>
      <w:r>
        <w:rPr>
          <w:rStyle w:val="31"/>
          <w:rFonts w:hint="default" w:ascii="Times New Roman" w:hAnsi="Times New Roman" w:cs="Times New Roman"/>
        </w:rPr>
        <w:t>1.10 水土保持投资及效益分析成果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_Toc165223561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14:paraId="06E6CB48">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"_Toc165223562" </w:instrText>
      </w:r>
      <w:r>
        <w:rPr>
          <w:rFonts w:hint="default" w:ascii="Times New Roman" w:hAnsi="Times New Roman" w:cs="Times New Roman"/>
        </w:rPr>
        <w:fldChar w:fldCharType="separate"/>
      </w:r>
      <w:r>
        <w:rPr>
          <w:rStyle w:val="31"/>
          <w:rFonts w:hint="default" w:ascii="Times New Roman" w:hAnsi="Times New Roman" w:cs="Times New Roman"/>
        </w:rPr>
        <w:t>1.11 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_Toc165223562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14:paraId="4486981E">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"_Toc165223563" </w:instrText>
      </w:r>
      <w:r>
        <w:rPr>
          <w:rFonts w:hint="default" w:ascii="Times New Roman" w:hAnsi="Times New Roman" w:cs="Times New Roman"/>
        </w:rPr>
        <w:fldChar w:fldCharType="separate"/>
      </w:r>
      <w:r>
        <w:rPr>
          <w:rStyle w:val="31"/>
          <w:rFonts w:hint="default" w:ascii="Times New Roman" w:hAnsi="Times New Roman" w:eastAsia="宋体" w:cs="Times New Roman"/>
        </w:rPr>
        <w:t>2</w:t>
      </w:r>
      <w:r>
        <w:rPr>
          <w:rStyle w:val="31"/>
          <w:rFonts w:hint="default" w:ascii="Times New Roman" w:hAnsi="Times New Roman" w:cs="Times New Roman"/>
        </w:rPr>
        <w:t xml:space="preserve"> 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_Toc165223563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14:paraId="6B63C312">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"_Toc165223564" </w:instrText>
      </w:r>
      <w:r>
        <w:rPr>
          <w:rFonts w:hint="default" w:ascii="Times New Roman" w:hAnsi="Times New Roman" w:cs="Times New Roman"/>
        </w:rPr>
        <w:fldChar w:fldCharType="separate"/>
      </w:r>
      <w:r>
        <w:rPr>
          <w:rStyle w:val="31"/>
          <w:rFonts w:hint="default" w:ascii="Times New Roman" w:hAnsi="Times New Roman" w:cs="Times New Roman"/>
        </w:rPr>
        <w:t>2.1 项目组成及工程布置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_Toc165223564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14:paraId="647EC257">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"_Toc165223565" </w:instrText>
      </w:r>
      <w:r>
        <w:rPr>
          <w:rFonts w:hint="default" w:ascii="Times New Roman" w:hAnsi="Times New Roman" w:cs="Times New Roman"/>
        </w:rPr>
        <w:fldChar w:fldCharType="separate"/>
      </w:r>
      <w:r>
        <w:rPr>
          <w:rStyle w:val="31"/>
          <w:rFonts w:hint="default" w:ascii="Times New Roman" w:hAnsi="Times New Roman" w:cs="Times New Roman"/>
        </w:rPr>
        <w:t>2.2 施工组织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_Toc165223565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rPr>
        <w:fldChar w:fldCharType="end"/>
      </w:r>
    </w:p>
    <w:p w14:paraId="6019E458">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"_Toc165223566" </w:instrText>
      </w:r>
      <w:r>
        <w:rPr>
          <w:rFonts w:hint="default" w:ascii="Times New Roman" w:hAnsi="Times New Roman" w:cs="Times New Roman"/>
        </w:rPr>
        <w:fldChar w:fldCharType="separate"/>
      </w:r>
      <w:r>
        <w:rPr>
          <w:rStyle w:val="31"/>
          <w:rFonts w:hint="default" w:ascii="Times New Roman" w:hAnsi="Times New Roman" w:cs="Times New Roman"/>
        </w:rPr>
        <w:t>2.3 工程占地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_Toc165223566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14:paraId="032F69A6">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"_Toc165223567" </w:instrText>
      </w:r>
      <w:r>
        <w:rPr>
          <w:rFonts w:hint="default" w:ascii="Times New Roman" w:hAnsi="Times New Roman" w:cs="Times New Roman"/>
        </w:rPr>
        <w:fldChar w:fldCharType="separate"/>
      </w:r>
      <w:r>
        <w:rPr>
          <w:rStyle w:val="31"/>
          <w:rFonts w:hint="default" w:ascii="Times New Roman" w:hAnsi="Times New Roman" w:cs="Times New Roman"/>
          <w:lang w:bidi="ar"/>
        </w:rPr>
        <w:t>2.4 土石方平衡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_Toc165223567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14:paraId="7E1FF4E1">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"_Toc165223568" </w:instrText>
      </w:r>
      <w:r>
        <w:rPr>
          <w:rFonts w:hint="default" w:ascii="Times New Roman" w:hAnsi="Times New Roman" w:cs="Times New Roman"/>
        </w:rPr>
        <w:fldChar w:fldCharType="separate"/>
      </w:r>
      <w:r>
        <w:rPr>
          <w:rStyle w:val="31"/>
          <w:rFonts w:hint="default" w:ascii="Times New Roman" w:hAnsi="Times New Roman" w:cs="Times New Roman"/>
          <w:lang w:bidi="ar"/>
        </w:rPr>
        <w:t>2.5 拆迁（移民）安置与专项设施改（迁）建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_Toc165223568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6139FAB4">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"_Toc165223569" </w:instrText>
      </w:r>
      <w:r>
        <w:rPr>
          <w:rFonts w:hint="default" w:ascii="Times New Roman" w:hAnsi="Times New Roman" w:cs="Times New Roman"/>
        </w:rPr>
        <w:fldChar w:fldCharType="separate"/>
      </w:r>
      <w:r>
        <w:rPr>
          <w:rStyle w:val="31"/>
          <w:rFonts w:hint="default" w:ascii="Times New Roman" w:hAnsi="Times New Roman" w:cs="Times New Roman"/>
          <w:lang w:bidi="ar"/>
        </w:rPr>
        <w:t>2.6 资金来源及施工进度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_Toc165223569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56E0B8C7">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"_Toc165223570" </w:instrText>
      </w:r>
      <w:r>
        <w:rPr>
          <w:rFonts w:hint="default" w:ascii="Times New Roman" w:hAnsi="Times New Roman" w:cs="Times New Roman"/>
        </w:rPr>
        <w:fldChar w:fldCharType="separate"/>
      </w:r>
      <w:r>
        <w:rPr>
          <w:rStyle w:val="31"/>
          <w:rFonts w:hint="default" w:ascii="Times New Roman" w:hAnsi="Times New Roman" w:cs="Times New Roman"/>
          <w:lang w:bidi="ar"/>
        </w:rPr>
        <w:t>2.7 自然概况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_Toc165223570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rPr>
        <w:fldChar w:fldCharType="end"/>
      </w:r>
    </w:p>
    <w:p w14:paraId="3A1E6499">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"_Toc165223571" </w:instrText>
      </w:r>
      <w:r>
        <w:rPr>
          <w:rFonts w:hint="default" w:ascii="Times New Roman" w:hAnsi="Times New Roman" w:cs="Times New Roman"/>
        </w:rPr>
        <w:fldChar w:fldCharType="separate"/>
      </w:r>
      <w:r>
        <w:rPr>
          <w:rStyle w:val="31"/>
          <w:rFonts w:hint="default" w:ascii="Times New Roman" w:hAnsi="Times New Roman" w:eastAsia="宋体" w:cs="Times New Roman"/>
        </w:rPr>
        <w:t>3</w:t>
      </w:r>
      <w:r>
        <w:rPr>
          <w:rStyle w:val="31"/>
          <w:rFonts w:hint="default" w:ascii="Times New Roman" w:hAnsi="Times New Roman" w:cs="Times New Roman"/>
        </w:rPr>
        <w:t xml:space="preserve"> 项目水土保持评价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_Toc165223571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rPr>
        <w:fldChar w:fldCharType="end"/>
      </w:r>
    </w:p>
    <w:p w14:paraId="1BD203E1">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"_Toc165223572" </w:instrText>
      </w:r>
      <w:r>
        <w:rPr>
          <w:rFonts w:hint="default" w:ascii="Times New Roman" w:hAnsi="Times New Roman" w:cs="Times New Roman"/>
        </w:rPr>
        <w:fldChar w:fldCharType="separate"/>
      </w:r>
      <w:r>
        <w:rPr>
          <w:rStyle w:val="31"/>
          <w:rFonts w:hint="default" w:ascii="Times New Roman" w:hAnsi="Times New Roman" w:cs="Times New Roman"/>
        </w:rPr>
        <w:t>3.1 主体工程选址（线）水土保持评价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_Toc165223572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rPr>
        <w:fldChar w:fldCharType="end"/>
      </w:r>
    </w:p>
    <w:p w14:paraId="3389E866">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"_Toc165223573" </w:instrText>
      </w:r>
      <w:r>
        <w:rPr>
          <w:rFonts w:hint="default" w:ascii="Times New Roman" w:hAnsi="Times New Roman" w:cs="Times New Roman"/>
        </w:rPr>
        <w:fldChar w:fldCharType="separate"/>
      </w:r>
      <w:r>
        <w:rPr>
          <w:rStyle w:val="31"/>
          <w:rFonts w:hint="default" w:ascii="Times New Roman" w:hAnsi="Times New Roman" w:cs="Times New Roman"/>
        </w:rPr>
        <w:t>3.2 建设方案与布局水土保持评价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_Toc165223573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cs="Times New Roman"/>
        </w:rPr>
        <w:fldChar w:fldCharType="end"/>
      </w:r>
    </w:p>
    <w:p w14:paraId="6D58751B">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"_Toc165223574" </w:instrText>
      </w:r>
      <w:r>
        <w:rPr>
          <w:rFonts w:hint="default" w:ascii="Times New Roman" w:hAnsi="Times New Roman" w:cs="Times New Roman"/>
        </w:rPr>
        <w:fldChar w:fldCharType="separate"/>
      </w:r>
      <w:r>
        <w:rPr>
          <w:rStyle w:val="31"/>
          <w:rFonts w:hint="default" w:ascii="Times New Roman" w:hAnsi="Times New Roman" w:cs="Times New Roman"/>
        </w:rPr>
        <w:t>3.3 主体工程设计中水土保持措施界定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_Toc165223574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fldChar w:fldCharType="end"/>
      </w:r>
    </w:p>
    <w:p w14:paraId="4948B22C">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"_Toc165223575" </w:instrText>
      </w:r>
      <w:r>
        <w:rPr>
          <w:rFonts w:hint="default" w:ascii="Times New Roman" w:hAnsi="Times New Roman" w:cs="Times New Roman"/>
        </w:rPr>
        <w:fldChar w:fldCharType="separate"/>
      </w:r>
      <w:r>
        <w:rPr>
          <w:rStyle w:val="31"/>
          <w:rFonts w:hint="default" w:ascii="Times New Roman" w:hAnsi="Times New Roman" w:cs="Times New Roman"/>
        </w:rPr>
        <w:t>3.4 评价结果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_Toc165223575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14:paraId="1F3A5DC2">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"_Toc165223576" </w:instrText>
      </w:r>
      <w:r>
        <w:rPr>
          <w:rFonts w:hint="default" w:ascii="Times New Roman" w:hAnsi="Times New Roman" w:cs="Times New Roman"/>
        </w:rPr>
        <w:fldChar w:fldCharType="separate"/>
      </w:r>
      <w:r>
        <w:rPr>
          <w:rStyle w:val="31"/>
          <w:rFonts w:hint="default" w:ascii="Times New Roman" w:hAnsi="Times New Roman" w:cs="Times New Roman"/>
        </w:rPr>
        <w:t>3.5 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_Toc165223576 \h </w:instrText>
      </w:r>
      <w:r>
        <w:rPr>
          <w:rFonts w:hint="default" w:ascii="Times New Roman" w:hAnsi="Times New Roman" w:cs="Times New Roman"/>
        </w:rPr>
        <w:fldChar w:fldCharType="separate"/>
      </w:r>
      <w:r>
        <w:rPr>
          <w:rFonts w:hint="default" w:ascii="Times New Roman" w:hAnsi="Times New Roman" w:cs="Times New Roman"/>
        </w:rPr>
        <w:t>54</w:t>
      </w:r>
      <w:r>
        <w:rPr>
          <w:rFonts w:hint="default" w:ascii="Times New Roman" w:hAnsi="Times New Roman" w:cs="Times New Roman"/>
        </w:rPr>
        <w:fldChar w:fldCharType="end"/>
      </w:r>
      <w:r>
        <w:rPr>
          <w:rFonts w:hint="default" w:ascii="Times New Roman" w:hAnsi="Times New Roman" w:cs="Times New Roman"/>
        </w:rPr>
        <w:fldChar w:fldCharType="end"/>
      </w:r>
    </w:p>
    <w:p w14:paraId="4D14CBD6">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"_Toc165223577" </w:instrText>
      </w:r>
      <w:r>
        <w:rPr>
          <w:rFonts w:hint="default" w:ascii="Times New Roman" w:hAnsi="Times New Roman" w:cs="Times New Roman"/>
        </w:rPr>
        <w:fldChar w:fldCharType="separate"/>
      </w:r>
      <w:r>
        <w:rPr>
          <w:rStyle w:val="31"/>
          <w:rFonts w:hint="default" w:ascii="Times New Roman" w:hAnsi="Times New Roman" w:eastAsia="宋体" w:cs="Times New Roman"/>
        </w:rPr>
        <w:t>4</w:t>
      </w:r>
      <w:r>
        <w:rPr>
          <w:rStyle w:val="31"/>
          <w:rFonts w:hint="default" w:ascii="Times New Roman" w:hAnsi="Times New Roman" w:cs="Times New Roman"/>
        </w:rPr>
        <w:t xml:space="preserve"> 水土流失分析与预测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_Toc165223577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rPr>
        <w:fldChar w:fldCharType="end"/>
      </w:r>
    </w:p>
    <w:p w14:paraId="2C1BCCF6">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"_Toc165223578" </w:instrText>
      </w:r>
      <w:r>
        <w:rPr>
          <w:rFonts w:hint="default" w:ascii="Times New Roman" w:hAnsi="Times New Roman" w:cs="Times New Roman"/>
        </w:rPr>
        <w:fldChar w:fldCharType="separate"/>
      </w:r>
      <w:r>
        <w:rPr>
          <w:rStyle w:val="31"/>
          <w:rFonts w:hint="default" w:ascii="Times New Roman" w:hAnsi="Times New Roman" w:cs="Times New Roman"/>
        </w:rPr>
        <w:t>4.1 水土流失现状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_Toc165223578 \h </w:instrText>
      </w:r>
      <w:r>
        <w:rPr>
          <w:rFonts w:hint="default" w:ascii="Times New Roman" w:hAnsi="Times New Roman" w:cs="Times New Roman"/>
        </w:rPr>
        <w:fldChar w:fldCharType="separate"/>
      </w:r>
      <w:r>
        <w:rPr>
          <w:rFonts w:hint="default" w:ascii="Times New Roman" w:hAnsi="Times New Roman" w:cs="Times New Roman"/>
        </w:rPr>
        <w:t>55</w:t>
      </w:r>
      <w:r>
        <w:rPr>
          <w:rFonts w:hint="default" w:ascii="Times New Roman" w:hAnsi="Times New Roman" w:cs="Times New Roman"/>
        </w:rPr>
        <w:fldChar w:fldCharType="end"/>
      </w:r>
      <w:r>
        <w:rPr>
          <w:rFonts w:hint="default" w:ascii="Times New Roman" w:hAnsi="Times New Roman" w:cs="Times New Roman"/>
        </w:rPr>
        <w:fldChar w:fldCharType="end"/>
      </w:r>
    </w:p>
    <w:p w14:paraId="4D4996F3">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"_Toc165223579" </w:instrText>
      </w:r>
      <w:r>
        <w:rPr>
          <w:rFonts w:hint="default" w:ascii="Times New Roman" w:hAnsi="Times New Roman" w:cs="Times New Roman"/>
        </w:rPr>
        <w:fldChar w:fldCharType="separate"/>
      </w:r>
      <w:r>
        <w:rPr>
          <w:rStyle w:val="31"/>
          <w:rFonts w:hint="default" w:ascii="Times New Roman" w:hAnsi="Times New Roman" w:cs="Times New Roman"/>
        </w:rPr>
        <w:t>4.2 水土流失影响因素分析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_Toc165223579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rPr>
        <w:fldChar w:fldCharType="end"/>
      </w:r>
    </w:p>
    <w:p w14:paraId="484FB060">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"_Toc165223580" </w:instrText>
      </w:r>
      <w:r>
        <w:rPr>
          <w:rFonts w:hint="default" w:ascii="Times New Roman" w:hAnsi="Times New Roman" w:cs="Times New Roman"/>
        </w:rPr>
        <w:fldChar w:fldCharType="separate"/>
      </w:r>
      <w:r>
        <w:rPr>
          <w:rStyle w:val="31"/>
          <w:rFonts w:hint="default" w:ascii="Times New Roman" w:hAnsi="Times New Roman" w:cs="Times New Roman"/>
        </w:rPr>
        <w:t>4.3 水土流失量预测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_Toc165223580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rPr>
        <w:fldChar w:fldCharType="end"/>
      </w:r>
    </w:p>
    <w:p w14:paraId="4AC955CD">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"_Toc165223581" </w:instrText>
      </w:r>
      <w:r>
        <w:rPr>
          <w:rFonts w:hint="default" w:ascii="Times New Roman" w:hAnsi="Times New Roman" w:cs="Times New Roman"/>
        </w:rPr>
        <w:fldChar w:fldCharType="separate"/>
      </w:r>
      <w:r>
        <w:rPr>
          <w:rStyle w:val="31"/>
          <w:rFonts w:hint="default" w:ascii="Times New Roman" w:hAnsi="Times New Roman" w:cs="Times New Roman"/>
        </w:rPr>
        <w:t>4.4 水土流失危害分析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_Toc165223581 \h </w:instrText>
      </w:r>
      <w:r>
        <w:rPr>
          <w:rFonts w:hint="default" w:ascii="Times New Roman" w:hAnsi="Times New Roman" w:cs="Times New Roman"/>
        </w:rPr>
        <w:fldChar w:fldCharType="separate"/>
      </w:r>
      <w:r>
        <w:rPr>
          <w:rFonts w:hint="default" w:ascii="Times New Roman" w:hAnsi="Times New Roman" w:cs="Times New Roman"/>
        </w:rPr>
        <w:t>64</w:t>
      </w:r>
      <w:r>
        <w:rPr>
          <w:rFonts w:hint="default" w:ascii="Times New Roman" w:hAnsi="Times New Roman" w:cs="Times New Roman"/>
        </w:rPr>
        <w:fldChar w:fldCharType="end"/>
      </w:r>
      <w:r>
        <w:rPr>
          <w:rFonts w:hint="default" w:ascii="Times New Roman" w:hAnsi="Times New Roman" w:cs="Times New Roman"/>
        </w:rPr>
        <w:fldChar w:fldCharType="end"/>
      </w:r>
    </w:p>
    <w:p w14:paraId="31FB1D34">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"_Toc165223582" </w:instrText>
      </w:r>
      <w:r>
        <w:rPr>
          <w:rFonts w:hint="default" w:ascii="Times New Roman" w:hAnsi="Times New Roman" w:cs="Times New Roman"/>
        </w:rPr>
        <w:fldChar w:fldCharType="separate"/>
      </w:r>
      <w:r>
        <w:rPr>
          <w:rStyle w:val="31"/>
          <w:rFonts w:hint="default" w:ascii="Times New Roman" w:hAnsi="Times New Roman" w:cs="Times New Roman"/>
        </w:rPr>
        <w:t>4.5 指导性意见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_Toc165223582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rPr>
        <w:fldChar w:fldCharType="end"/>
      </w:r>
    </w:p>
    <w:p w14:paraId="10F88B27">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"_Toc165223583" </w:instrText>
      </w:r>
      <w:r>
        <w:rPr>
          <w:rFonts w:hint="default" w:ascii="Times New Roman" w:hAnsi="Times New Roman" w:cs="Times New Roman"/>
        </w:rPr>
        <w:fldChar w:fldCharType="separate"/>
      </w:r>
      <w:r>
        <w:rPr>
          <w:rStyle w:val="31"/>
          <w:rFonts w:hint="default" w:ascii="Times New Roman" w:hAnsi="Times New Roman" w:eastAsia="宋体" w:cs="Times New Roman"/>
        </w:rPr>
        <w:t>5</w:t>
      </w:r>
      <w:r>
        <w:rPr>
          <w:rStyle w:val="31"/>
          <w:rFonts w:hint="default" w:ascii="Times New Roman" w:hAnsi="Times New Roman" w:cs="Times New Roman"/>
        </w:rPr>
        <w:t xml:space="preserve"> 水土保持措施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_Toc165223583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rPr>
        <w:fldChar w:fldCharType="end"/>
      </w:r>
    </w:p>
    <w:p w14:paraId="48191B19">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"_Toc165223584" </w:instrText>
      </w:r>
      <w:r>
        <w:rPr>
          <w:rFonts w:hint="default" w:ascii="Times New Roman" w:hAnsi="Times New Roman" w:cs="Times New Roman"/>
        </w:rPr>
        <w:fldChar w:fldCharType="separate"/>
      </w:r>
      <w:r>
        <w:rPr>
          <w:rStyle w:val="31"/>
          <w:rFonts w:hint="default" w:ascii="Times New Roman" w:hAnsi="Times New Roman" w:cs="Times New Roman"/>
        </w:rPr>
        <w:t>5.1 防治区划分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_Toc165223584 \h </w:instrText>
      </w:r>
      <w:r>
        <w:rPr>
          <w:rFonts w:hint="default" w:ascii="Times New Roman" w:hAnsi="Times New Roman" w:cs="Times New Roman"/>
        </w:rPr>
        <w:fldChar w:fldCharType="separate"/>
      </w:r>
      <w:r>
        <w:rPr>
          <w:rFonts w:hint="default" w:ascii="Times New Roman" w:hAnsi="Times New Roman" w:cs="Times New Roman"/>
        </w:rPr>
        <w:t>66</w:t>
      </w:r>
      <w:r>
        <w:rPr>
          <w:rFonts w:hint="default" w:ascii="Times New Roman" w:hAnsi="Times New Roman" w:cs="Times New Roman"/>
        </w:rPr>
        <w:fldChar w:fldCharType="end"/>
      </w:r>
      <w:r>
        <w:rPr>
          <w:rFonts w:hint="default" w:ascii="Times New Roman" w:hAnsi="Times New Roman" w:cs="Times New Roman"/>
        </w:rPr>
        <w:fldChar w:fldCharType="end"/>
      </w:r>
    </w:p>
    <w:p w14:paraId="39055450">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"_Toc165223585" </w:instrText>
      </w:r>
      <w:r>
        <w:rPr>
          <w:rFonts w:hint="default" w:ascii="Times New Roman" w:hAnsi="Times New Roman" w:cs="Times New Roman"/>
        </w:rPr>
        <w:fldChar w:fldCharType="separate"/>
      </w:r>
      <w:r>
        <w:rPr>
          <w:rStyle w:val="31"/>
          <w:rFonts w:hint="default" w:ascii="Times New Roman" w:hAnsi="Times New Roman" w:cs="Times New Roman"/>
        </w:rPr>
        <w:t>5.2 措施总体布局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_Toc165223585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14:paraId="02633F7F">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"_Toc165223586" </w:instrText>
      </w:r>
      <w:r>
        <w:rPr>
          <w:rFonts w:hint="default" w:ascii="Times New Roman" w:hAnsi="Times New Roman" w:cs="Times New Roman"/>
        </w:rPr>
        <w:fldChar w:fldCharType="separate"/>
      </w:r>
      <w:r>
        <w:rPr>
          <w:rStyle w:val="31"/>
          <w:rFonts w:hint="default" w:ascii="Times New Roman" w:hAnsi="Times New Roman" w:cs="Times New Roman"/>
        </w:rPr>
        <w:t>5.3 分区措施布设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_Toc165223586 \h </w:instrText>
      </w:r>
      <w:r>
        <w:rPr>
          <w:rFonts w:hint="default" w:ascii="Times New Roman" w:hAnsi="Times New Roman" w:cs="Times New Roman"/>
        </w:rPr>
        <w:fldChar w:fldCharType="separate"/>
      </w:r>
      <w:r>
        <w:rPr>
          <w:rFonts w:hint="default" w:ascii="Times New Roman" w:hAnsi="Times New Roman" w:cs="Times New Roman"/>
        </w:rPr>
        <w:t>72</w:t>
      </w:r>
      <w:r>
        <w:rPr>
          <w:rFonts w:hint="default" w:ascii="Times New Roman" w:hAnsi="Times New Roman" w:cs="Times New Roman"/>
        </w:rPr>
        <w:fldChar w:fldCharType="end"/>
      </w:r>
      <w:r>
        <w:rPr>
          <w:rFonts w:hint="default" w:ascii="Times New Roman" w:hAnsi="Times New Roman" w:cs="Times New Roman"/>
        </w:rPr>
        <w:fldChar w:fldCharType="end"/>
      </w:r>
    </w:p>
    <w:p w14:paraId="38DC77C7">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"_Toc165223587" </w:instrText>
      </w:r>
      <w:r>
        <w:rPr>
          <w:rFonts w:hint="default" w:ascii="Times New Roman" w:hAnsi="Times New Roman" w:cs="Times New Roman"/>
        </w:rPr>
        <w:fldChar w:fldCharType="separate"/>
      </w:r>
      <w:r>
        <w:rPr>
          <w:rStyle w:val="31"/>
          <w:rFonts w:hint="default" w:ascii="Times New Roman" w:hAnsi="Times New Roman" w:cs="Times New Roman"/>
        </w:rPr>
        <w:t>5.4 施工要求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_Toc165223587 \h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rPr>
        <w:fldChar w:fldCharType="end"/>
      </w:r>
    </w:p>
    <w:p w14:paraId="2BE8CCD7">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"_Toc165223588" </w:instrText>
      </w:r>
      <w:r>
        <w:rPr>
          <w:rFonts w:hint="default" w:ascii="Times New Roman" w:hAnsi="Times New Roman" w:cs="Times New Roman"/>
        </w:rPr>
        <w:fldChar w:fldCharType="separate"/>
      </w:r>
      <w:r>
        <w:rPr>
          <w:rStyle w:val="31"/>
          <w:rFonts w:hint="default" w:ascii="Times New Roman" w:hAnsi="Times New Roman" w:eastAsia="宋体" w:cs="Times New Roman"/>
          <w:lang w:val="zh-CN"/>
        </w:rPr>
        <w:t>6</w:t>
      </w:r>
      <w:r>
        <w:rPr>
          <w:rStyle w:val="31"/>
          <w:rFonts w:hint="default" w:ascii="Times New Roman" w:hAnsi="Times New Roman" w:cs="Times New Roman"/>
          <w:lang w:val="zh-CN"/>
        </w:rPr>
        <w:t xml:space="preserve"> 水土保持监测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_Toc165223588 \h </w:instrText>
      </w:r>
      <w:r>
        <w:rPr>
          <w:rFonts w:hint="default" w:ascii="Times New Roman" w:hAnsi="Times New Roman" w:cs="Times New Roman"/>
        </w:rPr>
        <w:fldChar w:fldCharType="separate"/>
      </w:r>
      <w:r>
        <w:rPr>
          <w:rFonts w:hint="default" w:ascii="Times New Roman" w:hAnsi="Times New Roman" w:cs="Times New Roman"/>
        </w:rPr>
        <w:t>84</w:t>
      </w:r>
      <w:r>
        <w:rPr>
          <w:rFonts w:hint="default" w:ascii="Times New Roman" w:hAnsi="Times New Roman" w:cs="Times New Roman"/>
        </w:rPr>
        <w:fldChar w:fldCharType="end"/>
      </w:r>
      <w:r>
        <w:rPr>
          <w:rFonts w:hint="default" w:ascii="Times New Roman" w:hAnsi="Times New Roman" w:cs="Times New Roman"/>
        </w:rPr>
        <w:fldChar w:fldCharType="end"/>
      </w:r>
    </w:p>
    <w:p w14:paraId="43375C30">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"_Toc165223593" </w:instrText>
      </w:r>
      <w:r>
        <w:rPr>
          <w:rFonts w:hint="default" w:ascii="Times New Roman" w:hAnsi="Times New Roman" w:cs="Times New Roman"/>
        </w:rPr>
        <w:fldChar w:fldCharType="separate"/>
      </w:r>
      <w:r>
        <w:rPr>
          <w:rStyle w:val="31"/>
          <w:rFonts w:hint="default" w:ascii="Times New Roman" w:hAnsi="Times New Roman" w:eastAsia="宋体" w:cs="Times New Roman"/>
        </w:rPr>
        <w:t>7</w:t>
      </w:r>
      <w:r>
        <w:rPr>
          <w:rStyle w:val="31"/>
          <w:rFonts w:hint="default" w:ascii="Times New Roman" w:hAnsi="Times New Roman" w:cs="Times New Roman"/>
        </w:rPr>
        <w:t xml:space="preserve"> 水土保持投资</w:t>
      </w:r>
      <w:r>
        <w:rPr>
          <w:rStyle w:val="31"/>
          <w:rFonts w:hint="eastAsia" w:cs="Times New Roman"/>
          <w:lang w:eastAsia="zh-CN"/>
        </w:rPr>
        <w:t>概算</w:t>
      </w:r>
      <w:r>
        <w:rPr>
          <w:rStyle w:val="31"/>
          <w:rFonts w:hint="default" w:ascii="Times New Roman" w:hAnsi="Times New Roman" w:cs="Times New Roman"/>
        </w:rPr>
        <w:t>及效益分析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_Toc165223593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73070DE4">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"_Toc165223594" </w:instrText>
      </w:r>
      <w:r>
        <w:rPr>
          <w:rFonts w:hint="default" w:ascii="Times New Roman" w:hAnsi="Times New Roman" w:cs="Times New Roman"/>
        </w:rPr>
        <w:fldChar w:fldCharType="separate"/>
      </w:r>
      <w:r>
        <w:rPr>
          <w:rStyle w:val="31"/>
          <w:rFonts w:hint="default" w:ascii="Times New Roman" w:hAnsi="Times New Roman" w:cs="Times New Roman"/>
        </w:rPr>
        <w:t>7.1 投资</w:t>
      </w:r>
      <w:r>
        <w:rPr>
          <w:rStyle w:val="31"/>
          <w:rFonts w:hint="eastAsia" w:cs="Times New Roman"/>
          <w:lang w:eastAsia="zh-CN"/>
        </w:rPr>
        <w:t>概算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_Toc165223594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rPr>
        <w:fldChar w:fldCharType="end"/>
      </w:r>
    </w:p>
    <w:p w14:paraId="0D8B6FE8">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"_Toc165223595" </w:instrText>
      </w:r>
      <w:r>
        <w:rPr>
          <w:rFonts w:hint="default" w:ascii="Times New Roman" w:hAnsi="Times New Roman" w:cs="Times New Roman"/>
        </w:rPr>
        <w:fldChar w:fldCharType="separate"/>
      </w:r>
      <w:r>
        <w:rPr>
          <w:rStyle w:val="31"/>
          <w:rFonts w:hint="default" w:ascii="Times New Roman" w:hAnsi="Times New Roman" w:cs="Times New Roman"/>
        </w:rPr>
        <w:t>7.2 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_Toc165223595 \h </w:instrText>
      </w:r>
      <w:r>
        <w:rPr>
          <w:rFonts w:hint="default" w:ascii="Times New Roman" w:hAnsi="Times New Roman" w:cs="Times New Roman"/>
        </w:rPr>
        <w:fldChar w:fldCharType="separate"/>
      </w:r>
      <w:r>
        <w:rPr>
          <w:rFonts w:hint="default" w:ascii="Times New Roman" w:hAnsi="Times New Roman" w:cs="Times New Roman"/>
        </w:rPr>
        <w:t>94</w:t>
      </w:r>
      <w:r>
        <w:rPr>
          <w:rFonts w:hint="default" w:ascii="Times New Roman" w:hAnsi="Times New Roman" w:cs="Times New Roman"/>
        </w:rPr>
        <w:fldChar w:fldCharType="end"/>
      </w:r>
      <w:r>
        <w:rPr>
          <w:rFonts w:hint="default" w:ascii="Times New Roman" w:hAnsi="Times New Roman" w:cs="Times New Roman"/>
        </w:rPr>
        <w:fldChar w:fldCharType="end"/>
      </w:r>
    </w:p>
    <w:p w14:paraId="6AA01A08">
      <w:pPr>
        <w:pStyle w:val="22"/>
        <w:tabs>
          <w:tab w:val="right" w:leader="dot" w:pos="9344"/>
        </w:tabs>
        <w:rPr>
          <w:rFonts w:hint="default" w:ascii="Times New Roman" w:hAnsi="Times New Roman" w:cs="Times New Roman" w:eastAsiaTheme="minorEastAsia"/>
          <w:b w:val="0"/>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"_Toc165223596" </w:instrText>
      </w:r>
      <w:r>
        <w:rPr>
          <w:rFonts w:hint="default" w:ascii="Times New Roman" w:hAnsi="Times New Roman" w:cs="Times New Roman"/>
        </w:rPr>
        <w:fldChar w:fldCharType="separate"/>
      </w:r>
      <w:r>
        <w:rPr>
          <w:rStyle w:val="31"/>
          <w:rFonts w:hint="default" w:ascii="Times New Roman" w:hAnsi="Times New Roman" w:eastAsia="宋体" w:cs="Times New Roman"/>
          <w:lang w:val="zh-CN"/>
        </w:rPr>
        <w:t>8</w:t>
      </w:r>
      <w:r>
        <w:rPr>
          <w:rStyle w:val="31"/>
          <w:rFonts w:hint="default" w:ascii="Times New Roman" w:hAnsi="Times New Roman" w:cs="Times New Roman"/>
          <w:lang w:val="zh-CN"/>
        </w:rPr>
        <w:t xml:space="preserve"> 水土保持管理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_Toc165223596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rPr>
        <w:fldChar w:fldCharType="end"/>
      </w:r>
    </w:p>
    <w:p w14:paraId="0C8FA86F">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"_Toc165223597" </w:instrText>
      </w:r>
      <w:r>
        <w:rPr>
          <w:rFonts w:hint="default" w:ascii="Times New Roman" w:hAnsi="Times New Roman" w:cs="Times New Roman"/>
        </w:rPr>
        <w:fldChar w:fldCharType="separate"/>
      </w:r>
      <w:r>
        <w:rPr>
          <w:rStyle w:val="31"/>
          <w:rFonts w:hint="default" w:ascii="Times New Roman" w:hAnsi="Times New Roman" w:cs="Times New Roman"/>
        </w:rPr>
        <w:t>8.1 组织管理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_Toc165223597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rPr>
        <w:fldChar w:fldCharType="end"/>
      </w:r>
    </w:p>
    <w:p w14:paraId="0E82EF42">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"_Toc165223598" </w:instrText>
      </w:r>
      <w:r>
        <w:rPr>
          <w:rFonts w:hint="default" w:ascii="Times New Roman" w:hAnsi="Times New Roman" w:cs="Times New Roman"/>
        </w:rPr>
        <w:fldChar w:fldCharType="separate"/>
      </w:r>
      <w:r>
        <w:rPr>
          <w:rStyle w:val="31"/>
          <w:rFonts w:hint="default" w:ascii="Times New Roman" w:hAnsi="Times New Roman" w:cs="Times New Roman"/>
        </w:rPr>
        <w:t>8.2 水土保持监测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_Toc165223598 \h </w:instrText>
      </w:r>
      <w:r>
        <w:rPr>
          <w:rFonts w:hint="default" w:ascii="Times New Roman" w:hAnsi="Times New Roman" w:cs="Times New Roman"/>
        </w:rPr>
        <w:fldChar w:fldCharType="separate"/>
      </w:r>
      <w:r>
        <w:rPr>
          <w:rFonts w:hint="default" w:ascii="Times New Roman" w:hAnsi="Times New Roman" w:cs="Times New Roman"/>
        </w:rPr>
        <w:t>98</w:t>
      </w:r>
      <w:r>
        <w:rPr>
          <w:rFonts w:hint="default" w:ascii="Times New Roman" w:hAnsi="Times New Roman" w:cs="Times New Roman"/>
        </w:rPr>
        <w:fldChar w:fldCharType="end"/>
      </w:r>
      <w:r>
        <w:rPr>
          <w:rFonts w:hint="default" w:ascii="Times New Roman" w:hAnsi="Times New Roman" w:cs="Times New Roman"/>
        </w:rPr>
        <w:fldChar w:fldCharType="end"/>
      </w:r>
    </w:p>
    <w:p w14:paraId="62E61F60">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"_Toc165223599" </w:instrText>
      </w:r>
      <w:r>
        <w:rPr>
          <w:rFonts w:hint="default" w:ascii="Times New Roman" w:hAnsi="Times New Roman" w:cs="Times New Roman"/>
        </w:rPr>
        <w:fldChar w:fldCharType="separate"/>
      </w:r>
      <w:r>
        <w:rPr>
          <w:rStyle w:val="31"/>
          <w:rFonts w:hint="default" w:ascii="Times New Roman" w:hAnsi="Times New Roman" w:cs="Times New Roman"/>
        </w:rPr>
        <w:t>8.3 水土保持监理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_Toc165223599 \h </w:instrText>
      </w:r>
      <w:r>
        <w:rPr>
          <w:rFonts w:hint="default" w:ascii="Times New Roman" w:hAnsi="Times New Roman" w:cs="Times New Roman"/>
        </w:rPr>
        <w:fldChar w:fldCharType="separate"/>
      </w:r>
      <w:r>
        <w:rPr>
          <w:rFonts w:hint="default" w:ascii="Times New Roman" w:hAnsi="Times New Roman" w:cs="Times New Roman"/>
        </w:rPr>
        <w:t>99</w:t>
      </w:r>
      <w:r>
        <w:rPr>
          <w:rFonts w:hint="default" w:ascii="Times New Roman" w:hAnsi="Times New Roman" w:cs="Times New Roman"/>
        </w:rPr>
        <w:fldChar w:fldCharType="end"/>
      </w:r>
      <w:r>
        <w:rPr>
          <w:rFonts w:hint="default" w:ascii="Times New Roman" w:hAnsi="Times New Roman" w:cs="Times New Roman"/>
        </w:rPr>
        <w:fldChar w:fldCharType="end"/>
      </w:r>
    </w:p>
    <w:p w14:paraId="76AEC370">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"_Toc165223600" </w:instrText>
      </w:r>
      <w:r>
        <w:rPr>
          <w:rFonts w:hint="default" w:ascii="Times New Roman" w:hAnsi="Times New Roman" w:cs="Times New Roman"/>
        </w:rPr>
        <w:fldChar w:fldCharType="separate"/>
      </w:r>
      <w:r>
        <w:rPr>
          <w:rStyle w:val="31"/>
          <w:rFonts w:hint="default" w:ascii="Times New Roman" w:hAnsi="Times New Roman" w:cs="Times New Roman"/>
        </w:rPr>
        <w:t>8.4 水土保持施工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_Toc165223600 \h </w:instrText>
      </w:r>
      <w:r>
        <w:rPr>
          <w:rFonts w:hint="default" w:ascii="Times New Roman" w:hAnsi="Times New Roman" w:cs="Times New Roman"/>
        </w:rPr>
        <w:fldChar w:fldCharType="separate"/>
      </w:r>
      <w:r>
        <w:rPr>
          <w:rFonts w:hint="default" w:ascii="Times New Roman" w:hAnsi="Times New Roman" w:cs="Times New Roman"/>
        </w:rPr>
        <w:t>99</w:t>
      </w:r>
      <w:r>
        <w:rPr>
          <w:rFonts w:hint="default" w:ascii="Times New Roman" w:hAnsi="Times New Roman" w:cs="Times New Roman"/>
        </w:rPr>
        <w:fldChar w:fldCharType="end"/>
      </w:r>
      <w:r>
        <w:rPr>
          <w:rFonts w:hint="default" w:ascii="Times New Roman" w:hAnsi="Times New Roman" w:cs="Times New Roman"/>
        </w:rPr>
        <w:fldChar w:fldCharType="end"/>
      </w:r>
    </w:p>
    <w:p w14:paraId="0A1795D2">
      <w:pPr>
        <w:pStyle w:val="23"/>
        <w:tabs>
          <w:tab w:val="right" w:leader="dot" w:pos="9344"/>
        </w:tabs>
        <w:ind w:firstLine="480"/>
        <w:rPr>
          <w:rFonts w:hint="default" w:ascii="Times New Roman" w:hAnsi="Times New Roman" w:cs="Times New Roman" w:eastAsiaTheme="minorEastAsia"/>
          <w:sz w:val="21"/>
          <w:szCs w:val="22"/>
          <w14:ligatures w14:val="standardContextual"/>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"_Toc165223601" </w:instrText>
      </w:r>
      <w:r>
        <w:rPr>
          <w:rFonts w:hint="default" w:ascii="Times New Roman" w:hAnsi="Times New Roman" w:cs="Times New Roman"/>
        </w:rPr>
        <w:fldChar w:fldCharType="separate"/>
      </w:r>
      <w:r>
        <w:rPr>
          <w:rStyle w:val="31"/>
          <w:rFonts w:hint="default" w:ascii="Times New Roman" w:hAnsi="Times New Roman" w:cs="Times New Roman"/>
        </w:rPr>
        <w:t>8.5 水土保持设施验收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_Toc165223601 \h </w:instrText>
      </w:r>
      <w:r>
        <w:rPr>
          <w:rFonts w:hint="default" w:ascii="Times New Roman" w:hAnsi="Times New Roman" w:cs="Times New Roman"/>
        </w:rPr>
        <w:fldChar w:fldCharType="separate"/>
      </w:r>
      <w:r>
        <w:rPr>
          <w:rFonts w:hint="default" w:ascii="Times New Roman" w:hAnsi="Times New Roman" w:cs="Times New Roman"/>
        </w:rPr>
        <w:t>99</w:t>
      </w:r>
      <w:r>
        <w:rPr>
          <w:rFonts w:hint="default" w:ascii="Times New Roman" w:hAnsi="Times New Roman" w:cs="Times New Roman"/>
        </w:rPr>
        <w:fldChar w:fldCharType="end"/>
      </w:r>
      <w:r>
        <w:rPr>
          <w:rFonts w:hint="default" w:ascii="Times New Roman" w:hAnsi="Times New Roman" w:cs="Times New Roman"/>
        </w:rPr>
        <w:fldChar w:fldCharType="end"/>
      </w:r>
    </w:p>
    <w:p w14:paraId="5CE3CA4E">
      <w:pPr>
        <w:ind w:firstLine="480"/>
        <w:jc w:val="center"/>
        <w:rPr>
          <w:rFonts w:hint="default" w:ascii="Times New Roman" w:hAnsi="Times New Roman" w:cs="Times New Roman"/>
          <w:sz w:val="30"/>
          <w:szCs w:val="30"/>
        </w:rPr>
        <w:sectPr>
          <w:headerReference r:id="rId11" w:type="default"/>
          <w:footerReference r:id="rId12" w:type="default"/>
          <w:pgSz w:w="11906" w:h="16838"/>
          <w:pgMar w:top="1134" w:right="1418"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zCs w:val="30"/>
        </w:rPr>
        <w:fldChar w:fldCharType="end"/>
      </w:r>
    </w:p>
    <w:p w14:paraId="2B519B94">
      <w:pPr>
        <w:ind w:firstLine="482"/>
        <w:rPr>
          <w:rFonts w:hint="default" w:ascii="Times New Roman" w:hAnsi="Times New Roman" w:cs="Times New Roman"/>
          <w:b/>
        </w:rPr>
      </w:pPr>
      <w:r>
        <w:rPr>
          <w:rFonts w:hint="default" w:ascii="Times New Roman" w:hAnsi="Times New Roman" w:cs="Times New Roman"/>
          <w:b/>
        </w:rPr>
        <w:t>附表：</w:t>
      </w:r>
    </w:p>
    <w:p w14:paraId="1D87E8C2">
      <w:pPr>
        <w:ind w:firstLine="480"/>
        <w:rPr>
          <w:rFonts w:hint="default" w:ascii="Times New Roman" w:hAnsi="Times New Roman" w:cs="Times New Roman"/>
        </w:rPr>
      </w:pPr>
      <w:r>
        <w:rPr>
          <w:rFonts w:hint="default" w:ascii="Times New Roman" w:hAnsi="Times New Roman" w:cs="Times New Roman"/>
        </w:rPr>
        <w:t>附表：</w:t>
      </w:r>
      <w:r>
        <w:rPr>
          <w:rFonts w:hint="eastAsia" w:cs="Times New Roman"/>
          <w:lang w:eastAsia="zh-CN"/>
        </w:rPr>
        <w:t>概算</w:t>
      </w:r>
      <w:r>
        <w:rPr>
          <w:rFonts w:hint="default" w:ascii="Times New Roman" w:hAnsi="Times New Roman" w:cs="Times New Roman"/>
        </w:rPr>
        <w:t>附表</w:t>
      </w:r>
    </w:p>
    <w:p w14:paraId="7CD8B3B5">
      <w:pPr>
        <w:ind w:firstLine="482"/>
        <w:rPr>
          <w:rFonts w:hint="default" w:ascii="Times New Roman" w:hAnsi="Times New Roman" w:cs="Times New Roman"/>
          <w:b/>
        </w:rPr>
      </w:pPr>
    </w:p>
    <w:p w14:paraId="0D8C6158">
      <w:pPr>
        <w:ind w:firstLine="482"/>
        <w:rPr>
          <w:rFonts w:hint="default" w:ascii="Times New Roman" w:hAnsi="Times New Roman" w:cs="Times New Roman"/>
          <w:b/>
        </w:rPr>
      </w:pPr>
      <w:r>
        <w:rPr>
          <w:rFonts w:hint="default" w:ascii="Times New Roman" w:hAnsi="Times New Roman" w:cs="Times New Roman"/>
          <w:b/>
        </w:rPr>
        <w:t>附件：</w:t>
      </w:r>
    </w:p>
    <w:p w14:paraId="284A20E2">
      <w:pPr>
        <w:adjustRightInd w:val="0"/>
        <w:snapToGrid w:val="0"/>
        <w:ind w:firstLine="480"/>
        <w:rPr>
          <w:rFonts w:hint="default" w:ascii="Times New Roman" w:hAnsi="Times New Roman" w:cs="Times New Roman"/>
        </w:rPr>
      </w:pPr>
      <w:r>
        <w:rPr>
          <w:rFonts w:hint="default" w:ascii="Times New Roman" w:hAnsi="Times New Roman" w:cs="Times New Roman"/>
        </w:rPr>
        <w:t>附件1：委托书；</w:t>
      </w:r>
    </w:p>
    <w:p w14:paraId="7B3F5CF9">
      <w:pPr>
        <w:adjustRightInd w:val="0"/>
        <w:snapToGrid w:val="0"/>
        <w:ind w:firstLine="480"/>
        <w:rPr>
          <w:rFonts w:hint="default" w:ascii="Times New Roman" w:hAnsi="Times New Roman" w:cs="Times New Roman"/>
        </w:rPr>
      </w:pPr>
      <w:r>
        <w:rPr>
          <w:rFonts w:hint="default" w:ascii="Times New Roman" w:hAnsi="Times New Roman" w:cs="Times New Roman"/>
        </w:rPr>
        <w:t>附件2：水土流失防治责任范围确认函；</w:t>
      </w:r>
    </w:p>
    <w:p w14:paraId="6FCE1457">
      <w:pPr>
        <w:pStyle w:val="93"/>
        <w:rPr>
          <w:rFonts w:hint="eastAsia" w:cs="Times New Roman"/>
          <w:lang w:eastAsia="zh-CN"/>
        </w:rPr>
      </w:pPr>
      <w:r>
        <w:rPr>
          <w:rFonts w:hint="default" w:ascii="Times New Roman" w:hAnsi="Times New Roman" w:cs="Times New Roman"/>
        </w:rPr>
        <w:t>附件3：</w:t>
      </w:r>
      <w:r>
        <w:rPr>
          <w:rStyle w:val="92"/>
          <w:rFonts w:hint="default" w:ascii="Times New Roman" w:hAnsi="Times New Roman" w:cs="Times New Roman"/>
          <w:snapToGrid w:val="0"/>
        </w:rPr>
        <w:t>会泽县发展和改革局文件《</w:t>
      </w:r>
      <w:r>
        <w:rPr>
          <w:rFonts w:hint="default" w:ascii="Times New Roman" w:hAnsi="Times New Roman" w:cs="Times New Roman"/>
        </w:rPr>
        <w:t>会泽县发展和改革局关于</w:t>
      </w:r>
      <w:r>
        <w:rPr>
          <w:rFonts w:hint="eastAsia" w:cs="Times New Roman"/>
          <w:lang w:eastAsia="zh-CN"/>
        </w:rPr>
        <w:t>待补镇安康安置点帮扶车间建设项目</w:t>
      </w:r>
      <w:r>
        <w:rPr>
          <w:rFonts w:hint="default" w:ascii="Times New Roman" w:hAnsi="Times New Roman" w:cs="Times New Roman"/>
        </w:rPr>
        <w:t>可行性研究报告的批复》（会发改</w:t>
      </w:r>
      <w:r>
        <w:rPr>
          <w:rFonts w:hint="eastAsia" w:cs="Times New Roman"/>
          <w:lang w:val="en-US" w:eastAsia="zh-CN"/>
        </w:rPr>
        <w:t>易地</w:t>
      </w:r>
      <w:r>
        <w:rPr>
          <w:rFonts w:hint="default" w:ascii="Times New Roman" w:hAnsi="Times New Roman" w:cs="Times New Roman"/>
          <w:kern w:val="0"/>
        </w:rPr>
        <w:t>〔202</w:t>
      </w:r>
      <w:r>
        <w:rPr>
          <w:rFonts w:hint="eastAsia" w:cs="Times New Roman"/>
          <w:kern w:val="0"/>
          <w:lang w:val="en-US" w:eastAsia="zh-CN"/>
        </w:rPr>
        <w:t>4</w:t>
      </w:r>
      <w:r>
        <w:rPr>
          <w:rFonts w:hint="default" w:ascii="Times New Roman" w:hAnsi="Times New Roman" w:cs="Times New Roman"/>
          <w:kern w:val="0"/>
        </w:rPr>
        <w:t>〕</w:t>
      </w:r>
      <w:r>
        <w:rPr>
          <w:rFonts w:hint="eastAsia" w:cs="Times New Roman"/>
          <w:kern w:val="0"/>
          <w:lang w:val="en-US" w:eastAsia="zh-CN"/>
        </w:rPr>
        <w:t>2</w:t>
      </w:r>
      <w:r>
        <w:rPr>
          <w:rFonts w:hint="default" w:ascii="Times New Roman" w:hAnsi="Times New Roman" w:cs="Times New Roman"/>
          <w:kern w:val="0"/>
        </w:rPr>
        <w:t>号</w:t>
      </w:r>
      <w:r>
        <w:rPr>
          <w:rFonts w:hint="default" w:ascii="Times New Roman" w:hAnsi="Times New Roman" w:cs="Times New Roman"/>
        </w:rPr>
        <w:t>）</w:t>
      </w:r>
      <w:r>
        <w:rPr>
          <w:rFonts w:hint="eastAsia" w:cs="Times New Roman"/>
          <w:lang w:eastAsia="zh-CN"/>
        </w:rPr>
        <w:t>；</w:t>
      </w:r>
    </w:p>
    <w:p w14:paraId="621FF62E">
      <w:pPr>
        <w:pStyle w:val="93"/>
        <w:rPr>
          <w:rFonts w:hint="eastAsia" w:cs="Times New Roman"/>
          <w:lang w:val="en-US" w:eastAsia="zh-CN"/>
        </w:rPr>
      </w:pPr>
      <w:r>
        <w:rPr>
          <w:rFonts w:hint="eastAsia" w:cs="Times New Roman"/>
          <w:lang w:val="en-US" w:eastAsia="zh-CN"/>
        </w:rPr>
        <w:t>附件4：建设项目用地预审选址意见书；</w:t>
      </w:r>
    </w:p>
    <w:p w14:paraId="48C1576B">
      <w:pPr>
        <w:pStyle w:val="93"/>
        <w:rPr>
          <w:rFonts w:hint="default" w:cs="Times New Roman"/>
          <w:lang w:val="en-US" w:eastAsia="zh-CN"/>
        </w:rPr>
      </w:pPr>
      <w:r>
        <w:rPr>
          <w:rFonts w:hint="default" w:cs="Times New Roman"/>
          <w:lang w:val="en-US" w:eastAsia="zh-CN"/>
        </w:rPr>
        <w:t>附件5：水土保持方案报告表审查意见</w:t>
      </w:r>
      <w:r>
        <w:rPr>
          <w:rFonts w:hint="eastAsia" w:cs="Times New Roman"/>
          <w:lang w:val="en-US" w:eastAsia="zh-CN"/>
        </w:rPr>
        <w:t>。</w:t>
      </w:r>
    </w:p>
    <w:p w14:paraId="3DACC779">
      <w:pPr>
        <w:pStyle w:val="93"/>
        <w:rPr>
          <w:rFonts w:hint="default" w:cs="Times New Roman"/>
          <w:lang w:val="en-US" w:eastAsia="zh-CN"/>
        </w:rPr>
      </w:pPr>
    </w:p>
    <w:p w14:paraId="110E90D3">
      <w:pPr>
        <w:ind w:firstLine="482"/>
        <w:rPr>
          <w:rFonts w:hint="default" w:ascii="Times New Roman" w:hAnsi="Times New Roman" w:cs="Times New Roman"/>
          <w:b/>
        </w:rPr>
      </w:pPr>
      <w:r>
        <w:rPr>
          <w:rFonts w:hint="default" w:ascii="Times New Roman" w:hAnsi="Times New Roman" w:cs="Times New Roman"/>
          <w:b/>
        </w:rPr>
        <w:t>附图:</w:t>
      </w:r>
    </w:p>
    <w:p w14:paraId="1D647005">
      <w:pPr>
        <w:adjustRightInd w:val="0"/>
        <w:snapToGrid w:val="0"/>
        <w:ind w:firstLine="480"/>
        <w:rPr>
          <w:rFonts w:hint="default" w:ascii="Times New Roman" w:hAnsi="Times New Roman" w:cs="Times New Roman"/>
        </w:rPr>
      </w:pPr>
      <w:r>
        <w:rPr>
          <w:rFonts w:hint="default" w:ascii="Times New Roman" w:hAnsi="Times New Roman" w:cs="Times New Roman"/>
        </w:rPr>
        <w:t>附图1：项目区交通及地理位置图；</w:t>
      </w:r>
    </w:p>
    <w:p w14:paraId="2FFE9F34">
      <w:pPr>
        <w:adjustRightInd w:val="0"/>
        <w:snapToGrid w:val="0"/>
        <w:ind w:firstLine="480"/>
        <w:rPr>
          <w:rFonts w:hint="default" w:cs="Times New Roman"/>
          <w:lang w:eastAsia="zh-CN"/>
        </w:rPr>
      </w:pPr>
      <w:r>
        <w:rPr>
          <w:rFonts w:hint="default" w:ascii="Times New Roman" w:hAnsi="Times New Roman" w:cs="Times New Roman"/>
        </w:rPr>
        <w:t>附图2：项目</w:t>
      </w:r>
      <w:r>
        <w:rPr>
          <w:rFonts w:hint="default" w:cs="Times New Roman"/>
          <w:lang w:eastAsia="zh-CN"/>
        </w:rPr>
        <w:t>区区域水系图；</w:t>
      </w:r>
    </w:p>
    <w:p w14:paraId="6DA96D85">
      <w:pPr>
        <w:adjustRightInd w:val="0"/>
        <w:snapToGrid w:val="0"/>
        <w:ind w:firstLine="480"/>
        <w:rPr>
          <w:rFonts w:hint="default" w:ascii="Times New Roman" w:hAnsi="Times New Roman" w:cs="Times New Roman"/>
        </w:rPr>
      </w:pPr>
      <w:r>
        <w:rPr>
          <w:rFonts w:hint="default" w:ascii="Times New Roman" w:hAnsi="Times New Roman" w:cs="Times New Roman"/>
        </w:rPr>
        <w:t>附图3：</w:t>
      </w:r>
      <w:r>
        <w:rPr>
          <w:rFonts w:hint="eastAsia" w:cs="Times New Roman"/>
          <w:lang w:eastAsia="zh-CN"/>
        </w:rPr>
        <w:t>待补镇安康安置点帮扶车间建设项目</w:t>
      </w:r>
      <w:r>
        <w:rPr>
          <w:rFonts w:hint="default" w:ascii="Times New Roman" w:hAnsi="Times New Roman" w:cs="Times New Roman"/>
        </w:rPr>
        <w:t>土地利用现状及土壤侵蚀强度分布图；</w:t>
      </w:r>
    </w:p>
    <w:p w14:paraId="2A035069">
      <w:pPr>
        <w:adjustRightInd w:val="0"/>
        <w:snapToGrid w:val="0"/>
        <w:ind w:firstLine="480"/>
        <w:rPr>
          <w:rFonts w:hint="default" w:ascii="Times New Roman" w:hAnsi="Times New Roman" w:cs="Times New Roman"/>
        </w:rPr>
      </w:pPr>
      <w:r>
        <w:rPr>
          <w:rFonts w:hint="default" w:ascii="Times New Roman" w:hAnsi="Times New Roman" w:cs="Times New Roman"/>
        </w:rPr>
        <w:t>附图4：</w:t>
      </w:r>
      <w:r>
        <w:rPr>
          <w:rFonts w:hint="eastAsia" w:cs="Times New Roman"/>
          <w:lang w:eastAsia="zh-CN"/>
        </w:rPr>
        <w:t>待补镇安康安置点帮扶车间建设项目</w:t>
      </w:r>
      <w:r>
        <w:rPr>
          <w:rFonts w:hint="default" w:ascii="Times New Roman" w:hAnsi="Times New Roman" w:cs="Times New Roman"/>
        </w:rPr>
        <w:t>总平面布置图；</w:t>
      </w:r>
    </w:p>
    <w:p w14:paraId="61D18912">
      <w:pPr>
        <w:pStyle w:val="93"/>
        <w:rPr>
          <w:rFonts w:hint="default" w:ascii="Times New Roman" w:hAnsi="Times New Roman" w:cs="Times New Roman"/>
        </w:rPr>
      </w:pPr>
      <w:r>
        <w:rPr>
          <w:rFonts w:hint="default" w:ascii="Times New Roman" w:hAnsi="Times New Roman" w:cs="Times New Roman"/>
        </w:rPr>
        <w:t>附图5：</w:t>
      </w:r>
      <w:r>
        <w:rPr>
          <w:rFonts w:hint="eastAsia" w:cs="Times New Roman"/>
          <w:lang w:eastAsia="zh-CN"/>
        </w:rPr>
        <w:t>待补镇安康安置点帮扶车间建设项目</w:t>
      </w:r>
      <w:r>
        <w:rPr>
          <w:rFonts w:hint="default" w:ascii="Times New Roman" w:hAnsi="Times New Roman" w:cs="Times New Roman"/>
        </w:rPr>
        <w:t>水土流失防治责任范围图；</w:t>
      </w:r>
    </w:p>
    <w:p w14:paraId="7AFB9D5C">
      <w:pPr>
        <w:pStyle w:val="93"/>
        <w:rPr>
          <w:rFonts w:hint="default" w:ascii="Times New Roman" w:hAnsi="Times New Roman" w:cs="Times New Roman"/>
        </w:rPr>
      </w:pPr>
      <w:r>
        <w:rPr>
          <w:rFonts w:hint="default" w:ascii="Times New Roman" w:hAnsi="Times New Roman" w:cs="Times New Roman"/>
        </w:rPr>
        <w:t>附图</w:t>
      </w:r>
      <w:r>
        <w:rPr>
          <w:rFonts w:hint="default" w:ascii="Times New Roman" w:hAnsi="Times New Roman" w:cs="Times New Roman"/>
          <w:lang w:val="en-US" w:eastAsia="zh-CN"/>
        </w:rPr>
        <w:t>6</w:t>
      </w:r>
      <w:r>
        <w:rPr>
          <w:rFonts w:hint="default" w:ascii="Times New Roman" w:hAnsi="Times New Roman" w:cs="Times New Roman"/>
        </w:rPr>
        <w:t>：</w:t>
      </w:r>
      <w:r>
        <w:rPr>
          <w:rFonts w:hint="eastAsia" w:cs="Times New Roman"/>
          <w:lang w:eastAsia="zh-CN"/>
        </w:rPr>
        <w:t>待补镇安康安置点帮扶车间建设项目</w:t>
      </w:r>
      <w:r>
        <w:rPr>
          <w:rFonts w:hint="default" w:ascii="Times New Roman" w:hAnsi="Times New Roman" w:cs="Times New Roman"/>
        </w:rPr>
        <w:t>分区防治措施及监测点布置图；</w:t>
      </w:r>
    </w:p>
    <w:p w14:paraId="51BD1DA7">
      <w:pPr>
        <w:pStyle w:val="93"/>
        <w:rPr>
          <w:rFonts w:hint="eastAsia" w:cs="Times New Roman"/>
          <w:lang w:eastAsia="zh-CN"/>
        </w:rPr>
      </w:pPr>
      <w:r>
        <w:rPr>
          <w:rFonts w:hint="default" w:ascii="Times New Roman" w:hAnsi="Times New Roman" w:cs="Times New Roman"/>
        </w:rPr>
        <w:t>附图</w:t>
      </w:r>
      <w:r>
        <w:rPr>
          <w:rFonts w:hint="eastAsia" w:cs="Times New Roman"/>
          <w:lang w:val="en-US" w:eastAsia="zh-CN"/>
        </w:rPr>
        <w:t>7</w:t>
      </w:r>
      <w:r>
        <w:rPr>
          <w:rFonts w:hint="default" w:ascii="Times New Roman" w:hAnsi="Times New Roman" w:cs="Times New Roman"/>
        </w:rPr>
        <w:t>：主体设计绿化措施典型设计图</w:t>
      </w:r>
      <w:r>
        <w:rPr>
          <w:rFonts w:hint="eastAsia" w:cs="Times New Roman"/>
          <w:lang w:eastAsia="zh-CN"/>
        </w:rPr>
        <w:t>；</w:t>
      </w:r>
    </w:p>
    <w:p w14:paraId="3D2AD1A6">
      <w:pPr>
        <w:pStyle w:val="93"/>
        <w:rPr>
          <w:rFonts w:hint="eastAsia" w:cs="Times New Roman"/>
          <w:lang w:eastAsia="zh-CN"/>
        </w:rPr>
      </w:pPr>
      <w:r>
        <w:rPr>
          <w:rFonts w:hint="default" w:ascii="Times New Roman" w:hAnsi="Times New Roman" w:cs="Times New Roman"/>
        </w:rPr>
        <w:t>附图</w:t>
      </w:r>
      <w:r>
        <w:rPr>
          <w:rFonts w:hint="eastAsia" w:cs="Times New Roman"/>
          <w:lang w:val="en-US" w:eastAsia="zh-CN"/>
        </w:rPr>
        <w:t>8</w:t>
      </w:r>
      <w:r>
        <w:rPr>
          <w:rFonts w:hint="default" w:ascii="Times New Roman" w:hAnsi="Times New Roman" w:cs="Times New Roman"/>
        </w:rPr>
        <w:t>：沉</w:t>
      </w:r>
      <w:r>
        <w:rPr>
          <w:rFonts w:hint="default" w:ascii="Times New Roman" w:hAnsi="Times New Roman" w:cs="Times New Roman"/>
          <w:lang w:val="en-US" w:eastAsia="zh-CN"/>
        </w:rPr>
        <w:t>沙</w:t>
      </w:r>
      <w:r>
        <w:rPr>
          <w:rFonts w:hint="default" w:ascii="Times New Roman" w:hAnsi="Times New Roman" w:cs="Times New Roman"/>
        </w:rPr>
        <w:t>池典型设计图</w:t>
      </w:r>
      <w:r>
        <w:rPr>
          <w:rFonts w:hint="eastAsia" w:cs="Times New Roman"/>
          <w:lang w:eastAsia="zh-CN"/>
        </w:rPr>
        <w:t>；</w:t>
      </w:r>
    </w:p>
    <w:p w14:paraId="1C3020FC">
      <w:pPr>
        <w:pStyle w:val="93"/>
        <w:rPr>
          <w:rFonts w:hint="default" w:cs="Times New Roman"/>
          <w:lang w:val="en-US" w:eastAsia="zh-CN"/>
        </w:rPr>
      </w:pPr>
      <w:r>
        <w:rPr>
          <w:rFonts w:hint="eastAsia" w:cs="Times New Roman"/>
          <w:lang w:val="en-US" w:eastAsia="zh-CN"/>
        </w:rPr>
        <w:t>附图9：车辆清洁池典型设计图。</w:t>
      </w:r>
    </w:p>
    <w:p w14:paraId="4929DBB1">
      <w:pPr>
        <w:pStyle w:val="93"/>
        <w:rPr>
          <w:rFonts w:hint="eastAsia" w:cs="Times New Roman"/>
          <w:lang w:eastAsia="zh-CN"/>
        </w:rPr>
      </w:pPr>
    </w:p>
    <w:p w14:paraId="32297D69">
      <w:pPr>
        <w:pStyle w:val="18"/>
        <w:rPr>
          <w:rFonts w:hint="default" w:ascii="Times New Roman" w:hAnsi="Times New Roman" w:cs="Times New Roman"/>
          <w:lang w:val="en-US"/>
        </w:rPr>
      </w:pPr>
    </w:p>
    <w:p w14:paraId="3D07C625">
      <w:pPr>
        <w:pStyle w:val="18"/>
        <w:rPr>
          <w:rFonts w:hint="default" w:ascii="Times New Roman" w:hAnsi="Times New Roman" w:cs="Times New Roman"/>
          <w:lang w:val="en-US"/>
        </w:rPr>
      </w:pPr>
    </w:p>
    <w:p w14:paraId="57AC7161">
      <w:pPr>
        <w:pStyle w:val="18"/>
        <w:rPr>
          <w:rFonts w:hint="default" w:ascii="Times New Roman" w:hAnsi="Times New Roman" w:cs="Times New Roman"/>
        </w:rPr>
        <w:sectPr>
          <w:pgSz w:w="11906" w:h="16838"/>
          <w:pgMar w:top="1134" w:right="1418" w:bottom="1134" w:left="1134" w:header="851" w:footer="992" w:gutter="0"/>
          <w:pgBorders>
            <w:top w:val="none" w:sz="0" w:space="0"/>
            <w:left w:val="none" w:sz="0" w:space="0"/>
            <w:bottom w:val="none" w:sz="0" w:space="0"/>
            <w:right w:val="none" w:sz="0" w:space="0"/>
          </w:pgBorders>
          <w:cols w:space="425" w:num="1"/>
          <w:docGrid w:type="lines" w:linePitch="312" w:charSpace="0"/>
        </w:sectPr>
      </w:pPr>
    </w:p>
    <w:p w14:paraId="3992B00A">
      <w:pPr>
        <w:pStyle w:val="2"/>
        <w:ind w:firstLine="640"/>
        <w:jc w:val="center"/>
        <w:rPr>
          <w:rFonts w:hint="default" w:ascii="Times New Roman" w:hAnsi="Times New Roman" w:cs="Times New Roman"/>
        </w:rPr>
      </w:pPr>
      <w:r>
        <w:rPr>
          <w:rFonts w:hint="default" w:ascii="Times New Roman" w:hAnsi="Times New Roman" w:cs="Times New Roman"/>
        </w:rPr>
        <w:t xml:space="preserve"> </w:t>
      </w:r>
      <w:bookmarkStart w:id="7" w:name="_Toc165223551"/>
      <w:r>
        <w:rPr>
          <w:rFonts w:hint="default" w:ascii="Times New Roman" w:hAnsi="Times New Roman" w:cs="Times New Roman"/>
        </w:rPr>
        <w:t>综合说明</w:t>
      </w:r>
      <w:bookmarkEnd w:id="7"/>
    </w:p>
    <w:p w14:paraId="34323DC4">
      <w:pPr>
        <w:pStyle w:val="3"/>
        <w:rPr>
          <w:rFonts w:hint="default" w:ascii="Times New Roman" w:hAnsi="Times New Roman" w:cs="Times New Roman"/>
        </w:rPr>
      </w:pPr>
      <w:bookmarkStart w:id="8" w:name="_Toc165223552"/>
      <w:r>
        <w:rPr>
          <w:rFonts w:hint="default" w:ascii="Times New Roman" w:hAnsi="Times New Roman" w:cs="Times New Roman"/>
        </w:rPr>
        <w:t>项目简况</w:t>
      </w:r>
      <w:bookmarkEnd w:id="8"/>
    </w:p>
    <w:p w14:paraId="0EB79187">
      <w:pPr>
        <w:pStyle w:val="4"/>
        <w:rPr>
          <w:rFonts w:hint="default" w:ascii="Times New Roman" w:hAnsi="Times New Roman" w:cs="Times New Roman"/>
        </w:rPr>
      </w:pPr>
      <w:r>
        <w:rPr>
          <w:rFonts w:hint="default" w:ascii="Times New Roman" w:hAnsi="Times New Roman" w:cs="Times New Roman"/>
        </w:rPr>
        <w:t>项目基本情况</w:t>
      </w:r>
    </w:p>
    <w:p w14:paraId="2E8CA94C">
      <w:pPr>
        <w:pStyle w:val="5"/>
        <w:rPr>
          <w:rFonts w:hint="default" w:ascii="Times New Roman" w:hAnsi="Times New Roman" w:cs="Times New Roman"/>
        </w:rPr>
      </w:pPr>
      <w:r>
        <w:rPr>
          <w:rFonts w:hint="default" w:ascii="Times New Roman" w:hAnsi="Times New Roman" w:cs="Times New Roman"/>
        </w:rPr>
        <w:t>项目建设背景及必要性</w:t>
      </w:r>
    </w:p>
    <w:p w14:paraId="10F393EC">
      <w:pPr>
        <w:pStyle w:val="93"/>
        <w:rPr>
          <w:rFonts w:hint="default" w:ascii="Times New Roman" w:hAnsi="Times New Roman" w:cs="Times New Roman"/>
        </w:rPr>
      </w:pPr>
      <w:r>
        <w:rPr>
          <w:rFonts w:hint="default" w:ascii="Times New Roman" w:hAnsi="Times New Roman" w:cs="Times New Roman"/>
        </w:rPr>
        <w:t>一、项目建设背景</w:t>
      </w:r>
    </w:p>
    <w:p w14:paraId="1D7D51B1">
      <w:pPr>
        <w:pStyle w:val="93"/>
        <w:rPr>
          <w:rFonts w:hint="default" w:ascii="Times New Roman" w:hAnsi="Times New Roman" w:cs="Times New Roman"/>
        </w:rPr>
      </w:pPr>
      <w:r>
        <w:rPr>
          <w:rFonts w:hint="default" w:ascii="Times New Roman" w:hAnsi="Times New Roman" w:cs="Times New Roman"/>
        </w:rPr>
        <w:t>待补镇坚持“政府引导、市场主导、群众主体”的发展思路，依托丰富的自然资源优势，大力发展夏季草莓产业，2021年，草莓种植面积达5万亩，年产量9万吨，年产值达11亿元，填补了国内夏季草莓种植空白，产品远销北上广等一线城市及出口东南亚等国家。按照“组织引导、市场主导、大户带动、抱团发展”产业发展思路，探索出一条“党委强基础、支部找出路、党 员做示范、群众齐参与”的产业发展之路。全镇已培育57个草莓种植专业合作社、10个家庭农场及443户种植大户，注册“沅成”“醉莓丽”等草莓、农产品商标11个，认证绿色品牌7个，初步形成品牌影响力，农民人均纯收入从2014年的5000元增加到2021年的1.7万元。2019年，待补镇被农业农村部评为全国夏季草莓“一村一品”示范镇。</w:t>
      </w:r>
    </w:p>
    <w:p w14:paraId="7D54A1CB">
      <w:pPr>
        <w:pStyle w:val="93"/>
        <w:rPr>
          <w:rFonts w:hint="default" w:ascii="Times New Roman" w:hAnsi="Times New Roman" w:cs="Times New Roman"/>
        </w:rPr>
      </w:pPr>
      <w:r>
        <w:rPr>
          <w:rFonts w:hint="default" w:ascii="Times New Roman" w:hAnsi="Times New Roman" w:cs="Times New Roman"/>
        </w:rPr>
        <w:t>依托产业优势，待补镇将扶贫工厂建在易地搬迁点周围，按照“党建+工厂+搬迁群众”的模式，引导就地务工。目前，草莓产业每年带动2万余人在基地务工，其中镇内脱贫劳动力1209户4355人，监测户劳动力193户645人，易地搬迁劳动力137户326人，每人每天收入80元以上，户均年收入2万元以上。</w:t>
      </w:r>
    </w:p>
    <w:p w14:paraId="237B6993">
      <w:pPr>
        <w:pStyle w:val="93"/>
        <w:rPr>
          <w:rFonts w:hint="default" w:ascii="Times New Roman" w:hAnsi="Times New Roman" w:cs="Times New Roman"/>
        </w:rPr>
      </w:pPr>
      <w:r>
        <w:rPr>
          <w:rFonts w:hint="default" w:ascii="Times New Roman" w:hAnsi="Times New Roman" w:cs="Times New Roman"/>
        </w:rPr>
        <w:t>二、建设必要性</w:t>
      </w:r>
    </w:p>
    <w:p w14:paraId="294C22A4">
      <w:pPr>
        <w:pStyle w:val="93"/>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1）健全易地扶贫搬迁后续帮扶机制</w:t>
      </w:r>
    </w:p>
    <w:p w14:paraId="7DD3A717">
      <w:pPr>
        <w:pStyle w:val="93"/>
        <w:rPr>
          <w:rFonts w:hint="default" w:ascii="Times New Roman" w:hAnsi="Times New Roman" w:cs="Times New Roman"/>
        </w:rPr>
      </w:pPr>
      <w:r>
        <w:rPr>
          <w:rFonts w:hint="default" w:ascii="Times New Roman" w:hAnsi="Times New Roman" w:cs="Times New Roman"/>
        </w:rPr>
        <w:t>通过以产业发展和稳定就业为抓手，开展创业或种殖等技能培训，为搬迁贫困户提供更多的就业机会和增收渠道，探索富有 待补特色的易地扶贫搬迁脱贫模式，使全镇搬迁户均在夏季草莓产业链上增收。依托产业优势，将扶贫工厂建在易地搬迁点周围，按照“党建+工厂+搬迁群众 ”的模式，引导就地务工；聚焦群众发展草莓产业的难点、堵点，促进搬迁群众“可发展、有事做”，健全后续帮扶机制，增强就业能力，减少农业生产成本、低投入高产出，促使资源得到充分利用，受益农户增加收入。</w:t>
      </w:r>
    </w:p>
    <w:p w14:paraId="493B700D">
      <w:pPr>
        <w:pStyle w:val="93"/>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2）促进一二三农业产业融合</w:t>
      </w:r>
    </w:p>
    <w:p w14:paraId="3FC7D527">
      <w:pPr>
        <w:pStyle w:val="93"/>
        <w:rPr>
          <w:rFonts w:hint="default" w:ascii="Times New Roman" w:hAnsi="Times New Roman" w:cs="Times New Roman"/>
        </w:rPr>
      </w:pPr>
      <w:r>
        <w:rPr>
          <w:rFonts w:hint="default" w:ascii="Times New Roman" w:hAnsi="Times New Roman" w:cs="Times New Roman"/>
        </w:rPr>
        <w:t>会泽县位于低纬度区，地处滇东北高原，水资源和降水量充沛，日照充足，适宜种植草莓、辣椒、花椒、蔬菜、烤烟等农作 物和经济作物，但现在的种植业的产品的销售渠道窄，不成规模，各种植户或企业各自为战，不能形成品牌效应，产品经济附加值较低，一二三产业融合度较低。本项目建成运营后，主要从事草莓等农产品的深加工及销售，形成以分级、包装、营销、深加工、批发交易、配送、仓储、保鲜等功能于一体的水果流通产业链，实现现代交易、网上贸易、全程冷链体系。通过代工或形成品牌效应，使得当地生产的农产品可以直接加工后对外销售，从而提高农产品的经济附加值，完善会泽县农产品加工业的短板从而促进会泽县产业融合发展。因此，本项目的实施是构建农村一、二、三产业融合发展体系的需要。</w:t>
      </w:r>
    </w:p>
    <w:p w14:paraId="3C9737BD">
      <w:pPr>
        <w:pStyle w:val="93"/>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3）推进品牌稳定有序发展</w:t>
      </w:r>
    </w:p>
    <w:p w14:paraId="6E862E7B">
      <w:pPr>
        <w:pStyle w:val="93"/>
        <w:rPr>
          <w:rFonts w:hint="default" w:ascii="Times New Roman" w:hAnsi="Times New Roman" w:cs="Times New Roman"/>
        </w:rPr>
      </w:pPr>
      <w:r>
        <w:rPr>
          <w:rFonts w:hint="default" w:ascii="Times New Roman" w:hAnsi="Times New Roman" w:cs="Times New Roman"/>
        </w:rPr>
        <w:t>通过建立草莓产销体系，实现农产品生产销售信息对称，带动产业稳定有序发展。按照“龙头与配套并重、制造与服务并举、研发与转化并列、空间与要素集中”的全产业链集群发展思路，发展订单农业和品牌农产品生产基地，依托批发市场开办农产品品牌专卖，扶持和创立龙头企业，逐步扩大品牌全国市场认可度。</w:t>
      </w:r>
    </w:p>
    <w:p w14:paraId="5F96E291">
      <w:pPr>
        <w:pStyle w:val="93"/>
        <w:rPr>
          <w:rFonts w:hint="default" w:ascii="Times New Roman" w:hAnsi="Times New Roman" w:cs="Times New Roman"/>
        </w:rPr>
      </w:pPr>
      <w:r>
        <w:rPr>
          <w:rFonts w:hint="default" w:ascii="Times New Roman" w:hAnsi="Times New Roman" w:cs="Times New Roman"/>
        </w:rPr>
        <w:t>因此，</w:t>
      </w:r>
      <w:r>
        <w:rPr>
          <w:rFonts w:hint="eastAsia" w:ascii="仿宋_GB2312" w:hAnsi="宋体" w:eastAsia="仿宋_GB2312"/>
          <w:lang w:eastAsia="zh-CN"/>
        </w:rPr>
        <w:t>待补镇安康安置点帮扶车间建设项目</w:t>
      </w:r>
      <w:r>
        <w:rPr>
          <w:rFonts w:hint="eastAsia" w:cs="Times New Roman"/>
          <w:lang w:val="en-US" w:eastAsia="zh-CN"/>
        </w:rPr>
        <w:t>的建设是</w:t>
      </w:r>
      <w:r>
        <w:rPr>
          <w:rFonts w:hint="default" w:ascii="Times New Roman" w:hAnsi="Times New Roman" w:cs="Times New Roman"/>
        </w:rPr>
        <w:t>非常必要的。</w:t>
      </w:r>
    </w:p>
    <w:p w14:paraId="58F05A52">
      <w:pPr>
        <w:pStyle w:val="5"/>
        <w:rPr>
          <w:rFonts w:hint="default" w:ascii="Times New Roman" w:hAnsi="Times New Roman" w:cs="Times New Roman"/>
        </w:rPr>
      </w:pPr>
      <w:r>
        <w:rPr>
          <w:rFonts w:hint="default" w:ascii="Times New Roman" w:hAnsi="Times New Roman" w:cs="Times New Roman"/>
        </w:rPr>
        <w:t>项目基本情况</w:t>
      </w:r>
    </w:p>
    <w:p w14:paraId="318D3730">
      <w:pPr>
        <w:pStyle w:val="93"/>
        <w:rPr>
          <w:rFonts w:hint="default"/>
        </w:rPr>
      </w:pPr>
      <w:r>
        <w:rPr>
          <w:rFonts w:hint="default"/>
        </w:rPr>
        <w:t>（1）交通地理位置及交通状况</w:t>
      </w:r>
    </w:p>
    <w:p w14:paraId="432BEA80">
      <w:pPr>
        <w:adjustRightInd w:val="0"/>
        <w:snapToGrid w:val="0"/>
        <w:ind w:firstLine="480"/>
        <w:rPr>
          <w:rFonts w:hint="eastAsia" w:ascii="Times New Roman" w:hAnsi="Times New Roman" w:eastAsia="仿宋_GB2312" w:cs="Times New Roman"/>
          <w:lang w:eastAsia="zh-CN"/>
        </w:rPr>
      </w:pPr>
      <w:r>
        <w:rPr>
          <w:rFonts w:hint="default" w:ascii="Times New Roman" w:hAnsi="Times New Roman" w:cs="Times New Roman"/>
        </w:rPr>
        <w:t>本项目位于会泽县</w:t>
      </w:r>
      <w:r>
        <w:rPr>
          <w:rFonts w:hint="eastAsia" w:ascii="Times New Roman" w:hAnsi="Times New Roman" w:cs="Times New Roman"/>
          <w:lang w:eastAsia="zh-CN"/>
        </w:rPr>
        <w:t>待补镇</w:t>
      </w:r>
      <w:r>
        <w:rPr>
          <w:rFonts w:hint="default" w:ascii="Times New Roman" w:hAnsi="Times New Roman" w:cs="Times New Roman"/>
        </w:rPr>
        <w:t>中心位置，由</w:t>
      </w:r>
      <w:r>
        <w:rPr>
          <w:rFonts w:hint="eastAsia" w:cs="Times New Roman"/>
          <w:lang w:val="en-US" w:eastAsia="zh-CN"/>
        </w:rPr>
        <w:t>两个地块组成，两个地块由已有市政道路分割，地块二在地块一的西侧，两个地块由</w:t>
      </w:r>
      <w:r>
        <w:rPr>
          <w:rFonts w:hint="default" w:ascii="Times New Roman" w:hAnsi="Times New Roman" w:cs="Times New Roman"/>
        </w:rPr>
        <w:t>鸡鸣山大道、雄鸡路、国道213线（骏宝路）所围合，行政隶属云南省曲靖市会泽县</w:t>
      </w:r>
      <w:r>
        <w:rPr>
          <w:rFonts w:hint="eastAsia" w:ascii="Times New Roman" w:hAnsi="Times New Roman" w:cs="Times New Roman"/>
          <w:lang w:eastAsia="zh-CN"/>
        </w:rPr>
        <w:t>待补镇</w:t>
      </w:r>
      <w:r>
        <w:rPr>
          <w:rFonts w:hint="default" w:ascii="Times New Roman" w:hAnsi="Times New Roman" w:cs="Times New Roman"/>
        </w:rPr>
        <w:t>管辖，</w:t>
      </w:r>
      <w:r>
        <w:rPr>
          <w:rFonts w:hint="eastAsia" w:cs="Times New Roman"/>
          <w:lang w:val="en-US" w:eastAsia="zh-CN"/>
        </w:rPr>
        <w:t>地块一</w:t>
      </w:r>
      <w:r>
        <w:rPr>
          <w:rFonts w:hint="eastAsia" w:ascii="Times New Roman" w:hAnsi="Times New Roman" w:cs="Times New Roman"/>
          <w:lang w:eastAsia="zh-CN"/>
        </w:rPr>
        <w:t>中心地理位置为：东经103°24'38.89"，北纬26°11'42.23"</w:t>
      </w:r>
      <w:r>
        <w:rPr>
          <w:rFonts w:hint="eastAsia" w:cs="Times New Roman"/>
          <w:lang w:eastAsia="zh-CN"/>
        </w:rPr>
        <w:t>；</w:t>
      </w:r>
      <w:r>
        <w:rPr>
          <w:rFonts w:hint="eastAsia" w:cs="Times New Roman"/>
          <w:lang w:val="en-US" w:eastAsia="zh-CN"/>
        </w:rPr>
        <w:t>地块二</w:t>
      </w:r>
      <w:r>
        <w:rPr>
          <w:rFonts w:hint="eastAsia" w:ascii="Times New Roman" w:hAnsi="Times New Roman" w:cs="Times New Roman"/>
          <w:lang w:eastAsia="zh-CN"/>
        </w:rPr>
        <w:t>中心地理位置为：东经103°24'33.25"，北纬26°11'41.64"</w:t>
      </w:r>
      <w:r>
        <w:rPr>
          <w:rFonts w:hint="eastAsia" w:cs="Times New Roman"/>
          <w:lang w:eastAsia="zh-CN"/>
        </w:rPr>
        <w:t>。</w:t>
      </w:r>
      <w:r>
        <w:rPr>
          <w:rFonts w:hint="default" w:ascii="Times New Roman" w:hAnsi="Times New Roman" w:cs="Times New Roman"/>
        </w:rPr>
        <w:t>项目区紧邻待补镇旅游服务接待中心，</w:t>
      </w:r>
      <w:r>
        <w:rPr>
          <w:rFonts w:hint="eastAsia" w:cs="Times New Roman"/>
          <w:lang w:val="en-US" w:eastAsia="zh-CN"/>
        </w:rPr>
        <w:t>地块一北侧为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西侧为两个地块中间的已有市政道路；地块二北侧为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w:t>
      </w:r>
      <w:r>
        <w:rPr>
          <w:rFonts w:hint="default" w:ascii="Times New Roman" w:hAnsi="Times New Roman" w:cs="Times New Roman"/>
        </w:rPr>
        <w:t>雄鸡路</w:t>
      </w:r>
      <w:r>
        <w:rPr>
          <w:rFonts w:hint="eastAsia" w:cs="Times New Roman"/>
          <w:lang w:eastAsia="zh-CN"/>
        </w:rPr>
        <w:t>，</w:t>
      </w:r>
      <w:r>
        <w:rPr>
          <w:rFonts w:hint="eastAsia" w:cs="Times New Roman"/>
          <w:lang w:val="en-US" w:eastAsia="zh-CN"/>
        </w:rPr>
        <w:t>东侧为两个地块中间的已有市政道路。通过项目区周边已有市政道路</w:t>
      </w:r>
      <w:r>
        <w:rPr>
          <w:rFonts w:hint="default" w:ascii="Times New Roman" w:hAnsi="Times New Roman" w:cs="Times New Roman"/>
        </w:rPr>
        <w:t>可达周边高速公路</w:t>
      </w:r>
      <w:r>
        <w:rPr>
          <w:rFonts w:hint="eastAsia" w:cs="Times New Roman"/>
          <w:lang w:eastAsia="zh-CN"/>
        </w:rPr>
        <w:t>，</w:t>
      </w:r>
      <w:r>
        <w:rPr>
          <w:rFonts w:hint="eastAsia" w:ascii="Times New Roman" w:hAnsi="Times New Roman" w:cs="Times New Roman"/>
          <w:lang w:val="en-US" w:eastAsia="zh-CN"/>
        </w:rPr>
        <w:t>项目区距离</w:t>
      </w:r>
      <w:r>
        <w:rPr>
          <w:rFonts w:hint="eastAsia" w:cs="Times New Roman"/>
          <w:lang w:val="en-US" w:eastAsia="zh-CN"/>
        </w:rPr>
        <w:t>待补</w:t>
      </w:r>
      <w:r>
        <w:rPr>
          <w:rFonts w:hint="default" w:ascii="Times New Roman" w:hAnsi="Times New Roman" w:cs="Times New Roman"/>
        </w:rPr>
        <w:t>镇政府约1公里，</w:t>
      </w:r>
      <w:r>
        <w:rPr>
          <w:rFonts w:hint="eastAsia" w:cs="Times New Roman"/>
          <w:lang w:val="en-US" w:eastAsia="zh-CN"/>
        </w:rPr>
        <w:t>距离会泽县41km</w:t>
      </w:r>
      <w:r>
        <w:rPr>
          <w:rFonts w:hint="default" w:ascii="Times New Roman" w:hAnsi="Times New Roman" w:cs="Times New Roman"/>
        </w:rPr>
        <w:t>。项目建设过程中可直接利用周边现有道路，能满足项目施工交通运输需求，本项目交通较为便利</w:t>
      </w:r>
      <w:r>
        <w:rPr>
          <w:rFonts w:hint="eastAsia" w:cs="Times New Roman"/>
          <w:lang w:eastAsia="zh-CN"/>
        </w:rPr>
        <w:t>。</w:t>
      </w:r>
    </w:p>
    <w:p w14:paraId="09DFACBE">
      <w:pPr>
        <w:pStyle w:val="46"/>
        <w:rPr>
          <w:rFonts w:hint="default" w:ascii="Times New Roman" w:hAnsi="Times New Roman" w:cs="Times New Roman"/>
        </w:rPr>
      </w:pPr>
      <w:r>
        <w:rPr>
          <w:rFonts w:hint="default" w:ascii="Times New Roman" w:hAnsi="Times New Roman" w:cs="Times New Roman"/>
        </w:rPr>
        <w:t>（2）工程建设规模</w:t>
      </w:r>
    </w:p>
    <w:p w14:paraId="3DB94F4B">
      <w:pPr>
        <w:pStyle w:val="46"/>
        <w:rPr>
          <w:rFonts w:hint="eastAsia" w:cs="Times New Roman"/>
          <w:lang w:eastAsia="zh-CN"/>
        </w:rPr>
      </w:pPr>
      <w:r>
        <w:rPr>
          <w:rFonts w:hint="eastAsia" w:cs="Times New Roman"/>
          <w:lang w:eastAsia="zh-CN"/>
        </w:rPr>
        <w:t>待补镇安康安置点帮扶车间建设项目</w:t>
      </w:r>
      <w:r>
        <w:rPr>
          <w:rFonts w:hint="default" w:ascii="Times New Roman" w:hAnsi="Times New Roman" w:cs="Times New Roman"/>
          <w:color w:val="auto"/>
        </w:rPr>
        <w:t>总用地面积为</w:t>
      </w:r>
      <w:r>
        <w:rPr>
          <w:rFonts w:hint="eastAsia" w:cs="Times New Roman"/>
          <w:color w:val="auto"/>
          <w:lang w:val="en-US" w:eastAsia="zh-CN"/>
        </w:rPr>
        <w:t>1.51</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spacing w:val="33"/>
        </w:rPr>
        <w:t>总建筑面积为</w:t>
      </w:r>
      <w:r>
        <w:rPr>
          <w:rFonts w:hint="eastAsia" w:cs="Times New Roman"/>
          <w:lang w:eastAsia="zh-CN"/>
        </w:rPr>
        <w:t>11642.10</w:t>
      </w:r>
      <w:r>
        <w:rPr>
          <w:rFonts w:hint="default" w:ascii="Times New Roman" w:hAnsi="Times New Roman" w:cs="Times New Roman"/>
        </w:rPr>
        <w:t>m²，建筑占地面积为</w:t>
      </w:r>
      <w:r>
        <w:rPr>
          <w:rFonts w:hint="eastAsia" w:cs="Times New Roman"/>
          <w:lang w:eastAsia="zh-CN"/>
        </w:rPr>
        <w:t>8762.78</w:t>
      </w:r>
      <w:r>
        <w:rPr>
          <w:rFonts w:hint="default" w:ascii="Times New Roman" w:hAnsi="Times New Roman" w:cs="Times New Roman"/>
        </w:rPr>
        <w:t>m²，建筑密度</w:t>
      </w:r>
      <w:r>
        <w:rPr>
          <w:rFonts w:hint="eastAsia" w:cs="Times New Roman"/>
          <w:lang w:val="en-US" w:eastAsia="zh-CN"/>
        </w:rPr>
        <w:t>57.62</w:t>
      </w:r>
      <w:r>
        <w:rPr>
          <w:rFonts w:hint="default" w:ascii="Times New Roman" w:hAnsi="Times New Roman" w:cs="Times New Roman"/>
        </w:rPr>
        <w:t>%，容积率</w:t>
      </w:r>
      <w:r>
        <w:rPr>
          <w:rFonts w:hint="eastAsia" w:cs="Times New Roman"/>
          <w:lang w:val="en-US" w:eastAsia="zh-CN"/>
        </w:rPr>
        <w:t>0.77</w:t>
      </w:r>
      <w:r>
        <w:rPr>
          <w:rFonts w:hint="default" w:ascii="Times New Roman" w:hAnsi="Times New Roman" w:cs="Times New Roman"/>
        </w:rPr>
        <w:t>，绿化面积</w:t>
      </w:r>
      <w:r>
        <w:rPr>
          <w:rFonts w:hint="eastAsia" w:cs="Times New Roman"/>
          <w:lang w:val="en-US" w:eastAsia="zh-CN"/>
        </w:rPr>
        <w:t>0.23h</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，绿地率</w:t>
      </w:r>
      <w:r>
        <w:rPr>
          <w:rFonts w:hint="eastAsia" w:cs="Times New Roman"/>
          <w:lang w:val="en-US" w:eastAsia="zh-CN"/>
        </w:rPr>
        <w:t>15.23</w:t>
      </w:r>
      <w:r>
        <w:rPr>
          <w:rFonts w:hint="default" w:ascii="Times New Roman" w:hAnsi="Times New Roman" w:cs="Times New Roman"/>
        </w:rPr>
        <w:t>%。主要建设内容包括</w:t>
      </w:r>
      <w:r>
        <w:rPr>
          <w:rFonts w:hint="eastAsia" w:ascii="Times New Roman" w:hAnsi="Times New Roman" w:cs="Times New Roman"/>
          <w:lang w:val="en-US" w:eastAsia="zh-CN"/>
        </w:rPr>
        <w:t>深加工车间、包装车间、低温仓储、常温仓储、设备用房及</w:t>
      </w:r>
      <w:r>
        <w:rPr>
          <w:rFonts w:hint="default" w:ascii="Times New Roman" w:hAnsi="Times New Roman" w:cs="Times New Roman"/>
        </w:rPr>
        <w:t>附属设施</w:t>
      </w:r>
      <w:r>
        <w:rPr>
          <w:rFonts w:hint="eastAsia" w:ascii="Times New Roman" w:hAnsi="Times New Roman" w:cs="Times New Roman"/>
          <w:lang w:eastAsia="zh-CN"/>
        </w:rPr>
        <w:t>（</w:t>
      </w:r>
      <w:r>
        <w:rPr>
          <w:rFonts w:hint="default" w:ascii="Times New Roman" w:hAnsi="Times New Roman" w:cs="Times New Roman"/>
        </w:rPr>
        <w:t>室外</w:t>
      </w:r>
      <w:r>
        <w:rPr>
          <w:rFonts w:hint="eastAsia" w:cs="Times New Roman"/>
          <w:lang w:val="en-US" w:eastAsia="zh-CN"/>
        </w:rPr>
        <w:t>污水处理工程、给排水管网工程、供电照明工程</w:t>
      </w:r>
      <w:r>
        <w:rPr>
          <w:rFonts w:hint="eastAsia" w:ascii="Times New Roman" w:hAnsi="Times New Roman" w:cs="Times New Roman"/>
          <w:lang w:eastAsia="zh-CN"/>
        </w:rPr>
        <w:t>）</w:t>
      </w:r>
      <w:r>
        <w:rPr>
          <w:rFonts w:hint="eastAsia" w:cs="Times New Roman"/>
          <w:lang w:eastAsia="zh-CN"/>
        </w:rPr>
        <w:t>，</w:t>
      </w:r>
      <w:r>
        <w:rPr>
          <w:rFonts w:hint="eastAsia" w:cs="Times New Roman"/>
          <w:lang w:val="en-US" w:eastAsia="zh-CN"/>
        </w:rPr>
        <w:t>配套场内道路、硬化场地、景观绿化等配套设施。</w:t>
      </w:r>
      <w:r>
        <w:rPr>
          <w:rFonts w:hint="default" w:ascii="Times New Roman" w:hAnsi="Times New Roman" w:cs="Times New Roman"/>
          <w:color w:val="auto"/>
        </w:rPr>
        <w:t>项目</w:t>
      </w:r>
      <w:r>
        <w:rPr>
          <w:rFonts w:hint="default" w:ascii="Times New Roman" w:hAnsi="Times New Roman" w:cs="Times New Roman"/>
        </w:rPr>
        <w:t>总投资</w:t>
      </w:r>
      <w:r>
        <w:rPr>
          <w:rFonts w:hint="eastAsia" w:cs="Times New Roman"/>
          <w:lang w:eastAsia="zh-CN"/>
        </w:rPr>
        <w:t>2203.01万元</w:t>
      </w:r>
      <w:r>
        <w:rPr>
          <w:rFonts w:hint="default" w:ascii="Times New Roman" w:hAnsi="Times New Roman" w:cs="Times New Roman"/>
          <w:color w:val="auto"/>
        </w:rPr>
        <w:t>，其中</w:t>
      </w:r>
      <w:r>
        <w:rPr>
          <w:rFonts w:hint="default" w:ascii="Times New Roman" w:hAnsi="Times New Roman" w:cs="Times New Roman"/>
        </w:rPr>
        <w:t>土建投资</w:t>
      </w:r>
      <w:r>
        <w:rPr>
          <w:rFonts w:hint="eastAsia" w:cs="Times New Roman"/>
          <w:lang w:eastAsia="zh-CN"/>
        </w:rPr>
        <w:t>462.63万元</w:t>
      </w:r>
      <w:r>
        <w:rPr>
          <w:rFonts w:hint="default" w:ascii="Times New Roman" w:hAnsi="Times New Roman" w:cs="Times New Roman"/>
          <w:color w:val="auto"/>
        </w:rPr>
        <w:t>，项目建设工期为</w:t>
      </w:r>
      <w:r>
        <w:rPr>
          <w:rFonts w:hint="eastAsia" w:cs="Times New Roman"/>
          <w:color w:val="auto"/>
          <w:lang w:eastAsia="zh-CN"/>
        </w:rPr>
        <w:t>15个月</w:t>
      </w:r>
      <w:r>
        <w:rPr>
          <w:rFonts w:hint="default" w:ascii="Times New Roman" w:hAnsi="Times New Roman" w:cs="Times New Roman"/>
          <w:color w:val="auto"/>
        </w:rPr>
        <w:t>，计划于</w:t>
      </w:r>
      <w:r>
        <w:rPr>
          <w:rFonts w:hint="eastAsia" w:cs="Times New Roman"/>
          <w:lang w:eastAsia="zh-CN"/>
        </w:rPr>
        <w:t>2024年4月</w:t>
      </w:r>
      <w:r>
        <w:rPr>
          <w:rFonts w:hint="default" w:ascii="Times New Roman" w:hAnsi="Times New Roman" w:cs="Times New Roman"/>
          <w:color w:val="auto"/>
        </w:rPr>
        <w:t>开工，于</w:t>
      </w:r>
      <w:r>
        <w:rPr>
          <w:rFonts w:hint="eastAsia" w:cs="Times New Roman"/>
          <w:lang w:eastAsia="zh-CN"/>
        </w:rPr>
        <w:t>2025年6月</w:t>
      </w:r>
      <w:r>
        <w:rPr>
          <w:rFonts w:hint="default" w:ascii="Times New Roman" w:hAnsi="Times New Roman" w:cs="Times New Roman"/>
          <w:color w:val="auto"/>
        </w:rPr>
        <w:t>完工。</w:t>
      </w:r>
    </w:p>
    <w:p w14:paraId="59DFA123">
      <w:pPr>
        <w:pStyle w:val="46"/>
        <w:rPr>
          <w:rFonts w:hint="default" w:ascii="Times New Roman" w:hAnsi="Times New Roman" w:cs="Times New Roman"/>
        </w:rPr>
      </w:pPr>
      <w:r>
        <w:rPr>
          <w:rFonts w:hint="default" w:ascii="Times New Roman" w:hAnsi="Times New Roman" w:cs="Times New Roman"/>
        </w:rPr>
        <w:t>（3）项目组成及占地</w:t>
      </w:r>
    </w:p>
    <w:p w14:paraId="1FABDA16">
      <w:pPr>
        <w:pStyle w:val="46"/>
        <w:rPr>
          <w:rFonts w:hint="default" w:ascii="Times New Roman" w:hAnsi="Times New Roman" w:cs="Times New Roman"/>
          <w:lang w:val="zh-CN"/>
        </w:rPr>
      </w:pPr>
      <w:r>
        <w:rPr>
          <w:rFonts w:hint="default" w:ascii="Times New Roman" w:hAnsi="Times New Roman" w:cs="Times New Roman"/>
        </w:rPr>
        <w:t>根据工程建设的特点、施工工艺、各建设内容的功能区划的不同，结合水土保持方案设计要求，本项目组成按照工程类型进行划分，主要</w:t>
      </w:r>
      <w:r>
        <w:rPr>
          <w:rFonts w:hint="eastAsia" w:cs="Times New Roman"/>
          <w:lang w:val="en-US" w:eastAsia="zh-CN"/>
        </w:rPr>
        <w:t>包括地块一和地块二，各地块包括</w:t>
      </w:r>
      <w:r>
        <w:rPr>
          <w:rFonts w:hint="default" w:ascii="Times New Roman" w:hAnsi="Times New Roman" w:cs="Times New Roman"/>
          <w:lang w:val="zh-CN"/>
        </w:rPr>
        <w:t>建构筑物区、</w:t>
      </w:r>
      <w:r>
        <w:rPr>
          <w:rFonts w:hint="eastAsia" w:cs="Times New Roman"/>
          <w:lang w:val="zh-CN"/>
        </w:rPr>
        <w:t>道路及硬化区、</w:t>
      </w:r>
      <w:r>
        <w:rPr>
          <w:rFonts w:hint="default" w:ascii="Times New Roman" w:hAnsi="Times New Roman" w:cs="Times New Roman"/>
          <w:lang w:val="zh-CN"/>
        </w:rPr>
        <w:t>绿化区</w:t>
      </w:r>
      <w:r>
        <w:rPr>
          <w:rFonts w:hint="default" w:ascii="Times New Roman" w:hAnsi="Times New Roman" w:cs="Times New Roman"/>
        </w:rPr>
        <w:t>及附属配套设施等</w:t>
      </w:r>
      <w:r>
        <w:rPr>
          <w:rFonts w:hint="default" w:ascii="Times New Roman" w:hAnsi="Times New Roman" w:cs="Times New Roman"/>
          <w:lang w:val="zh-CN"/>
        </w:rPr>
        <w:t>。项目总占地面积为</w:t>
      </w:r>
      <w:r>
        <w:rPr>
          <w:rFonts w:hint="eastAsia" w:cs="Times New Roman"/>
          <w:lang w:val="en-US" w:eastAsia="zh-CN"/>
        </w:rPr>
        <w:t>1.51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en-US" w:eastAsia="zh-CN"/>
        </w:rPr>
        <w:t>其中地块一</w:t>
      </w:r>
      <w:r>
        <w:rPr>
          <w:rFonts w:hint="default" w:ascii="Times New Roman" w:hAnsi="Times New Roman" w:cs="Times New Roman"/>
          <w:lang w:val="zh-CN"/>
        </w:rPr>
        <w:t>占地面积为</w:t>
      </w:r>
      <w:r>
        <w:rPr>
          <w:rFonts w:hint="eastAsia" w:cs="Times New Roman"/>
          <w:lang w:val="en-US" w:eastAsia="zh-CN"/>
        </w:rPr>
        <w:t>0.60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30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0.0</w:t>
      </w:r>
      <w:r>
        <w:rPr>
          <w:rFonts w:hint="eastAsia" w:cs="Times New Roman"/>
          <w:lang w:val="en-US" w:eastAsia="zh-CN"/>
        </w:rPr>
        <w:t>9</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地块二</w:t>
      </w:r>
      <w:r>
        <w:rPr>
          <w:rFonts w:hint="default" w:ascii="Times New Roman" w:hAnsi="Times New Roman" w:cs="Times New Roman"/>
          <w:lang w:val="zh-CN"/>
        </w:rPr>
        <w:t>占地面积为</w:t>
      </w:r>
      <w:r>
        <w:rPr>
          <w:rFonts w:hint="eastAsia" w:cs="Times New Roman"/>
          <w:lang w:val="en-US" w:eastAsia="zh-CN"/>
        </w:rPr>
        <w:t>0.91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57</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w:t>
      </w:r>
      <w:r>
        <w:rPr>
          <w:rFonts w:hint="eastAsia" w:cs="Times New Roman"/>
          <w:lang w:val="en-US" w:eastAsia="zh-CN"/>
        </w:rPr>
        <w:t>14</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w:t>
      </w:r>
    </w:p>
    <w:p w14:paraId="5E549BA8">
      <w:pPr>
        <w:pStyle w:val="46"/>
        <w:rPr>
          <w:rFonts w:hint="default" w:ascii="Times New Roman" w:hAnsi="Times New Roman" w:cs="Times New Roman"/>
        </w:rPr>
      </w:pPr>
      <w:r>
        <w:rPr>
          <w:rFonts w:hint="default" w:ascii="Times New Roman" w:hAnsi="Times New Roman" w:cs="Times New Roman"/>
        </w:rPr>
        <w:t>（4）项目土石方情况</w:t>
      </w:r>
    </w:p>
    <w:p w14:paraId="110BE607">
      <w:pPr>
        <w:pStyle w:val="46"/>
        <w:rPr>
          <w:rFonts w:hint="default" w:ascii="Times New Roman" w:hAnsi="Times New Roman" w:cs="Times New Roman"/>
        </w:rPr>
      </w:pPr>
      <w:r>
        <w:rPr>
          <w:rFonts w:hint="default" w:ascii="Times New Roman" w:hAnsi="Times New Roman" w:cs="Times New Roman"/>
        </w:rPr>
        <w:t>根据主体设计资料，项目共开挖土石方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（其中表土剥离</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，建筑垃圾</w:t>
      </w:r>
      <w:r>
        <w:rPr>
          <w:rFonts w:hint="eastAsia" w:cs="Times New Roman"/>
          <w:lang w:val="en-US" w:eastAsia="zh-CN"/>
        </w:rPr>
        <w:t>204.60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，场地平整</w:t>
      </w:r>
      <w:r>
        <w:rPr>
          <w:rFonts w:hint="eastAsia" w:cs="Times New Roman"/>
          <w:lang w:val="en-US" w:eastAsia="zh-CN"/>
        </w:rPr>
        <w:t>3171.00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，基础开挖</w:t>
      </w:r>
      <w:r>
        <w:rPr>
          <w:rFonts w:hint="eastAsia" w:cs="Times New Roman"/>
          <w:lang w:val="en-US" w:eastAsia="zh-CN"/>
        </w:rPr>
        <w:t>4750.00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），回填土石方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（其中绿化覆土</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，一般回填</w:t>
      </w:r>
      <w:r>
        <w:rPr>
          <w:rFonts w:hint="eastAsia" w:cs="Times New Roman"/>
          <w:lang w:val="en-US" w:eastAsia="zh-CN"/>
        </w:rPr>
        <w:t>8125.60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），项目区内调运土石方</w:t>
      </w:r>
      <w:r>
        <w:rPr>
          <w:rFonts w:hint="eastAsia" w:cs="Times New Roman"/>
          <w:lang w:val="en-US" w:eastAsia="zh-CN"/>
        </w:rPr>
        <w:t>4329.60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w:t>
      </w:r>
      <w:r>
        <w:rPr>
          <w:rFonts w:hint="eastAsia" w:cs="Times New Roman"/>
          <w:lang w:val="en-US" w:eastAsia="zh-CN"/>
        </w:rPr>
        <w:t>不</w:t>
      </w:r>
      <w:r>
        <w:rPr>
          <w:rFonts w:hint="default" w:ascii="Times New Roman" w:hAnsi="Times New Roman" w:cs="Times New Roman"/>
          <w:color w:val="auto"/>
        </w:rPr>
        <w:t>产生永久弃方。</w:t>
      </w:r>
    </w:p>
    <w:p w14:paraId="36E4F24D">
      <w:pPr>
        <w:pStyle w:val="46"/>
        <w:rPr>
          <w:rFonts w:hint="default" w:ascii="Times New Roman" w:hAnsi="Times New Roman" w:cs="Times New Roman"/>
        </w:rPr>
      </w:pPr>
      <w:r>
        <w:rPr>
          <w:rFonts w:hint="default" w:ascii="Times New Roman" w:hAnsi="Times New Roman" w:cs="Times New Roman"/>
        </w:rPr>
        <w:t>（5）施工组织</w:t>
      </w:r>
    </w:p>
    <w:p w14:paraId="6E420F96">
      <w:pPr>
        <w:pStyle w:val="46"/>
        <w:rPr>
          <w:rFonts w:hint="default" w:ascii="Times New Roman" w:hAnsi="Times New Roman" w:cs="Times New Roman"/>
        </w:rPr>
      </w:pPr>
      <w:r>
        <w:rPr>
          <w:rFonts w:hint="default" w:ascii="Times New Roman" w:hAnsi="Times New Roman" w:cs="Times New Roman"/>
        </w:rPr>
        <w:t>项目建设利用周边现有的公路，无需新修施工道路，所需的砂石料、水泥、钢材等主要材料均从会泽县及</w:t>
      </w:r>
      <w:r>
        <w:rPr>
          <w:rFonts w:hint="eastAsia" w:cs="Times New Roman"/>
          <w:lang w:val="en-US" w:eastAsia="zh-CN"/>
        </w:rPr>
        <w:t>待补镇</w:t>
      </w:r>
      <w:r>
        <w:rPr>
          <w:rFonts w:hint="default" w:ascii="Times New Roman" w:hAnsi="Times New Roman" w:cs="Times New Roman"/>
        </w:rPr>
        <w:t>附近地区采购，施工用水从项目区旁边市政管道引入给水管取水，施工用电从周边电网引接，施工营地租用当地居民住房，临时施工场地布设在项目红线范围内，不单独新增占地。</w:t>
      </w:r>
    </w:p>
    <w:p w14:paraId="75F2A92A">
      <w:pPr>
        <w:pStyle w:val="46"/>
        <w:rPr>
          <w:rFonts w:hint="default" w:ascii="Times New Roman" w:hAnsi="Times New Roman" w:cs="Times New Roman"/>
        </w:rPr>
      </w:pPr>
      <w:r>
        <w:rPr>
          <w:rFonts w:hint="default" w:ascii="Times New Roman" w:hAnsi="Times New Roman" w:cs="Times New Roman"/>
        </w:rPr>
        <w:t>（6）拆迁安置</w:t>
      </w:r>
    </w:p>
    <w:p w14:paraId="36978877">
      <w:pPr>
        <w:pStyle w:val="46"/>
        <w:rPr>
          <w:rFonts w:hint="default" w:ascii="Times New Roman" w:hAnsi="Times New Roman" w:cs="Times New Roman"/>
          <w:bCs/>
          <w:kern w:val="0"/>
          <w:lang w:bidi="en-US"/>
        </w:rPr>
      </w:pPr>
      <w:r>
        <w:rPr>
          <w:rFonts w:hint="default" w:ascii="Times New Roman" w:hAnsi="Times New Roman" w:cs="Times New Roman"/>
        </w:rPr>
        <w:t>本项目</w:t>
      </w:r>
      <w:r>
        <w:rPr>
          <w:rFonts w:hint="default" w:ascii="Times New Roman" w:hAnsi="Times New Roman" w:cs="Times New Roman"/>
          <w:lang w:bidi="ar"/>
        </w:rPr>
        <w:t>不涉及农户房屋拆除及专项设施改（迁）建</w:t>
      </w:r>
      <w:r>
        <w:rPr>
          <w:rFonts w:hint="default" w:ascii="Times New Roman" w:hAnsi="Times New Roman" w:cs="Times New Roman"/>
          <w:bCs/>
          <w:kern w:val="0"/>
          <w:lang w:bidi="en-US"/>
        </w:rPr>
        <w:t>。</w:t>
      </w:r>
      <w:r>
        <w:rPr>
          <w:rFonts w:hint="default" w:ascii="Times New Roman" w:hAnsi="Times New Roman" w:cs="Times New Roman"/>
          <w:lang w:bidi="ar"/>
        </w:rPr>
        <w:t>根据项目建设区域占地情况，</w:t>
      </w:r>
      <w:r>
        <w:rPr>
          <w:rFonts w:hint="default" w:ascii="Times New Roman" w:hAnsi="Times New Roman" w:cs="Times New Roman"/>
          <w:lang w:val="zh-CN"/>
        </w:rPr>
        <w:t>本项目占地类型为建设用地，建设用地原始地表</w:t>
      </w:r>
      <w:r>
        <w:rPr>
          <w:rFonts w:hint="eastAsia" w:cs="Times New Roman"/>
          <w:lang w:val="en-US" w:eastAsia="zh-CN"/>
        </w:rPr>
        <w:t>地块一西南侧</w:t>
      </w:r>
      <w:r>
        <w:rPr>
          <w:rFonts w:hint="default" w:ascii="Times New Roman" w:hAnsi="Times New Roman" w:cs="Times New Roman"/>
          <w:lang w:val="zh-CN"/>
        </w:rPr>
        <w:t>为</w:t>
      </w:r>
      <w:r>
        <w:rPr>
          <w:rFonts w:hint="eastAsia" w:cs="Times New Roman"/>
          <w:lang w:val="en-US" w:eastAsia="zh-CN"/>
        </w:rPr>
        <w:t>集体活动房，</w:t>
      </w:r>
      <w:r>
        <w:rPr>
          <w:rFonts w:hint="default" w:ascii="Times New Roman" w:hAnsi="Times New Roman" w:cs="Times New Roman"/>
          <w:lang w:val="zh-CN"/>
        </w:rPr>
        <w:t>本项目拆除后</w:t>
      </w:r>
      <w:r>
        <w:rPr>
          <w:rFonts w:hint="eastAsia" w:cs="Times New Roman"/>
          <w:lang w:val="en-US" w:eastAsia="zh-CN"/>
        </w:rPr>
        <w:t>不用进行安置</w:t>
      </w:r>
      <w:r>
        <w:rPr>
          <w:rFonts w:hint="default" w:ascii="Times New Roman" w:hAnsi="Times New Roman" w:cs="Times New Roman"/>
          <w:lang w:val="zh-CN"/>
        </w:rPr>
        <w:t>。</w:t>
      </w:r>
    </w:p>
    <w:p w14:paraId="2D10F91E">
      <w:pPr>
        <w:pStyle w:val="46"/>
        <w:rPr>
          <w:rFonts w:hint="default" w:ascii="Times New Roman" w:hAnsi="Times New Roman" w:cs="Times New Roman"/>
        </w:rPr>
      </w:pPr>
      <w:r>
        <w:rPr>
          <w:rFonts w:hint="default" w:ascii="Times New Roman" w:hAnsi="Times New Roman" w:cs="Times New Roman"/>
        </w:rPr>
        <w:t>（7）项目工期及投资</w:t>
      </w:r>
    </w:p>
    <w:p w14:paraId="080AA074">
      <w:pPr>
        <w:ind w:firstLine="480"/>
        <w:rPr>
          <w:rFonts w:hint="default" w:ascii="Times New Roman" w:hAnsi="Times New Roman" w:cs="Times New Roman"/>
        </w:rPr>
      </w:pPr>
      <w:r>
        <w:rPr>
          <w:rFonts w:hint="default" w:ascii="Times New Roman" w:hAnsi="Times New Roman" w:cs="Times New Roman"/>
        </w:rPr>
        <w:t>工程规划总投资</w:t>
      </w:r>
      <w:r>
        <w:rPr>
          <w:rFonts w:hint="eastAsia" w:cs="Times New Roman"/>
          <w:lang w:eastAsia="zh-CN"/>
        </w:rPr>
        <w:t>2203.01万元</w:t>
      </w:r>
      <w:r>
        <w:rPr>
          <w:rFonts w:hint="default" w:ascii="Times New Roman" w:hAnsi="Times New Roman" w:cs="Times New Roman"/>
        </w:rPr>
        <w:t>，其中土建投资</w:t>
      </w:r>
      <w:r>
        <w:rPr>
          <w:rFonts w:hint="eastAsia" w:cs="Times New Roman"/>
          <w:lang w:eastAsia="zh-CN"/>
        </w:rPr>
        <w:t>462.63万元</w:t>
      </w:r>
      <w:r>
        <w:rPr>
          <w:rFonts w:hint="default" w:ascii="Times New Roman" w:hAnsi="Times New Roman" w:cs="Times New Roman"/>
        </w:rPr>
        <w:t>。计划于</w:t>
      </w:r>
      <w:r>
        <w:rPr>
          <w:rFonts w:hint="eastAsia" w:cs="Times New Roman"/>
          <w:lang w:eastAsia="zh-CN"/>
        </w:rPr>
        <w:t>2024年4月</w:t>
      </w:r>
      <w:r>
        <w:rPr>
          <w:rFonts w:hint="default" w:ascii="Times New Roman" w:hAnsi="Times New Roman" w:cs="Times New Roman"/>
        </w:rPr>
        <w:t>开工，</w:t>
      </w:r>
      <w:r>
        <w:rPr>
          <w:rFonts w:hint="eastAsia" w:cs="Times New Roman"/>
          <w:lang w:eastAsia="zh-CN"/>
        </w:rPr>
        <w:t>2025年6月</w:t>
      </w:r>
      <w:r>
        <w:rPr>
          <w:rFonts w:hint="default" w:ascii="Times New Roman" w:hAnsi="Times New Roman" w:cs="Times New Roman"/>
        </w:rPr>
        <w:t>完工，总工期</w:t>
      </w:r>
      <w:r>
        <w:rPr>
          <w:rFonts w:hint="eastAsia" w:cs="Times New Roman"/>
          <w:lang w:eastAsia="zh-CN"/>
        </w:rPr>
        <w:t>15个月</w:t>
      </w:r>
      <w:r>
        <w:rPr>
          <w:rFonts w:hint="default" w:ascii="Times New Roman" w:hAnsi="Times New Roman" w:cs="Times New Roman"/>
        </w:rPr>
        <w:t>。本项目由</w:t>
      </w:r>
      <w:r>
        <w:rPr>
          <w:rFonts w:hint="eastAsia" w:cs="Times New Roman"/>
          <w:lang w:eastAsia="zh-CN"/>
        </w:rPr>
        <w:t>会泽县待补镇人民政府</w:t>
      </w:r>
      <w:r>
        <w:rPr>
          <w:rFonts w:hint="default" w:ascii="Times New Roman" w:hAnsi="Times New Roman" w:cs="Times New Roman"/>
        </w:rPr>
        <w:t>负责建设与管理。</w:t>
      </w:r>
    </w:p>
    <w:p w14:paraId="7DE72C4A">
      <w:pPr>
        <w:pStyle w:val="4"/>
        <w:rPr>
          <w:rFonts w:hint="default" w:ascii="Times New Roman" w:hAnsi="Times New Roman" w:cs="Times New Roman"/>
        </w:rPr>
      </w:pPr>
      <w:r>
        <w:rPr>
          <w:rFonts w:hint="default" w:ascii="Times New Roman" w:hAnsi="Times New Roman" w:cs="Times New Roman"/>
        </w:rPr>
        <w:t>项目前期工作进展情况</w:t>
      </w:r>
    </w:p>
    <w:p w14:paraId="61A5BE34">
      <w:pPr>
        <w:pStyle w:val="5"/>
        <w:rPr>
          <w:rFonts w:hint="default" w:ascii="Times New Roman" w:hAnsi="Times New Roman" w:cs="Times New Roman"/>
        </w:rPr>
      </w:pPr>
      <w:r>
        <w:rPr>
          <w:rFonts w:hint="default" w:ascii="Times New Roman" w:hAnsi="Times New Roman" w:cs="Times New Roman"/>
        </w:rPr>
        <w:t>主体工程设计情况</w:t>
      </w:r>
    </w:p>
    <w:p w14:paraId="26564746">
      <w:pPr>
        <w:pStyle w:val="93"/>
        <w:rPr>
          <w:rFonts w:hint="default" w:ascii="Times New Roman" w:hAnsi="Times New Roman" w:cs="Times New Roman"/>
        </w:rPr>
      </w:pPr>
      <w:bookmarkStart w:id="9" w:name="_Hlk73367866"/>
      <w:r>
        <w:rPr>
          <w:rFonts w:hint="default" w:ascii="Times New Roman" w:hAnsi="Times New Roman" w:cs="Times New Roman"/>
        </w:rPr>
        <w:t>项目由</w:t>
      </w:r>
      <w:r>
        <w:rPr>
          <w:rFonts w:hint="eastAsia" w:cs="Times New Roman"/>
          <w:lang w:eastAsia="zh-CN"/>
        </w:rPr>
        <w:t>会泽县待补镇人民政府</w:t>
      </w:r>
      <w:r>
        <w:rPr>
          <w:rFonts w:hint="default" w:ascii="Times New Roman" w:hAnsi="Times New Roman" w:cs="Times New Roman"/>
        </w:rPr>
        <w:t>负责建设。</w:t>
      </w:r>
      <w:r>
        <w:rPr>
          <w:rFonts w:hint="eastAsia" w:cs="Times New Roman"/>
          <w:lang w:eastAsia="zh-CN"/>
        </w:rPr>
        <w:t>2024年</w:t>
      </w:r>
      <w:r>
        <w:rPr>
          <w:rFonts w:hint="eastAsia" w:cs="Times New Roman"/>
          <w:lang w:val="en-US" w:eastAsia="zh-CN"/>
        </w:rPr>
        <w:t>2</w:t>
      </w:r>
      <w:r>
        <w:rPr>
          <w:rFonts w:hint="eastAsia" w:cs="Times New Roman"/>
          <w:lang w:eastAsia="zh-CN"/>
        </w:rPr>
        <w:t>月</w:t>
      </w:r>
      <w:r>
        <w:rPr>
          <w:rFonts w:hint="default" w:ascii="Times New Roman" w:hAnsi="Times New Roman" w:cs="Times New Roman"/>
        </w:rPr>
        <w:t>，建设单位委托</w:t>
      </w:r>
      <w:r>
        <w:rPr>
          <w:rFonts w:hint="eastAsia" w:cs="Times New Roman"/>
          <w:lang w:eastAsia="zh-CN"/>
        </w:rPr>
        <w:t>华森工程科技集团有限公司</w:t>
      </w:r>
      <w:r>
        <w:rPr>
          <w:rFonts w:hint="default" w:ascii="Times New Roman" w:hAnsi="Times New Roman" w:cs="Times New Roman"/>
        </w:rPr>
        <w:t>承担本项目可行性研究报告的编制工作；设计单位于</w:t>
      </w:r>
      <w:r>
        <w:rPr>
          <w:rFonts w:hint="eastAsia" w:cs="Times New Roman"/>
          <w:lang w:eastAsia="zh-CN"/>
        </w:rPr>
        <w:t>2024年</w:t>
      </w:r>
      <w:r>
        <w:rPr>
          <w:rFonts w:hint="eastAsia" w:cs="Times New Roman"/>
          <w:lang w:val="en-US" w:eastAsia="zh-CN"/>
        </w:rPr>
        <w:t>2</w:t>
      </w:r>
      <w:r>
        <w:rPr>
          <w:rFonts w:hint="eastAsia" w:cs="Times New Roman"/>
          <w:lang w:eastAsia="zh-CN"/>
        </w:rPr>
        <w:t>月</w:t>
      </w:r>
      <w:r>
        <w:rPr>
          <w:rFonts w:hint="default" w:ascii="Times New Roman" w:hAnsi="Times New Roman" w:cs="Times New Roman"/>
        </w:rPr>
        <w:t>完成《</w:t>
      </w:r>
      <w:r>
        <w:rPr>
          <w:rFonts w:hint="eastAsia" w:cs="Times New Roman"/>
          <w:lang w:eastAsia="zh-CN"/>
        </w:rPr>
        <w:t>待补镇安康安置点帮扶车间建设项目</w:t>
      </w:r>
      <w:r>
        <w:rPr>
          <w:rFonts w:hint="default" w:ascii="Times New Roman" w:hAnsi="Times New Roman" w:cs="Times New Roman"/>
        </w:rPr>
        <w:t>可行性研究报告》的编制。</w:t>
      </w:r>
      <w:bookmarkEnd w:id="9"/>
    </w:p>
    <w:p w14:paraId="4A210D8A">
      <w:pPr>
        <w:pStyle w:val="93"/>
        <w:rPr>
          <w:rFonts w:hint="default" w:ascii="Times New Roman" w:hAnsi="Times New Roman" w:cs="Times New Roman"/>
        </w:rPr>
      </w:pPr>
      <w:r>
        <w:rPr>
          <w:rFonts w:hint="default" w:ascii="Times New Roman" w:hAnsi="Times New Roman" w:cs="Times New Roman"/>
        </w:rPr>
        <w:t>202</w:t>
      </w:r>
      <w:r>
        <w:rPr>
          <w:rFonts w:hint="eastAsia" w:cs="Times New Roman"/>
          <w:lang w:val="en-US" w:eastAsia="zh-CN"/>
        </w:rPr>
        <w:t>4</w:t>
      </w:r>
      <w:r>
        <w:rPr>
          <w:rFonts w:hint="default" w:ascii="Times New Roman" w:hAnsi="Times New Roman" w:cs="Times New Roman"/>
        </w:rPr>
        <w:t>年</w:t>
      </w:r>
      <w:r>
        <w:rPr>
          <w:rFonts w:hint="eastAsia" w:cs="Times New Roman"/>
          <w:lang w:val="en-US" w:eastAsia="zh-CN"/>
        </w:rPr>
        <w:t>3</w:t>
      </w:r>
      <w:r>
        <w:rPr>
          <w:rFonts w:hint="default" w:ascii="Times New Roman" w:hAnsi="Times New Roman" w:cs="Times New Roman"/>
        </w:rPr>
        <w:t>月6日，项目取得了</w:t>
      </w:r>
      <w:r>
        <w:rPr>
          <w:rStyle w:val="92"/>
          <w:rFonts w:hint="default" w:ascii="Times New Roman" w:hAnsi="Times New Roman" w:cs="Times New Roman"/>
          <w:snapToGrid w:val="0"/>
        </w:rPr>
        <w:t>会泽县发展和改革局文件《</w:t>
      </w:r>
      <w:r>
        <w:rPr>
          <w:rFonts w:hint="default" w:ascii="Times New Roman" w:hAnsi="Times New Roman" w:cs="Times New Roman"/>
        </w:rPr>
        <w:t>会泽县发展和改革局关于</w:t>
      </w:r>
      <w:r>
        <w:rPr>
          <w:rFonts w:hint="eastAsia" w:cs="Times New Roman"/>
          <w:lang w:eastAsia="zh-CN"/>
        </w:rPr>
        <w:t>待补镇安康安置点帮扶车间建设项目</w:t>
      </w:r>
      <w:r>
        <w:rPr>
          <w:rFonts w:hint="default" w:ascii="Times New Roman" w:hAnsi="Times New Roman" w:cs="Times New Roman"/>
        </w:rPr>
        <w:t>可行性研究报告的批复》（会发改</w:t>
      </w:r>
      <w:r>
        <w:rPr>
          <w:rFonts w:hint="eastAsia" w:cs="Times New Roman"/>
          <w:lang w:val="en-US" w:eastAsia="zh-CN"/>
        </w:rPr>
        <w:t>易地</w:t>
      </w:r>
      <w:r>
        <w:rPr>
          <w:rFonts w:hint="default" w:ascii="Times New Roman" w:hAnsi="Times New Roman" w:cs="Times New Roman"/>
          <w:kern w:val="0"/>
        </w:rPr>
        <w:t>〔202</w:t>
      </w:r>
      <w:r>
        <w:rPr>
          <w:rFonts w:hint="eastAsia" w:cs="Times New Roman"/>
          <w:kern w:val="0"/>
          <w:lang w:val="en-US" w:eastAsia="zh-CN"/>
        </w:rPr>
        <w:t>4</w:t>
      </w:r>
      <w:r>
        <w:rPr>
          <w:rFonts w:hint="default" w:ascii="Times New Roman" w:hAnsi="Times New Roman" w:cs="Times New Roman"/>
          <w:kern w:val="0"/>
        </w:rPr>
        <w:t>〕</w:t>
      </w:r>
      <w:r>
        <w:rPr>
          <w:rFonts w:hint="eastAsia" w:cs="Times New Roman"/>
          <w:kern w:val="0"/>
          <w:lang w:val="en-US" w:eastAsia="zh-CN"/>
        </w:rPr>
        <w:t>2</w:t>
      </w:r>
      <w:r>
        <w:rPr>
          <w:rFonts w:hint="default" w:ascii="Times New Roman" w:hAnsi="Times New Roman" w:cs="Times New Roman"/>
          <w:kern w:val="0"/>
        </w:rPr>
        <w:t>号</w:t>
      </w:r>
      <w:r>
        <w:rPr>
          <w:rFonts w:hint="default" w:ascii="Times New Roman" w:hAnsi="Times New Roman" w:cs="Times New Roman"/>
        </w:rPr>
        <w:t>）。</w:t>
      </w:r>
    </w:p>
    <w:p w14:paraId="40EBC406">
      <w:pPr>
        <w:pStyle w:val="93"/>
        <w:rPr>
          <w:rFonts w:hint="default" w:ascii="Times New Roman" w:hAnsi="Times New Roman" w:cs="Times New Roman"/>
        </w:rPr>
      </w:pPr>
      <w:r>
        <w:rPr>
          <w:rFonts w:hint="eastAsia" w:cs="Times New Roman"/>
          <w:lang w:eastAsia="zh-CN"/>
        </w:rPr>
        <w:t>2024年</w:t>
      </w:r>
      <w:r>
        <w:rPr>
          <w:rFonts w:hint="eastAsia" w:cs="Times New Roman"/>
          <w:lang w:val="en-US" w:eastAsia="zh-CN"/>
        </w:rPr>
        <w:t>5</w:t>
      </w:r>
      <w:r>
        <w:rPr>
          <w:rFonts w:hint="eastAsia" w:cs="Times New Roman"/>
          <w:lang w:eastAsia="zh-CN"/>
        </w:rPr>
        <w:t>月</w:t>
      </w:r>
      <w:r>
        <w:rPr>
          <w:rFonts w:hint="default" w:ascii="Times New Roman" w:hAnsi="Times New Roman" w:cs="Times New Roman"/>
        </w:rPr>
        <w:t>，建设单位委托</w:t>
      </w:r>
      <w:r>
        <w:rPr>
          <w:rFonts w:hint="eastAsia" w:cs="Times New Roman"/>
          <w:lang w:eastAsia="zh-CN"/>
        </w:rPr>
        <w:t>中兴胜工程设计有限公司</w:t>
      </w:r>
      <w:r>
        <w:rPr>
          <w:rFonts w:hint="default" w:ascii="Times New Roman" w:hAnsi="Times New Roman" w:cs="Times New Roman"/>
        </w:rPr>
        <w:t>（以下简称“主体设计单位”）承担本项目</w:t>
      </w:r>
      <w:r>
        <w:rPr>
          <w:rFonts w:hint="eastAsia" w:cs="Times New Roman"/>
          <w:lang w:val="en-US" w:eastAsia="zh-CN"/>
        </w:rPr>
        <w:t>施工图的编制</w:t>
      </w:r>
      <w:r>
        <w:rPr>
          <w:rFonts w:hint="default" w:ascii="Times New Roman" w:hAnsi="Times New Roman" w:cs="Times New Roman"/>
        </w:rPr>
        <w:t>工作；主体设计单位于</w:t>
      </w:r>
      <w:r>
        <w:rPr>
          <w:rFonts w:hint="eastAsia" w:cs="Times New Roman"/>
          <w:lang w:eastAsia="zh-CN"/>
        </w:rPr>
        <w:t>2024年</w:t>
      </w:r>
      <w:r>
        <w:rPr>
          <w:rFonts w:hint="eastAsia" w:cs="Times New Roman"/>
          <w:lang w:val="en-US" w:eastAsia="zh-CN"/>
        </w:rPr>
        <w:t>5</w:t>
      </w:r>
      <w:r>
        <w:rPr>
          <w:rFonts w:hint="eastAsia" w:cs="Times New Roman"/>
          <w:lang w:eastAsia="zh-CN"/>
        </w:rPr>
        <w:t>月</w:t>
      </w:r>
      <w:r>
        <w:rPr>
          <w:rFonts w:hint="default" w:ascii="Times New Roman" w:hAnsi="Times New Roman" w:cs="Times New Roman"/>
        </w:rPr>
        <w:t>完成《</w:t>
      </w:r>
      <w:r>
        <w:rPr>
          <w:rFonts w:hint="eastAsia" w:cs="Times New Roman"/>
          <w:lang w:eastAsia="zh-CN"/>
        </w:rPr>
        <w:t>待补镇安康安置点帮扶车间建设项目</w:t>
      </w:r>
      <w:r>
        <w:rPr>
          <w:rFonts w:hint="eastAsia" w:cs="Times New Roman"/>
          <w:lang w:val="en-US" w:eastAsia="zh-CN"/>
        </w:rPr>
        <w:t>施工图</w:t>
      </w:r>
      <w:r>
        <w:rPr>
          <w:rFonts w:hint="default" w:ascii="Times New Roman" w:hAnsi="Times New Roman" w:cs="Times New Roman"/>
        </w:rPr>
        <w:t>》的编制。</w:t>
      </w:r>
    </w:p>
    <w:p w14:paraId="79B6D30B">
      <w:pPr>
        <w:pStyle w:val="93"/>
        <w:rPr>
          <w:rFonts w:hint="default" w:cs="Times New Roman"/>
          <w:lang w:val="en-US" w:eastAsia="zh-CN"/>
        </w:rPr>
      </w:pPr>
      <w:r>
        <w:rPr>
          <w:rFonts w:hint="eastAsia" w:cs="Times New Roman"/>
          <w:b/>
          <w:bCs/>
          <w:lang w:val="en-US" w:eastAsia="zh-CN"/>
        </w:rPr>
        <w:t>在施工图编制阶段，根据用地预审报审及部分工程造价完善修改，相比可研阶段局部布置调整，施工图阶段设计用地范围1.51hm</w:t>
      </w:r>
      <w:r>
        <w:rPr>
          <w:rFonts w:hint="eastAsia" w:cs="Times New Roman"/>
          <w:b/>
          <w:bCs/>
          <w:vertAlign w:val="superscript"/>
          <w:lang w:val="en-US" w:eastAsia="zh-CN"/>
        </w:rPr>
        <w:t>2</w:t>
      </w:r>
      <w:r>
        <w:rPr>
          <w:rFonts w:hint="eastAsia" w:cs="Times New Roman"/>
          <w:b/>
          <w:bCs/>
          <w:lang w:val="en-US" w:eastAsia="zh-CN"/>
        </w:rPr>
        <w:t>，相比《可研报告》及立项文件规划用地面积1.64hm</w:t>
      </w:r>
      <w:r>
        <w:rPr>
          <w:rFonts w:hint="eastAsia" w:cs="Times New Roman"/>
          <w:b/>
          <w:bCs/>
          <w:vertAlign w:val="superscript"/>
          <w:lang w:val="en-US" w:eastAsia="zh-CN"/>
        </w:rPr>
        <w:t>2</w:t>
      </w:r>
      <w:r>
        <w:rPr>
          <w:rFonts w:hint="eastAsia" w:cs="Times New Roman"/>
          <w:b/>
          <w:bCs/>
          <w:lang w:val="en-US" w:eastAsia="zh-CN"/>
        </w:rPr>
        <w:t>减少0.13hm</w:t>
      </w:r>
      <w:r>
        <w:rPr>
          <w:rFonts w:hint="eastAsia" w:cs="Times New Roman"/>
          <w:b/>
          <w:bCs/>
          <w:vertAlign w:val="superscript"/>
          <w:lang w:val="en-US" w:eastAsia="zh-CN"/>
        </w:rPr>
        <w:t>2</w:t>
      </w:r>
      <w:r>
        <w:rPr>
          <w:rFonts w:hint="eastAsia" w:cs="Times New Roman"/>
          <w:b/>
          <w:bCs/>
          <w:lang w:val="en-US" w:eastAsia="zh-CN"/>
        </w:rPr>
        <w:t>，本方案按照施工图阶段确定的用地面积进行水土保持方案报告表的编制。</w:t>
      </w:r>
    </w:p>
    <w:p w14:paraId="7BD2066E">
      <w:pPr>
        <w:pStyle w:val="93"/>
        <w:rPr>
          <w:rFonts w:hint="default" w:eastAsia="仿宋_GB2312" w:cs="Times New Roman"/>
          <w:lang w:val="en-US" w:eastAsia="zh-CN"/>
        </w:rPr>
      </w:pPr>
      <w:r>
        <w:rPr>
          <w:rFonts w:hint="eastAsia" w:cs="Times New Roman"/>
          <w:lang w:eastAsia="zh-CN"/>
        </w:rPr>
        <w:t>2024年</w:t>
      </w:r>
      <w:r>
        <w:rPr>
          <w:rFonts w:hint="eastAsia" w:cs="Times New Roman"/>
          <w:lang w:val="en-US" w:eastAsia="zh-CN"/>
        </w:rPr>
        <w:t>7</w:t>
      </w:r>
      <w:r>
        <w:rPr>
          <w:rFonts w:hint="eastAsia" w:cs="Times New Roman"/>
          <w:lang w:eastAsia="zh-CN"/>
        </w:rPr>
        <w:t>月</w:t>
      </w:r>
      <w:r>
        <w:rPr>
          <w:rFonts w:hint="eastAsia" w:cs="Times New Roman"/>
          <w:lang w:val="en-US" w:eastAsia="zh-CN"/>
        </w:rPr>
        <w:t>10日</w:t>
      </w:r>
      <w:r>
        <w:rPr>
          <w:rFonts w:hint="default" w:ascii="Times New Roman" w:hAnsi="Times New Roman" w:cs="Times New Roman"/>
        </w:rPr>
        <w:t>，</w:t>
      </w:r>
      <w:r>
        <w:rPr>
          <w:rFonts w:hint="eastAsia" w:cs="Times New Roman"/>
          <w:lang w:val="en-US" w:eastAsia="zh-CN"/>
        </w:rPr>
        <w:t>取得会泽县自然资源局建设项目用地预审选址意见书。</w:t>
      </w:r>
    </w:p>
    <w:p w14:paraId="1B3FE9D4">
      <w:pPr>
        <w:pStyle w:val="5"/>
        <w:rPr>
          <w:rFonts w:hint="default" w:ascii="Times New Roman" w:hAnsi="Times New Roman" w:cs="Times New Roman"/>
        </w:rPr>
      </w:pPr>
      <w:r>
        <w:rPr>
          <w:rFonts w:hint="default" w:ascii="Times New Roman" w:hAnsi="Times New Roman" w:cs="Times New Roman"/>
        </w:rPr>
        <w:t>水土保持工作开展情况</w:t>
      </w:r>
    </w:p>
    <w:p w14:paraId="46925672">
      <w:pPr>
        <w:ind w:firstLine="480"/>
        <w:rPr>
          <w:rFonts w:hint="default" w:ascii="Times New Roman" w:hAnsi="Times New Roman" w:cs="Times New Roman"/>
          <w:szCs w:val="20"/>
        </w:rPr>
      </w:pPr>
      <w:r>
        <w:rPr>
          <w:rFonts w:hint="default" w:ascii="Times New Roman" w:hAnsi="Times New Roman" w:cs="Times New Roman"/>
        </w:rPr>
        <w:t>根据</w:t>
      </w:r>
      <w:r>
        <w:rPr>
          <w:rFonts w:hint="eastAsia" w:cs="Times New Roman"/>
          <w:lang w:eastAsia="zh-CN"/>
        </w:rPr>
        <w:t>《中华人民共和国水土保持法》</w:t>
      </w:r>
      <w:r>
        <w:rPr>
          <w:rFonts w:hint="default" w:ascii="Times New Roman" w:hAnsi="Times New Roman" w:cs="Times New Roman"/>
        </w:rPr>
        <w:t>和</w:t>
      </w:r>
      <w:r>
        <w:rPr>
          <w:rFonts w:hint="eastAsia" w:cs="Times New Roman"/>
          <w:lang w:eastAsia="zh-CN"/>
        </w:rPr>
        <w:t>《云南省水土保持条例》</w:t>
      </w:r>
      <w:r>
        <w:rPr>
          <w:rFonts w:hint="default" w:ascii="Times New Roman" w:hAnsi="Times New Roman" w:cs="Times New Roman"/>
        </w:rPr>
        <w:t>要求，为做好本项目的水土保持工作，</w:t>
      </w:r>
      <w:r>
        <w:rPr>
          <w:rFonts w:hint="eastAsia" w:cs="Times New Roman"/>
          <w:lang w:eastAsia="zh-CN"/>
        </w:rPr>
        <w:t>会泽县待补镇人民政府</w:t>
      </w:r>
      <w:r>
        <w:rPr>
          <w:rFonts w:hint="default" w:ascii="Times New Roman" w:hAnsi="Times New Roman" w:cs="Times New Roman"/>
        </w:rPr>
        <w:t>于202</w:t>
      </w:r>
      <w:r>
        <w:rPr>
          <w:rFonts w:hint="eastAsia" w:cs="Times New Roman"/>
          <w:lang w:val="en-US" w:eastAsia="zh-CN"/>
        </w:rPr>
        <w:t>4</w:t>
      </w:r>
      <w:r>
        <w:rPr>
          <w:rFonts w:hint="default" w:ascii="Times New Roman" w:hAnsi="Times New Roman" w:cs="Times New Roman"/>
        </w:rPr>
        <w:t>年</w:t>
      </w:r>
      <w:r>
        <w:rPr>
          <w:rFonts w:hint="eastAsia" w:cs="Times New Roman"/>
          <w:lang w:val="en-US" w:eastAsia="zh-CN"/>
        </w:rPr>
        <w:t>7</w:t>
      </w:r>
      <w:r>
        <w:rPr>
          <w:rFonts w:hint="default" w:ascii="Times New Roman" w:hAnsi="Times New Roman" w:cs="Times New Roman"/>
        </w:rPr>
        <w:t>月委托</w:t>
      </w:r>
      <w:r>
        <w:rPr>
          <w:rFonts w:hint="default" w:ascii="Times New Roman" w:hAnsi="Times New Roman" w:cs="Times New Roman"/>
          <w:lang w:eastAsia="zh-CN"/>
        </w:rPr>
        <w:t>云南环沃工程咨询有限公司</w:t>
      </w:r>
      <w:r>
        <w:rPr>
          <w:rFonts w:hint="default" w:ascii="Times New Roman" w:hAnsi="Times New Roman" w:cs="Times New Roman"/>
        </w:rPr>
        <w:t>进行本项目的水土保持方案报告的编制工作（委托书详见附件1）。</w:t>
      </w:r>
    </w:p>
    <w:p w14:paraId="61DA8344">
      <w:pPr>
        <w:ind w:firstLine="480"/>
        <w:rPr>
          <w:rFonts w:hint="default" w:ascii="Times New Roman" w:hAnsi="Times New Roman" w:cs="Times New Roman"/>
        </w:rPr>
      </w:pPr>
      <w:r>
        <w:rPr>
          <w:rFonts w:hint="default" w:ascii="Times New Roman" w:hAnsi="Times New Roman" w:cs="Times New Roman"/>
        </w:rPr>
        <w:t>接到委托任务后，我公司成立了项目组，并按照《生产建设项目水土保持技术标准》（GB50433－2018）有关规定和要求，制定了工作计划，以指导本项目水土保持方案的编制工作。同时组织专业技术人员对项目现场进行了仔细的踏勘，获取了相关技术资料，同时收集了项目区相关资料。通过对项目基础资料的分析研究，结合项目特点，对项目区自然条件、土地利用状况、水土流失状况等进行了实地调查，按照《生产建设项目水土保持技术标准》（GB50433－2018）的要求，于2024年</w:t>
      </w:r>
      <w:r>
        <w:rPr>
          <w:rFonts w:hint="eastAsia" w:cs="Times New Roman"/>
          <w:lang w:val="en-US" w:eastAsia="zh-CN"/>
        </w:rPr>
        <w:t>8</w:t>
      </w:r>
      <w:r>
        <w:rPr>
          <w:rFonts w:hint="default" w:ascii="Times New Roman" w:hAnsi="Times New Roman" w:cs="Times New Roman"/>
        </w:rPr>
        <w:t>月编制完成了《</w:t>
      </w:r>
      <w:r>
        <w:rPr>
          <w:rFonts w:hint="eastAsia" w:cs="Times New Roman"/>
          <w:lang w:eastAsia="zh-CN"/>
        </w:rPr>
        <w:t>待补镇安康安置点帮扶车间建设项目</w:t>
      </w:r>
      <w:r>
        <w:rPr>
          <w:rFonts w:hint="default" w:ascii="Times New Roman" w:hAnsi="Times New Roman" w:cs="Times New Roman"/>
        </w:rPr>
        <w:t>水土保持方案报告表》。</w:t>
      </w:r>
    </w:p>
    <w:p w14:paraId="4884BAE7">
      <w:pPr>
        <w:ind w:firstLine="480"/>
        <w:rPr>
          <w:rFonts w:hint="default" w:ascii="Times New Roman" w:hAnsi="Times New Roman" w:cs="Times New Roman"/>
        </w:rPr>
      </w:pPr>
      <w:r>
        <w:rPr>
          <w:rFonts w:hint="default" w:ascii="Times New Roman" w:hAnsi="Times New Roman" w:cs="Times New Roman"/>
        </w:rPr>
        <w:t>在本项目水土保持方案编制过程中，得到了会泽县水务局、主体设计单位及建设单位等有关单位的大力支持和帮助，在此一并表示感谢！</w:t>
      </w:r>
    </w:p>
    <w:p w14:paraId="6453FF0C">
      <w:pPr>
        <w:pStyle w:val="4"/>
        <w:rPr>
          <w:rFonts w:hint="default" w:ascii="Times New Roman" w:hAnsi="Times New Roman" w:cs="Times New Roman"/>
        </w:rPr>
      </w:pPr>
      <w:r>
        <w:rPr>
          <w:rFonts w:hint="default" w:ascii="Times New Roman" w:hAnsi="Times New Roman" w:cs="Times New Roman"/>
        </w:rPr>
        <w:t>自然简况</w:t>
      </w:r>
    </w:p>
    <w:p w14:paraId="734D28B0">
      <w:pPr>
        <w:pStyle w:val="93"/>
        <w:rPr>
          <w:rFonts w:hint="default" w:ascii="Times New Roman" w:hAnsi="Times New Roman" w:cs="Times New Roman"/>
        </w:rPr>
      </w:pPr>
      <w:r>
        <w:rPr>
          <w:rFonts w:hint="default" w:ascii="Times New Roman" w:hAnsi="Times New Roman" w:cs="Times New Roman"/>
        </w:rPr>
        <w:t>项目区位于会泽县</w:t>
      </w:r>
      <w:r>
        <w:rPr>
          <w:rFonts w:hint="eastAsia" w:cs="Times New Roman"/>
          <w:lang w:val="en-US" w:eastAsia="zh-CN"/>
        </w:rPr>
        <w:t>待补集镇</w:t>
      </w:r>
      <w:r>
        <w:rPr>
          <w:rFonts w:hint="default" w:ascii="Times New Roman" w:hAnsi="Times New Roman" w:cs="Times New Roman"/>
        </w:rPr>
        <w:t>，项目区</w:t>
      </w:r>
      <w:r>
        <w:rPr>
          <w:rFonts w:hint="eastAsia" w:cs="Times New Roman"/>
          <w:lang w:val="en-US" w:eastAsia="zh-CN"/>
        </w:rPr>
        <w:t>地块一</w:t>
      </w:r>
      <w:r>
        <w:rPr>
          <w:rFonts w:hint="default" w:ascii="Times New Roman" w:hAnsi="Times New Roman" w:cs="Times New Roman"/>
          <w:lang w:val="zh-CN"/>
        </w:rPr>
        <w:t>原始标高为</w:t>
      </w:r>
      <w:r>
        <w:rPr>
          <w:rFonts w:hint="eastAsia" w:cs="Times New Roman"/>
          <w:lang w:val="en-US" w:eastAsia="zh-CN"/>
        </w:rPr>
        <w:t>2291.65</w:t>
      </w:r>
      <w:r>
        <w:rPr>
          <w:rFonts w:hint="default" w:ascii="Times New Roman" w:hAnsi="Times New Roman" w:cs="Times New Roman"/>
          <w:lang w:val="zh-CN"/>
        </w:rPr>
        <w:t>~2</w:t>
      </w:r>
      <w:r>
        <w:rPr>
          <w:rFonts w:hint="eastAsia" w:cs="Times New Roman"/>
          <w:lang w:val="en-US" w:eastAsia="zh-CN"/>
        </w:rPr>
        <w:t>292.50</w:t>
      </w:r>
      <w:r>
        <w:rPr>
          <w:rFonts w:hint="default" w:ascii="Times New Roman" w:hAnsi="Times New Roman" w:cs="Times New Roman"/>
          <w:lang w:val="zh-CN"/>
        </w:rPr>
        <w:t>m，相对高差0.</w:t>
      </w:r>
      <w:r>
        <w:rPr>
          <w:rFonts w:hint="eastAsia" w:cs="Times New Roman"/>
          <w:lang w:val="en-US" w:eastAsia="zh-CN"/>
        </w:rPr>
        <w:t>85</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。根据主体工程设计布置，场地设计标高为2</w:t>
      </w:r>
      <w:r>
        <w:rPr>
          <w:rFonts w:hint="eastAsia" w:cs="Times New Roman"/>
          <w:lang w:val="en-US" w:eastAsia="zh-CN"/>
        </w:rPr>
        <w:t>292.30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室内地坪设计标高为</w:t>
      </w:r>
      <w:r>
        <w:rPr>
          <w:rFonts w:hint="default" w:ascii="Times New Roman" w:hAnsi="Times New Roman" w:cs="Times New Roman"/>
          <w:lang w:val="zh-CN"/>
        </w:rPr>
        <w:t>2</w:t>
      </w:r>
      <w:r>
        <w:rPr>
          <w:rFonts w:hint="eastAsia" w:cs="Times New Roman"/>
          <w:lang w:val="en-US" w:eastAsia="zh-CN"/>
        </w:rPr>
        <w:t>292.60</w:t>
      </w:r>
      <w:r>
        <w:rPr>
          <w:rFonts w:hint="default" w:ascii="Times New Roman" w:hAnsi="Times New Roman" w:cs="Times New Roman"/>
          <w:lang w:val="zh-CN"/>
        </w:rPr>
        <w:t>m，不分台布置，场地为平坡式布置。</w:t>
      </w:r>
      <w:r>
        <w:rPr>
          <w:rFonts w:hint="eastAsia" w:cs="Times New Roman"/>
          <w:lang w:val="en-US" w:eastAsia="zh-CN"/>
        </w:rPr>
        <w:t>地块二</w:t>
      </w:r>
      <w:r>
        <w:rPr>
          <w:rFonts w:hint="default" w:ascii="Times New Roman" w:hAnsi="Times New Roman" w:cs="Times New Roman"/>
          <w:lang w:val="zh-CN"/>
        </w:rPr>
        <w:t>原始标高为</w:t>
      </w:r>
      <w:r>
        <w:rPr>
          <w:rFonts w:hint="eastAsia" w:cs="Times New Roman"/>
          <w:lang w:val="en-US" w:eastAsia="zh-CN"/>
        </w:rPr>
        <w:t>2290.36m</w:t>
      </w:r>
      <w:r>
        <w:rPr>
          <w:rFonts w:hint="default" w:ascii="Times New Roman" w:hAnsi="Times New Roman" w:cs="Times New Roman"/>
          <w:lang w:val="zh-CN"/>
        </w:rPr>
        <w:t>~2</w:t>
      </w:r>
      <w:r>
        <w:rPr>
          <w:rFonts w:hint="eastAsia" w:cs="Times New Roman"/>
          <w:lang w:val="en-US" w:eastAsia="zh-CN"/>
        </w:rPr>
        <w:t>291.74</w:t>
      </w:r>
      <w:r>
        <w:rPr>
          <w:rFonts w:hint="default" w:ascii="Times New Roman" w:hAnsi="Times New Roman" w:cs="Times New Roman"/>
          <w:lang w:val="zh-CN"/>
        </w:rPr>
        <w:t>m，相对高差</w:t>
      </w:r>
      <w:r>
        <w:rPr>
          <w:rFonts w:hint="eastAsia" w:cs="Times New Roman"/>
          <w:lang w:val="en-US" w:eastAsia="zh-CN"/>
        </w:rPr>
        <w:t>1.38</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。根据主体工程设计布置，场地设计标高为2</w:t>
      </w:r>
      <w:r>
        <w:rPr>
          <w:rFonts w:hint="eastAsia" w:cs="Times New Roman"/>
          <w:lang w:val="en-US" w:eastAsia="zh-CN"/>
        </w:rPr>
        <w:t>291.30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室内地坪设计标高为</w:t>
      </w:r>
      <w:r>
        <w:rPr>
          <w:rFonts w:hint="default" w:ascii="Times New Roman" w:hAnsi="Times New Roman" w:cs="Times New Roman"/>
          <w:lang w:val="zh-CN"/>
        </w:rPr>
        <w:t>2</w:t>
      </w:r>
      <w:r>
        <w:rPr>
          <w:rFonts w:hint="eastAsia" w:cs="Times New Roman"/>
          <w:lang w:val="en-US" w:eastAsia="zh-CN"/>
        </w:rPr>
        <w:t>291.60</w:t>
      </w:r>
      <w:r>
        <w:rPr>
          <w:rFonts w:hint="default" w:ascii="Times New Roman" w:hAnsi="Times New Roman" w:cs="Times New Roman"/>
          <w:lang w:val="zh-CN"/>
        </w:rPr>
        <w:t>m，不分台布置，场地为平坡式布置。</w:t>
      </w:r>
      <w:r>
        <w:rPr>
          <w:rFonts w:hint="default" w:ascii="Times New Roman" w:hAnsi="Times New Roman" w:cs="Times New Roman"/>
        </w:rPr>
        <w:t>地貌属于</w:t>
      </w:r>
      <w:r>
        <w:rPr>
          <w:rFonts w:hint="eastAsia" w:cs="Times New Roman"/>
          <w:lang w:eastAsia="zh-CN"/>
        </w:rPr>
        <w:t>构造侵蚀低中山地貌</w:t>
      </w:r>
      <w:r>
        <w:rPr>
          <w:rFonts w:hint="default" w:ascii="Times New Roman" w:hAnsi="Times New Roman" w:cs="Times New Roman"/>
        </w:rPr>
        <w:t>。</w:t>
      </w:r>
    </w:p>
    <w:p w14:paraId="604247E8">
      <w:pPr>
        <w:pStyle w:val="93"/>
        <w:rPr>
          <w:rFonts w:hint="default" w:ascii="Times New Roman" w:hAnsi="Times New Roman" w:cs="Times New Roman"/>
        </w:rPr>
      </w:pPr>
      <w:r>
        <w:rPr>
          <w:rFonts w:hint="default" w:ascii="Times New Roman" w:hAnsi="Times New Roman" w:cs="Times New Roman"/>
        </w:rPr>
        <w:t>项目区内地层分布比较简单，仅有第四系残坡积层（Q</w:t>
      </w:r>
      <w:r>
        <w:rPr>
          <w:rFonts w:hint="default" w:ascii="Times New Roman" w:hAnsi="Times New Roman" w:cs="Times New Roman"/>
          <w:vertAlign w:val="superscript"/>
        </w:rPr>
        <w:t>el+dl</w:t>
      </w:r>
      <w:r>
        <w:rPr>
          <w:rFonts w:hint="default" w:ascii="Times New Roman" w:hAnsi="Times New Roman" w:cs="Times New Roman"/>
        </w:rPr>
        <w:t xml:space="preserve"> )、泥盆系中上统( D</w:t>
      </w:r>
      <w:r>
        <w:rPr>
          <w:rFonts w:hint="default" w:ascii="Times New Roman" w:hAnsi="Times New Roman" w:cs="Times New Roman"/>
          <w:vertAlign w:val="subscript"/>
        </w:rPr>
        <w:t>2-3</w:t>
      </w:r>
      <w:r>
        <w:rPr>
          <w:rFonts w:hint="default" w:ascii="Times New Roman" w:hAnsi="Times New Roman" w:cs="Times New Roman"/>
        </w:rPr>
        <w:t>)地层出露。场区内部分区域无地表径流，主要地表水为大气降水，对建（构）筑物基础施工无影响。场地及附近无滑坡、危岩和崩塌、泥石流、采空区、地面沉降等不良地质作用。勘察揭示深度范围内无暗浜、古河道、地下洞室等不良地质现象。根据1：400万《中国地震动峰值加速度区划图》及《中国地震动反映谱特征周期区划图》（GB18306-2015），工程区Ⅱ类场地50年超越概率10%的地震动峰值加速度为0.20g，对应的地震基本烈度为Ⅷ度。基本地震动加速度反映谱特征周期为0.45s。</w:t>
      </w:r>
    </w:p>
    <w:p w14:paraId="22E0B16F">
      <w:pPr>
        <w:pStyle w:val="93"/>
        <w:rPr>
          <w:rFonts w:hint="default" w:ascii="Times New Roman" w:hAnsi="Times New Roman" w:cs="Times New Roman"/>
        </w:rPr>
      </w:pPr>
      <w:r>
        <w:rPr>
          <w:rFonts w:hint="default" w:ascii="Times New Roman" w:hAnsi="Times New Roman" w:cs="Times New Roman"/>
        </w:rPr>
        <w:t>根据会泽县气象局资料，会泽属典型的温带高原季风气候，四季不明，夏无酷暑，冬季冷寒，干湿分明。会泽立体气候特点突出，从南亚热带至寒温带气候均有分布。小江、牛栏江流域及大海梁子等地呈垂直分布，常常是山脚赤日炎炎，酷暑难耐；山顶云雾缭绕，寒气袭人。会泽县多年平均气温12.7℃，最冷月1月平均气温4.1℃，最热月7月平均气温19.0℃，历年最高气温31.4℃，多年平均日照数2084.6h。全年无霜期216d。年平均降雨量789.4mm；降水量季节分配极不均匀，每年11月至次年5月的冬春季节，降水量较少，占全年的11.4%，此为旱季；每年5下旬至10月下旬，降水量较多，占全年88.6%，是为雨季；最大月见雨量202.4mm（2001年7月），一日最大降水量49.8mm（2001年7月8日）。年最多风向为西南风，最大风速达16.7m/s，年均风速3.2m/s，静风频率约35%。项目区20年一遇1h最大降雨量为55.62mm，6h最大降雨量为79.15mm，24h最大降雨量为116.9mm。</w:t>
      </w:r>
    </w:p>
    <w:p w14:paraId="769BDE92">
      <w:pPr>
        <w:adjustRightInd w:val="0"/>
        <w:snapToGrid w:val="0"/>
        <w:ind w:firstLine="480"/>
        <w:rPr>
          <w:rFonts w:hint="default" w:ascii="Times New Roman" w:hAnsi="Times New Roman" w:cs="Times New Roman"/>
        </w:rPr>
      </w:pPr>
      <w:r>
        <w:rPr>
          <w:rFonts w:hint="default" w:ascii="Times New Roman" w:hAnsi="Times New Roman" w:cs="Times New Roman"/>
        </w:rPr>
        <w:t>项目区属金沙江水系以礼河流域。项目区地表无河流流过，项目附近主要河流主要为以礼河</w:t>
      </w:r>
      <w:r>
        <w:rPr>
          <w:rFonts w:hint="eastAsia" w:cs="Times New Roman"/>
          <w:lang w:val="en-US" w:eastAsia="zh-CN"/>
        </w:rPr>
        <w:t>支流待补河</w:t>
      </w:r>
      <w:r>
        <w:rPr>
          <w:rFonts w:hint="default" w:ascii="Times New Roman" w:hAnsi="Times New Roman" w:cs="Times New Roman"/>
        </w:rPr>
        <w:t>，距离</w:t>
      </w:r>
      <w:r>
        <w:rPr>
          <w:rFonts w:hint="eastAsia" w:cs="Times New Roman"/>
          <w:lang w:val="en-US" w:eastAsia="zh-CN"/>
        </w:rPr>
        <w:t>待补河</w:t>
      </w:r>
      <w:r>
        <w:rPr>
          <w:rFonts w:hint="default" w:ascii="Times New Roman" w:hAnsi="Times New Roman" w:cs="Times New Roman"/>
        </w:rPr>
        <w:t>直线距离</w:t>
      </w:r>
      <w:r>
        <w:rPr>
          <w:rFonts w:hint="eastAsia" w:cs="Times New Roman"/>
          <w:lang w:val="en-US" w:eastAsia="zh-CN"/>
        </w:rPr>
        <w:t>55</w:t>
      </w:r>
      <w:r>
        <w:rPr>
          <w:rFonts w:hint="default" w:ascii="Times New Roman" w:hAnsi="Times New Roman" w:cs="Times New Roman"/>
        </w:rPr>
        <w:t>m，</w:t>
      </w:r>
      <w:r>
        <w:rPr>
          <w:rFonts w:hint="eastAsia" w:cs="Times New Roman"/>
          <w:lang w:val="en-US" w:eastAsia="zh-CN"/>
        </w:rPr>
        <w:t>待补河位于鸡鸣山大道南侧，</w:t>
      </w:r>
      <w:r>
        <w:rPr>
          <w:rFonts w:hint="default" w:ascii="Times New Roman" w:hAnsi="Times New Roman" w:cs="Times New Roman"/>
        </w:rPr>
        <w:t>项目区汇水通过主体设计及方案新增排水、沉沙措施的拦截和沉淀，进入市政雨水管网，不会对</w:t>
      </w:r>
      <w:r>
        <w:rPr>
          <w:rFonts w:hint="eastAsia" w:cs="Times New Roman"/>
          <w:lang w:val="en-US" w:eastAsia="zh-CN"/>
        </w:rPr>
        <w:t>周边</w:t>
      </w:r>
      <w:r>
        <w:rPr>
          <w:rFonts w:hint="default" w:ascii="Times New Roman" w:hAnsi="Times New Roman" w:cs="Times New Roman"/>
        </w:rPr>
        <w:t>水系造成影响。</w:t>
      </w:r>
    </w:p>
    <w:p w14:paraId="0FEFB971">
      <w:pPr>
        <w:pStyle w:val="93"/>
        <w:rPr>
          <w:rFonts w:hint="default" w:ascii="Times New Roman" w:hAnsi="Times New Roman" w:cs="Times New Roman"/>
        </w:rPr>
      </w:pPr>
      <w:r>
        <w:rPr>
          <w:rFonts w:hint="default" w:ascii="Times New Roman" w:hAnsi="Times New Roman" w:cs="Times New Roman"/>
        </w:rPr>
        <w:t>根据现场调查及查阅相关资料，项目区土壤类型主要是以红壤为主，本项目建设占用建设用地，建设用地</w:t>
      </w:r>
      <w:r>
        <w:rPr>
          <w:rFonts w:hint="eastAsia" w:cs="Times New Roman"/>
          <w:lang w:val="en-US" w:eastAsia="zh-CN"/>
        </w:rPr>
        <w:t>现状为草坪，</w:t>
      </w:r>
      <w:r>
        <w:rPr>
          <w:rFonts w:hint="default" w:ascii="Times New Roman" w:hAnsi="Times New Roman" w:cs="Times New Roman"/>
        </w:rPr>
        <w:t>种植土厚度约</w:t>
      </w:r>
      <w:r>
        <w:rPr>
          <w:rFonts w:hint="eastAsia" w:cs="Times New Roman"/>
          <w:lang w:val="en-US" w:eastAsia="zh-CN"/>
        </w:rPr>
        <w:t>10~20</w:t>
      </w:r>
      <w:r>
        <w:rPr>
          <w:rFonts w:hint="default" w:ascii="Times New Roman" w:hAnsi="Times New Roman" w:cs="Times New Roman"/>
        </w:rPr>
        <w:t>cm</w:t>
      </w:r>
      <w:r>
        <w:rPr>
          <w:rFonts w:hint="eastAsia" w:cs="Times New Roman"/>
          <w:lang w:eastAsia="zh-CN"/>
        </w:rPr>
        <w:t>，</w:t>
      </w:r>
      <w:r>
        <w:rPr>
          <w:rFonts w:hint="eastAsia" w:cs="Times New Roman"/>
          <w:lang w:val="en-US" w:eastAsia="zh-CN"/>
        </w:rPr>
        <w:t>可剥离面积为1.28hm</w:t>
      </w:r>
      <w:r>
        <w:rPr>
          <w:rFonts w:hint="eastAsia" w:cs="Times New Roman"/>
          <w:vertAlign w:val="superscript"/>
          <w:lang w:val="en-US" w:eastAsia="zh-CN"/>
        </w:rPr>
        <w:t>2</w:t>
      </w:r>
      <w:r>
        <w:rPr>
          <w:rFonts w:hint="eastAsia" w:cs="Times New Roman"/>
          <w:lang w:val="en-US" w:eastAsia="zh-CN"/>
        </w:rPr>
        <w:t>，</w:t>
      </w:r>
      <w:r>
        <w:rPr>
          <w:rFonts w:hint="default" w:ascii="Times New Roman" w:hAnsi="Times New Roman" w:cs="Times New Roman"/>
        </w:rPr>
        <w:t>本项目进行剥离收集保护，用于后期绿化覆土。</w:t>
      </w:r>
    </w:p>
    <w:p w14:paraId="1F10ABFC">
      <w:pPr>
        <w:pStyle w:val="93"/>
        <w:rPr>
          <w:rFonts w:hint="default" w:ascii="Times New Roman" w:hAnsi="Times New Roman" w:cs="Times New Roman"/>
        </w:rPr>
      </w:pPr>
      <w:r>
        <w:rPr>
          <w:rFonts w:hint="default" w:ascii="Times New Roman" w:hAnsi="Times New Roman" w:cs="Times New Roman"/>
        </w:rPr>
        <w:t>本项目未涉及饮用水水源保护区、生态红线、基本农田保护区、水功能一级区的保护区和保留区、自然保护区、世界文化和自然遗产地、地质公园、森林公园和重要湿地。本项目用地的地质较好，没有需要保留的建筑、水体和古树。</w:t>
      </w:r>
    </w:p>
    <w:p w14:paraId="7192F1C4">
      <w:pPr>
        <w:ind w:firstLine="480"/>
        <w:rPr>
          <w:rFonts w:hint="default" w:ascii="Times New Roman" w:hAnsi="Times New Roman" w:cs="Times New Roman"/>
        </w:rPr>
      </w:pPr>
      <w:r>
        <w:rPr>
          <w:rFonts w:hint="default" w:ascii="Times New Roman" w:hAnsi="Times New Roman" w:cs="Times New Roman"/>
        </w:rPr>
        <w:t>根据水利部办公厅印发《全国水土保持规划国家级水土流失重点预防区和重点治理区复核划分成果》的通知（办水保〔2013〕188号）、《云南省水利厅关于划分省级水土流失重点预防区和重点治理区的公告》（云南省水利厅公告第49号）和《曲靖市水土保持规划》（2019-2030年），项目所在地会泽县</w:t>
      </w:r>
      <w:r>
        <w:rPr>
          <w:rFonts w:hint="eastAsia" w:cs="Times New Roman"/>
          <w:lang w:val="en-US" w:eastAsia="zh-CN"/>
        </w:rPr>
        <w:t>待补镇属于</w:t>
      </w:r>
      <w:r>
        <w:rPr>
          <w:rFonts w:hint="default" w:ascii="Times New Roman" w:hAnsi="Times New Roman" w:cs="Times New Roman"/>
          <w:lang w:val="en-US" w:eastAsia="zh-CN"/>
        </w:rPr>
        <w:t>金沙江下游国家级水土流失重点治理区</w:t>
      </w:r>
      <w:r>
        <w:rPr>
          <w:rFonts w:hint="default" w:ascii="Times New Roman" w:hAnsi="Times New Roman" w:cs="Times New Roman"/>
        </w:rPr>
        <w:t>。</w:t>
      </w:r>
    </w:p>
    <w:p w14:paraId="44284F59">
      <w:pPr>
        <w:pStyle w:val="3"/>
        <w:rPr>
          <w:rFonts w:hint="default" w:ascii="Times New Roman" w:hAnsi="Times New Roman" w:cs="Times New Roman"/>
        </w:rPr>
      </w:pPr>
      <w:bookmarkStart w:id="10" w:name="_Toc165223553"/>
      <w:r>
        <w:rPr>
          <w:rFonts w:hint="default" w:ascii="Times New Roman" w:hAnsi="Times New Roman" w:cs="Times New Roman"/>
        </w:rPr>
        <w:t>编制依据</w:t>
      </w:r>
      <w:bookmarkEnd w:id="10"/>
    </w:p>
    <w:p w14:paraId="7FB9208B">
      <w:pPr>
        <w:pStyle w:val="4"/>
        <w:rPr>
          <w:rFonts w:hint="default" w:ascii="Times New Roman" w:hAnsi="Times New Roman" w:cs="Times New Roman"/>
        </w:rPr>
      </w:pPr>
      <w:r>
        <w:rPr>
          <w:rFonts w:hint="default" w:ascii="Times New Roman" w:hAnsi="Times New Roman" w:cs="Times New Roman"/>
        </w:rPr>
        <w:t>法律法规</w:t>
      </w:r>
    </w:p>
    <w:p w14:paraId="7734851F">
      <w:pPr>
        <w:ind w:firstLine="480"/>
        <w:rPr>
          <w:rFonts w:hint="default" w:ascii="Times New Roman" w:hAnsi="Times New Roman" w:cs="Times New Roman"/>
          <w:kern w:val="0"/>
        </w:rPr>
      </w:pPr>
      <w:r>
        <w:rPr>
          <w:rFonts w:hint="default" w:ascii="Times New Roman" w:hAnsi="Times New Roman" w:cs="Times New Roman"/>
          <w:kern w:val="0"/>
        </w:rPr>
        <w:t>（1）《中华人民共和国水土保持法》（1991年6月29日通过，2010年12月25日修订，2011年3月1日实施）；</w:t>
      </w:r>
    </w:p>
    <w:p w14:paraId="0543056F">
      <w:pPr>
        <w:ind w:firstLine="480"/>
        <w:rPr>
          <w:rFonts w:hint="default" w:ascii="Times New Roman" w:hAnsi="Times New Roman" w:cs="Times New Roman"/>
          <w:kern w:val="0"/>
        </w:rPr>
      </w:pPr>
      <w:r>
        <w:rPr>
          <w:rFonts w:hint="default" w:ascii="Times New Roman" w:hAnsi="Times New Roman" w:cs="Times New Roman"/>
          <w:kern w:val="0"/>
        </w:rPr>
        <w:t>（2）《中华人民共和国水土保持法实施条例》（国务院第588号令，2011年1月8日修订）；</w:t>
      </w:r>
    </w:p>
    <w:p w14:paraId="2A0AF150">
      <w:pPr>
        <w:ind w:firstLine="480"/>
        <w:rPr>
          <w:rFonts w:hint="default" w:ascii="Times New Roman" w:hAnsi="Times New Roman" w:cs="Times New Roman"/>
          <w:kern w:val="0"/>
        </w:rPr>
      </w:pPr>
      <w:r>
        <w:rPr>
          <w:rFonts w:hint="default" w:ascii="Times New Roman" w:hAnsi="Times New Roman" w:cs="Times New Roman"/>
          <w:kern w:val="0"/>
        </w:rPr>
        <w:t>（3）《中华人民共和国水法》（2016年7月2日修订）；</w:t>
      </w:r>
    </w:p>
    <w:p w14:paraId="0A22B246">
      <w:pPr>
        <w:ind w:firstLine="480"/>
        <w:rPr>
          <w:rFonts w:hint="default" w:ascii="Times New Roman" w:hAnsi="Times New Roman" w:cs="Times New Roman"/>
          <w:kern w:val="0"/>
        </w:rPr>
      </w:pPr>
      <w:r>
        <w:rPr>
          <w:rFonts w:hint="default" w:ascii="Times New Roman" w:hAnsi="Times New Roman" w:cs="Times New Roman"/>
          <w:kern w:val="0"/>
        </w:rPr>
        <w:t>（4）</w:t>
      </w:r>
      <w:r>
        <w:rPr>
          <w:rFonts w:hint="eastAsia" w:cs="Times New Roman"/>
          <w:kern w:val="0"/>
          <w:lang w:eastAsia="zh-CN"/>
        </w:rPr>
        <w:t>《云南省水土保持条例》</w:t>
      </w:r>
      <w:r>
        <w:rPr>
          <w:rFonts w:hint="default" w:ascii="Times New Roman" w:hAnsi="Times New Roman" w:cs="Times New Roman"/>
          <w:kern w:val="0"/>
        </w:rPr>
        <w:t>（云南省第十二届人民代表大会常务委员会第十次会议于2014年7月27日审议通过，自2014年10月1日起施行，2018年修正）；</w:t>
      </w:r>
    </w:p>
    <w:p w14:paraId="29B578DC">
      <w:pPr>
        <w:ind w:firstLine="480"/>
        <w:rPr>
          <w:rFonts w:hint="default" w:ascii="Times New Roman" w:hAnsi="Times New Roman" w:cs="Times New Roman"/>
          <w:kern w:val="0"/>
        </w:rPr>
      </w:pPr>
      <w:r>
        <w:rPr>
          <w:rFonts w:hint="default" w:ascii="Times New Roman" w:hAnsi="Times New Roman" w:cs="Times New Roman"/>
          <w:kern w:val="0"/>
        </w:rPr>
        <w:t>（5）《中华人民共和国行政许可法》（2019年4月23日第十三届全国人民代表大会常务委员会第十次会议修正，2020年04月17日发布）。</w:t>
      </w:r>
    </w:p>
    <w:p w14:paraId="70DACA56">
      <w:pPr>
        <w:pStyle w:val="4"/>
        <w:rPr>
          <w:rFonts w:hint="default" w:ascii="Times New Roman" w:hAnsi="Times New Roman" w:cs="Times New Roman"/>
        </w:rPr>
      </w:pPr>
      <w:r>
        <w:rPr>
          <w:rFonts w:hint="default" w:ascii="Times New Roman" w:hAnsi="Times New Roman" w:cs="Times New Roman"/>
        </w:rPr>
        <w:t>部委规章</w:t>
      </w:r>
    </w:p>
    <w:p w14:paraId="32FB437F">
      <w:pPr>
        <w:ind w:firstLine="480"/>
        <w:rPr>
          <w:rFonts w:hint="default" w:ascii="Times New Roman" w:hAnsi="Times New Roman" w:cs="Times New Roman"/>
          <w:kern w:val="0"/>
        </w:rPr>
      </w:pPr>
      <w:r>
        <w:rPr>
          <w:rFonts w:hint="default" w:ascii="Times New Roman" w:hAnsi="Times New Roman" w:cs="Times New Roman"/>
          <w:kern w:val="0"/>
        </w:rPr>
        <w:t>（1）《开发建设项目水土保持方案编报审批管理规定》（水利部第49号令2017年12月22日第二次修改）；</w:t>
      </w:r>
    </w:p>
    <w:p w14:paraId="028919FC">
      <w:pPr>
        <w:ind w:firstLine="480"/>
        <w:rPr>
          <w:rFonts w:hint="default" w:ascii="Times New Roman" w:hAnsi="Times New Roman" w:cs="Times New Roman"/>
          <w:kern w:val="0"/>
        </w:rPr>
      </w:pPr>
      <w:r>
        <w:rPr>
          <w:rFonts w:hint="default" w:ascii="Times New Roman" w:hAnsi="Times New Roman" w:cs="Times New Roman"/>
          <w:kern w:val="0"/>
        </w:rPr>
        <w:t>（2）《水土保持生态环境监测网络管理办法》（水利部2000年第12号令，2000年1月31日）；</w:t>
      </w:r>
    </w:p>
    <w:p w14:paraId="65CCD996">
      <w:pPr>
        <w:ind w:firstLine="480"/>
        <w:rPr>
          <w:rFonts w:hint="default" w:ascii="Times New Roman" w:hAnsi="Times New Roman" w:cs="Times New Roman"/>
          <w:kern w:val="0"/>
        </w:rPr>
      </w:pPr>
      <w:r>
        <w:rPr>
          <w:rFonts w:hint="default" w:ascii="Times New Roman" w:hAnsi="Times New Roman" w:cs="Times New Roman"/>
          <w:kern w:val="0"/>
        </w:rPr>
        <w:t>（3）《企业投资项目核准和备案管理条例》（2016年12月14日发布，2017年2月1日施行）国务院令第673号；</w:t>
      </w:r>
    </w:p>
    <w:p w14:paraId="03267D70">
      <w:pPr>
        <w:ind w:firstLine="480"/>
        <w:rPr>
          <w:rFonts w:hint="eastAsia" w:ascii="Times New Roman" w:hAnsi="Times New Roman" w:eastAsia="仿宋_GB2312" w:cs="Times New Roman"/>
          <w:kern w:val="0"/>
          <w:lang w:eastAsia="zh-CN"/>
        </w:rPr>
      </w:pPr>
      <w:r>
        <w:rPr>
          <w:rFonts w:hint="default" w:ascii="Times New Roman" w:hAnsi="Times New Roman" w:cs="Times New Roman"/>
          <w:kern w:val="0"/>
        </w:rPr>
        <w:t>（4）水利部关于进一步深化“放管服”改革全面加强水土保持监管的意见（水保〔2019〕160号文）</w:t>
      </w:r>
      <w:r>
        <w:rPr>
          <w:rFonts w:hint="eastAsia" w:cs="Times New Roman"/>
          <w:kern w:val="0"/>
          <w:lang w:eastAsia="zh-CN"/>
        </w:rPr>
        <w:t>；</w:t>
      </w:r>
    </w:p>
    <w:p w14:paraId="65AB9952">
      <w:pPr>
        <w:pStyle w:val="109"/>
        <w:ind w:firstLine="480"/>
        <w:rPr>
          <w:rFonts w:hint="eastAsia" w:eastAsia="仿宋_GB2312"/>
          <w:szCs w:val="24"/>
          <w:lang w:eastAsia="zh-CN"/>
        </w:rPr>
      </w:pPr>
      <w:r>
        <w:rPr>
          <w:rFonts w:hint="eastAsia"/>
          <w:lang w:eastAsia="zh-CN"/>
        </w:rPr>
        <w:t>（</w:t>
      </w:r>
      <w:r>
        <w:rPr>
          <w:rFonts w:hint="eastAsia"/>
          <w:lang w:val="en-US" w:eastAsia="zh-CN"/>
        </w:rPr>
        <w:t>5</w:t>
      </w:r>
      <w:r>
        <w:rPr>
          <w:rFonts w:hint="eastAsia"/>
          <w:lang w:eastAsia="zh-CN"/>
        </w:rPr>
        <w:t>）</w:t>
      </w:r>
      <w:r>
        <w:t>《生产建设项目水土保持方案管理办法》（</w:t>
      </w:r>
      <w:r>
        <w:rPr>
          <w:rFonts w:eastAsia="仿宋"/>
        </w:rPr>
        <w:t>2023</w:t>
      </w:r>
      <w:r>
        <w:rPr>
          <w:rFonts w:ascii="仿宋" w:hAnsi="仿宋" w:eastAsia="仿宋"/>
        </w:rPr>
        <w:t>年</w:t>
      </w:r>
      <w:r>
        <w:t>1</w:t>
      </w:r>
      <w:r>
        <w:rPr>
          <w:rFonts w:ascii="仿宋" w:hAnsi="仿宋" w:eastAsia="仿宋"/>
        </w:rPr>
        <w:t>月</w:t>
      </w:r>
      <w:r>
        <w:t>17</w:t>
      </w:r>
      <w:r>
        <w:rPr>
          <w:rFonts w:ascii="仿宋" w:hAnsi="仿宋" w:eastAsia="仿宋"/>
        </w:rPr>
        <w:t>日水利部令第</w:t>
      </w:r>
      <w:r>
        <w:t>53</w:t>
      </w:r>
      <w:r>
        <w:rPr>
          <w:rFonts w:ascii="仿宋" w:hAnsi="仿宋" w:eastAsia="仿宋"/>
        </w:rPr>
        <w:t>号发布</w:t>
      </w:r>
      <w:r>
        <w:t>）</w:t>
      </w:r>
      <w:r>
        <w:rPr>
          <w:rFonts w:hint="eastAsia"/>
          <w:lang w:eastAsia="zh-CN"/>
        </w:rPr>
        <w:t>。</w:t>
      </w:r>
    </w:p>
    <w:p w14:paraId="00232679">
      <w:pPr>
        <w:pStyle w:val="4"/>
        <w:rPr>
          <w:rFonts w:hint="default" w:ascii="Times New Roman" w:hAnsi="Times New Roman" w:cs="Times New Roman"/>
        </w:rPr>
      </w:pPr>
      <w:r>
        <w:rPr>
          <w:rFonts w:hint="default" w:ascii="Times New Roman" w:hAnsi="Times New Roman" w:cs="Times New Roman"/>
        </w:rPr>
        <w:t>规范性文件</w:t>
      </w:r>
    </w:p>
    <w:p w14:paraId="412333EC">
      <w:pPr>
        <w:pStyle w:val="5"/>
        <w:rPr>
          <w:rFonts w:hint="default" w:ascii="Times New Roman" w:hAnsi="Times New Roman" w:cs="Times New Roman"/>
        </w:rPr>
      </w:pPr>
      <w:r>
        <w:rPr>
          <w:rFonts w:hint="default" w:ascii="Times New Roman" w:hAnsi="Times New Roman" w:cs="Times New Roman"/>
        </w:rPr>
        <w:t>部级文件</w:t>
      </w:r>
    </w:p>
    <w:p w14:paraId="78A0423E">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（1）《水利部关于加强水土保持监测的通知》（水保〔2017〕36号）；</w:t>
      </w:r>
    </w:p>
    <w:p w14:paraId="6D976668">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（2）《水土保持补偿费征收使用管理办法的通知》（财综〔2014〕8号，2014年5月1日起实施）；</w:t>
      </w:r>
    </w:p>
    <w:p w14:paraId="68E6D41D">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（3）水利部办公厅文件《关于印发&lt;生产建设项目水土保持监测规程（试行）&gt;的通知》（办水保〔2015〕139号）；</w:t>
      </w:r>
    </w:p>
    <w:p w14:paraId="08F5C9C0">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（4）水利部办公厅关于印发《水利部生产建设项目水土保持方案变更管理规定（试行）》的通知（办水保〔2016〕65号）；</w:t>
      </w:r>
    </w:p>
    <w:p w14:paraId="4542D18D">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（5）水利部办公厅关于印发《生产建设项目水土保持信息化监管技术规定（试行）》的通知（办水保〔2018〕17号）；</w:t>
      </w:r>
    </w:p>
    <w:p w14:paraId="50FC53D7">
      <w:pPr>
        <w:ind w:firstLine="480"/>
        <w:rPr>
          <w:rFonts w:hint="default" w:ascii="Times New Roman" w:hAnsi="Times New Roman" w:cs="Times New Roman"/>
          <w:kern w:val="0"/>
        </w:rPr>
      </w:pPr>
      <w:r>
        <w:rPr>
          <w:rFonts w:hint="default" w:ascii="Times New Roman" w:hAnsi="Times New Roman" w:cs="Times New Roman"/>
          <w:kern w:val="0"/>
        </w:rPr>
        <w:t>（6）水利部办公厅关于印发《生产建设项目水土保持技术文件编写和印制格式规定（试行）的通知》（办水保〔2018〕135号）；</w:t>
      </w:r>
    </w:p>
    <w:p w14:paraId="5368FFC0">
      <w:pPr>
        <w:ind w:firstLine="480"/>
        <w:rPr>
          <w:rFonts w:hint="default" w:ascii="Times New Roman" w:hAnsi="Times New Roman" w:cs="Times New Roman"/>
          <w:kern w:val="0"/>
        </w:rPr>
      </w:pPr>
      <w:r>
        <w:rPr>
          <w:rFonts w:hint="default" w:ascii="Times New Roman" w:hAnsi="Times New Roman" w:cs="Times New Roman"/>
          <w:kern w:val="0"/>
        </w:rPr>
        <w:t>（7）水利部关于《加强事中事后监管规范生产建设项目水土保持设施自主验收的通知》（水保〔2017〕365号文）；</w:t>
      </w:r>
    </w:p>
    <w:p w14:paraId="69D18798">
      <w:pPr>
        <w:ind w:firstLine="480"/>
        <w:rPr>
          <w:rFonts w:hint="default" w:ascii="Times New Roman" w:hAnsi="Times New Roman" w:cs="Times New Roman"/>
          <w:kern w:val="0"/>
        </w:rPr>
      </w:pPr>
      <w:r>
        <w:rPr>
          <w:rFonts w:hint="default" w:ascii="Times New Roman" w:hAnsi="Times New Roman" w:cs="Times New Roman"/>
          <w:kern w:val="0"/>
        </w:rPr>
        <w:t>（8）水利部办公厅《关于印发生产建设项目水土保持监督管理办法的通知》（办水保〔2019〕172号）；</w:t>
      </w:r>
    </w:p>
    <w:p w14:paraId="64B81848">
      <w:pPr>
        <w:ind w:firstLine="480"/>
        <w:rPr>
          <w:rFonts w:hint="default" w:ascii="Times New Roman" w:hAnsi="Times New Roman" w:cs="Times New Roman"/>
          <w:kern w:val="0"/>
        </w:rPr>
      </w:pPr>
      <w:r>
        <w:rPr>
          <w:rFonts w:hint="default" w:ascii="Times New Roman" w:hAnsi="Times New Roman" w:cs="Times New Roman"/>
          <w:kern w:val="0"/>
        </w:rPr>
        <w:t>（9）水利部水土保持监测中心《关于印发&lt;生产建设项目水土保持方案技术审查要点&gt;的通知》（水保监〔2020〕63号）。</w:t>
      </w:r>
    </w:p>
    <w:p w14:paraId="197BD726">
      <w:pPr>
        <w:pStyle w:val="5"/>
        <w:rPr>
          <w:rFonts w:hint="default" w:ascii="Times New Roman" w:hAnsi="Times New Roman" w:cs="Times New Roman"/>
        </w:rPr>
      </w:pPr>
      <w:r>
        <w:rPr>
          <w:rFonts w:hint="default" w:ascii="Times New Roman" w:hAnsi="Times New Roman" w:cs="Times New Roman"/>
        </w:rPr>
        <w:t>省、市级文件</w:t>
      </w:r>
    </w:p>
    <w:p w14:paraId="0803CE5B">
      <w:pPr>
        <w:adjustRightInd w:val="0"/>
        <w:snapToGrid w:val="0"/>
        <w:ind w:firstLine="480"/>
        <w:rPr>
          <w:rFonts w:hint="default" w:ascii="Times New Roman" w:hAnsi="Times New Roman" w:cs="Times New Roman"/>
          <w:kern w:val="0"/>
          <w:lang w:val="zh-CN"/>
        </w:rPr>
      </w:pPr>
      <w:bookmarkStart w:id="11" w:name="_Hlk42761958"/>
      <w:r>
        <w:rPr>
          <w:rFonts w:hint="default" w:ascii="Times New Roman" w:hAnsi="Times New Roman" w:cs="Times New Roman"/>
          <w:kern w:val="0"/>
          <w:lang w:val="zh-CN"/>
        </w:rPr>
        <w:t>（1）《云南省水利厅关于印发云南省开发建设项目水土保持监测设计与实施计划编制提纲（试行）的通知》（云水保监〔2009〕1号）；</w:t>
      </w:r>
    </w:p>
    <w:p w14:paraId="4B710A35">
      <w:pPr>
        <w:wordWrap w:val="0"/>
        <w:adjustRightInd w:val="0"/>
        <w:snapToGrid w:val="0"/>
        <w:ind w:firstLine="480"/>
        <w:rPr>
          <w:rFonts w:hint="default" w:ascii="Times New Roman" w:hAnsi="Times New Roman" w:cs="Times New Roman"/>
          <w:kern w:val="0"/>
          <w:lang w:val="zh-CN"/>
        </w:rPr>
      </w:pPr>
      <w:r>
        <w:rPr>
          <w:rFonts w:hint="default" w:ascii="Times New Roman" w:hAnsi="Times New Roman" w:cs="Times New Roman"/>
          <w:kern w:val="0"/>
          <w:lang w:val="zh-CN"/>
        </w:rPr>
        <w:t>（2）《云南省水利厅关于印发云南省开发建设项目水土保持监测分类管理目录的通知》（云水保监〔2009〕3号，2009年6月1日）；</w:t>
      </w:r>
    </w:p>
    <w:p w14:paraId="4F851F43">
      <w:pPr>
        <w:wordWrap w:val="0"/>
        <w:adjustRightInd w:val="0"/>
        <w:snapToGrid w:val="0"/>
        <w:ind w:firstLine="480"/>
        <w:rPr>
          <w:rFonts w:hint="default" w:ascii="Times New Roman" w:hAnsi="Times New Roman" w:cs="Times New Roman"/>
          <w:kern w:val="0"/>
          <w:lang w:val="zh-CN"/>
        </w:rPr>
      </w:pPr>
      <w:r>
        <w:rPr>
          <w:rFonts w:hint="default" w:ascii="Times New Roman" w:hAnsi="Times New Roman" w:cs="Times New Roman"/>
          <w:kern w:val="0"/>
          <w:lang w:val="zh-CN"/>
        </w:rPr>
        <w:t>（</w:t>
      </w:r>
      <w:r>
        <w:rPr>
          <w:rFonts w:hint="default" w:ascii="Times New Roman" w:hAnsi="Times New Roman" w:cs="Times New Roman"/>
          <w:kern w:val="0"/>
        </w:rPr>
        <w:t>3</w:t>
      </w:r>
      <w:r>
        <w:rPr>
          <w:rFonts w:hint="default" w:ascii="Times New Roman" w:hAnsi="Times New Roman" w:cs="Times New Roman"/>
          <w:kern w:val="0"/>
          <w:lang w:val="zh-CN"/>
        </w:rPr>
        <w:t>）《云南省水利厅关于进一步加强省级生产建设项目水土保持方案变更管理的通知》（云水保〔2016〕49号）；</w:t>
      </w:r>
    </w:p>
    <w:p w14:paraId="1B9BE693">
      <w:pPr>
        <w:wordWrap w:val="0"/>
        <w:adjustRightInd w:val="0"/>
        <w:snapToGrid w:val="0"/>
        <w:ind w:firstLine="480"/>
        <w:rPr>
          <w:rFonts w:hint="default" w:ascii="Times New Roman" w:hAnsi="Times New Roman" w:cs="Times New Roman"/>
          <w:kern w:val="0"/>
          <w:lang w:val="zh-CN"/>
        </w:rPr>
      </w:pPr>
      <w:r>
        <w:rPr>
          <w:rFonts w:hint="default" w:ascii="Times New Roman" w:hAnsi="Times New Roman" w:cs="Times New Roman"/>
          <w:kern w:val="0"/>
          <w:lang w:val="zh-CN"/>
        </w:rPr>
        <w:t>（</w:t>
      </w:r>
      <w:r>
        <w:rPr>
          <w:rFonts w:hint="default" w:ascii="Times New Roman" w:hAnsi="Times New Roman" w:cs="Times New Roman"/>
          <w:kern w:val="0"/>
        </w:rPr>
        <w:t>4</w:t>
      </w:r>
      <w:r>
        <w:rPr>
          <w:rFonts w:hint="default" w:ascii="Times New Roman" w:hAnsi="Times New Roman" w:cs="Times New Roman"/>
          <w:kern w:val="0"/>
          <w:lang w:val="zh-CN"/>
        </w:rPr>
        <w:t>）《云南省水利厅关于划分省级水土流失重点预防区和重点治理区的公告》（云南省水利厅公告第49号，2017年8月30日）；</w:t>
      </w:r>
    </w:p>
    <w:p w14:paraId="0F270E77">
      <w:pPr>
        <w:wordWrap w:val="0"/>
        <w:adjustRightInd w:val="0"/>
        <w:snapToGrid w:val="0"/>
        <w:ind w:firstLine="480"/>
        <w:rPr>
          <w:rFonts w:hint="default" w:ascii="Times New Roman" w:hAnsi="Times New Roman" w:cs="Times New Roman"/>
          <w:kern w:val="0"/>
          <w:lang w:val="zh-CN"/>
        </w:rPr>
      </w:pPr>
      <w:r>
        <w:rPr>
          <w:rFonts w:hint="default" w:ascii="Times New Roman" w:hAnsi="Times New Roman" w:cs="Times New Roman"/>
          <w:kern w:val="0"/>
          <w:lang w:val="zh-CN"/>
        </w:rPr>
        <w:t>（</w:t>
      </w:r>
      <w:r>
        <w:rPr>
          <w:rFonts w:hint="default" w:ascii="Times New Roman" w:hAnsi="Times New Roman" w:cs="Times New Roman"/>
          <w:kern w:val="0"/>
        </w:rPr>
        <w:t>5</w:t>
      </w:r>
      <w:r>
        <w:rPr>
          <w:rFonts w:hint="default" w:ascii="Times New Roman" w:hAnsi="Times New Roman" w:cs="Times New Roman"/>
          <w:kern w:val="0"/>
          <w:lang w:val="zh-CN"/>
        </w:rPr>
        <w:t>）《云南省物价局 云南省财政厅、云南省水利厅关于水土保持补偿费收费标准的通知》（云价收费〔2017〕113号，2017年9月20日）；</w:t>
      </w:r>
    </w:p>
    <w:p w14:paraId="721F8282">
      <w:pPr>
        <w:wordWrap w:val="0"/>
        <w:adjustRightInd w:val="0"/>
        <w:snapToGrid w:val="0"/>
        <w:ind w:firstLine="480"/>
        <w:rPr>
          <w:rFonts w:hint="default" w:ascii="Times New Roman" w:hAnsi="Times New Roman" w:cs="Times New Roman"/>
          <w:kern w:val="0"/>
          <w:lang w:val="zh-CN"/>
        </w:rPr>
      </w:pPr>
      <w:r>
        <w:rPr>
          <w:rFonts w:hint="default" w:ascii="Times New Roman" w:hAnsi="Times New Roman" w:cs="Times New Roman"/>
          <w:kern w:val="0"/>
          <w:lang w:val="zh-CN"/>
        </w:rPr>
        <w:t>（</w:t>
      </w:r>
      <w:r>
        <w:rPr>
          <w:rFonts w:hint="default" w:ascii="Times New Roman" w:hAnsi="Times New Roman" w:cs="Times New Roman"/>
          <w:kern w:val="0"/>
        </w:rPr>
        <w:t>6</w:t>
      </w:r>
      <w:r>
        <w:rPr>
          <w:rFonts w:hint="default" w:ascii="Times New Roman" w:hAnsi="Times New Roman" w:cs="Times New Roman"/>
          <w:kern w:val="0"/>
          <w:lang w:val="zh-CN"/>
        </w:rPr>
        <w:t>）《云南省水利厅转发水利部关于加强事中事后监管规范生产建设项目水土保持设施自主验收文件的通知》（云水保〔2017〕97号，2017年11月20日）；</w:t>
      </w:r>
    </w:p>
    <w:p w14:paraId="4742DB5A">
      <w:pPr>
        <w:adjustRightInd w:val="0"/>
        <w:snapToGrid w:val="0"/>
        <w:ind w:firstLine="480"/>
        <w:rPr>
          <w:rFonts w:hint="default" w:ascii="Times New Roman" w:hAnsi="Times New Roman" w:cs="Times New Roman"/>
        </w:rPr>
      </w:pPr>
      <w:r>
        <w:rPr>
          <w:rFonts w:hint="default" w:ascii="Times New Roman" w:hAnsi="Times New Roman" w:cs="Times New Roman"/>
        </w:rPr>
        <w:t>（7）《云南省水利厅 云南省发展和改革委员会关于调整云南省水利工程计价依据有关税率及系数的通知》（云水规计〔2019〕46号）；</w:t>
      </w:r>
    </w:p>
    <w:p w14:paraId="56F8FA3F">
      <w:pPr>
        <w:ind w:firstLine="480"/>
        <w:rPr>
          <w:rFonts w:hint="default" w:ascii="Times New Roman" w:hAnsi="Times New Roman" w:cs="Times New Roman"/>
          <w:kern w:val="0"/>
          <w:szCs w:val="28"/>
        </w:rPr>
      </w:pPr>
      <w:r>
        <w:rPr>
          <w:rFonts w:hint="default" w:ascii="Times New Roman" w:hAnsi="Times New Roman" w:cs="Times New Roman"/>
        </w:rPr>
        <w:t>（8）《云南省主体功能区划》（云政发〔2014〕1号）。</w:t>
      </w:r>
    </w:p>
    <w:bookmarkEnd w:id="11"/>
    <w:p w14:paraId="1440842B">
      <w:pPr>
        <w:pStyle w:val="4"/>
        <w:rPr>
          <w:rFonts w:hint="default" w:ascii="Times New Roman" w:hAnsi="Times New Roman" w:cs="Times New Roman"/>
        </w:rPr>
      </w:pPr>
      <w:r>
        <w:rPr>
          <w:rFonts w:hint="default" w:ascii="Times New Roman" w:hAnsi="Times New Roman" w:cs="Times New Roman"/>
        </w:rPr>
        <w:t>规范与标准</w:t>
      </w:r>
    </w:p>
    <w:p w14:paraId="0BF17D5A">
      <w:pPr>
        <w:ind w:firstLine="480"/>
        <w:rPr>
          <w:rFonts w:hint="default" w:ascii="Times New Roman" w:hAnsi="Times New Roman" w:cs="Times New Roman"/>
          <w:kern w:val="0"/>
        </w:rPr>
      </w:pPr>
      <w:r>
        <w:rPr>
          <w:rFonts w:hint="default" w:ascii="Times New Roman" w:hAnsi="Times New Roman" w:cs="Times New Roman"/>
          <w:kern w:val="0"/>
        </w:rPr>
        <w:t>（1）《生产建设项目水土保持技术标准》（GB 50433-2018）；</w:t>
      </w:r>
    </w:p>
    <w:p w14:paraId="5AD7B574">
      <w:pPr>
        <w:ind w:firstLine="480"/>
        <w:rPr>
          <w:rFonts w:hint="default" w:ascii="Times New Roman" w:hAnsi="Times New Roman" w:cs="Times New Roman"/>
          <w:kern w:val="0"/>
        </w:rPr>
      </w:pPr>
      <w:r>
        <w:rPr>
          <w:rFonts w:hint="default" w:ascii="Times New Roman" w:hAnsi="Times New Roman" w:cs="Times New Roman"/>
          <w:kern w:val="0"/>
        </w:rPr>
        <w:t>（2）《生产建设项目水土流失防治标准》（GB/T 50434-2018）；</w:t>
      </w:r>
    </w:p>
    <w:p w14:paraId="10A29D85">
      <w:pPr>
        <w:ind w:firstLine="480"/>
        <w:rPr>
          <w:rFonts w:hint="default" w:ascii="Times New Roman" w:hAnsi="Times New Roman" w:cs="Times New Roman"/>
          <w:kern w:val="0"/>
        </w:rPr>
      </w:pPr>
      <w:r>
        <w:rPr>
          <w:rFonts w:hint="default" w:ascii="Times New Roman" w:hAnsi="Times New Roman" w:cs="Times New Roman"/>
          <w:kern w:val="0"/>
        </w:rPr>
        <w:t>（3）《生产建设项目水土保持监测与评价标准》（GBT 51240-2018）；</w:t>
      </w:r>
    </w:p>
    <w:p w14:paraId="50C248DB">
      <w:pPr>
        <w:ind w:firstLine="480"/>
        <w:rPr>
          <w:rFonts w:hint="default" w:ascii="Times New Roman" w:hAnsi="Times New Roman" w:cs="Times New Roman"/>
          <w:kern w:val="0"/>
        </w:rPr>
      </w:pPr>
      <w:r>
        <w:rPr>
          <w:rFonts w:hint="default" w:ascii="Times New Roman" w:hAnsi="Times New Roman" w:cs="Times New Roman"/>
          <w:kern w:val="0"/>
        </w:rPr>
        <w:t>（4）《生产建设项目土壤流失量测算导则》（SL773-2018）；</w:t>
      </w:r>
    </w:p>
    <w:p w14:paraId="4367E3A8">
      <w:pPr>
        <w:ind w:firstLine="480"/>
        <w:rPr>
          <w:rFonts w:hint="default" w:ascii="Times New Roman" w:hAnsi="Times New Roman" w:cs="Times New Roman"/>
          <w:kern w:val="0"/>
        </w:rPr>
      </w:pPr>
      <w:r>
        <w:rPr>
          <w:rFonts w:hint="default" w:ascii="Times New Roman" w:hAnsi="Times New Roman" w:cs="Times New Roman"/>
          <w:kern w:val="0"/>
        </w:rPr>
        <w:t>（5）《土壤侵蚀分类分级标准》（SL190-2007）；</w:t>
      </w:r>
    </w:p>
    <w:p w14:paraId="370EAA56">
      <w:pPr>
        <w:ind w:firstLine="480"/>
        <w:rPr>
          <w:rFonts w:hint="default" w:ascii="Times New Roman" w:hAnsi="Times New Roman" w:cs="Times New Roman"/>
          <w:kern w:val="0"/>
        </w:rPr>
      </w:pPr>
      <w:r>
        <w:rPr>
          <w:rFonts w:hint="default" w:ascii="Times New Roman" w:hAnsi="Times New Roman" w:cs="Times New Roman"/>
          <w:kern w:val="0"/>
        </w:rPr>
        <w:t>（6）《水土保持工程设计规范》（GB51018-2014）；</w:t>
      </w:r>
    </w:p>
    <w:p w14:paraId="5F58FFF5">
      <w:pPr>
        <w:ind w:firstLine="480"/>
        <w:rPr>
          <w:rFonts w:hint="default" w:ascii="Times New Roman" w:hAnsi="Times New Roman" w:cs="Times New Roman"/>
          <w:kern w:val="0"/>
        </w:rPr>
      </w:pPr>
      <w:r>
        <w:rPr>
          <w:rFonts w:hint="default" w:ascii="Times New Roman" w:hAnsi="Times New Roman" w:cs="Times New Roman"/>
          <w:kern w:val="0"/>
        </w:rPr>
        <w:t>（7）《水利水电工程制图标准 水土保持图》（SL73.6－2015）；</w:t>
      </w:r>
    </w:p>
    <w:p w14:paraId="7205B098">
      <w:pPr>
        <w:ind w:firstLine="480"/>
        <w:rPr>
          <w:rFonts w:hint="default" w:ascii="Times New Roman" w:hAnsi="Times New Roman" w:cs="Times New Roman"/>
          <w:kern w:val="0"/>
        </w:rPr>
      </w:pPr>
      <w:r>
        <w:rPr>
          <w:rFonts w:hint="default" w:ascii="Times New Roman" w:hAnsi="Times New Roman" w:cs="Times New Roman"/>
          <w:kern w:val="0"/>
        </w:rPr>
        <w:t>（8）《防洪标准》（GB50201-2014）；</w:t>
      </w:r>
    </w:p>
    <w:p w14:paraId="4997BA1E">
      <w:pPr>
        <w:ind w:firstLine="480"/>
        <w:rPr>
          <w:rFonts w:hint="default" w:ascii="Times New Roman" w:hAnsi="Times New Roman" w:cs="Times New Roman"/>
          <w:kern w:val="0"/>
        </w:rPr>
      </w:pPr>
      <w:r>
        <w:rPr>
          <w:rFonts w:hint="default" w:ascii="Times New Roman" w:hAnsi="Times New Roman" w:cs="Times New Roman"/>
          <w:kern w:val="0"/>
        </w:rPr>
        <w:t>（9）水利部水总〔2003〕67号“关于颁发《水土保持工程概（估）算编制规定和定额》的通知”；</w:t>
      </w:r>
    </w:p>
    <w:p w14:paraId="6A4B3AD2">
      <w:pPr>
        <w:ind w:firstLine="480"/>
        <w:rPr>
          <w:rFonts w:hint="default" w:ascii="Times New Roman" w:hAnsi="Times New Roman" w:cs="Times New Roman"/>
          <w:kern w:val="0"/>
        </w:rPr>
      </w:pPr>
      <w:r>
        <w:rPr>
          <w:rFonts w:hint="default" w:ascii="Times New Roman" w:hAnsi="Times New Roman" w:cs="Times New Roman"/>
          <w:kern w:val="0"/>
        </w:rPr>
        <w:t>（10）《水土保持监测技术规程》（SL277-2002）；</w:t>
      </w:r>
    </w:p>
    <w:p w14:paraId="043FC0D7">
      <w:pPr>
        <w:ind w:firstLine="480"/>
        <w:rPr>
          <w:rFonts w:hint="default" w:ascii="Times New Roman" w:hAnsi="Times New Roman" w:cs="Times New Roman"/>
          <w:kern w:val="0"/>
        </w:rPr>
      </w:pPr>
      <w:r>
        <w:rPr>
          <w:rFonts w:hint="default" w:ascii="Times New Roman" w:hAnsi="Times New Roman" w:cs="Times New Roman"/>
          <w:kern w:val="0"/>
        </w:rPr>
        <w:t>（11）《生产建设项目水土保持监测规程（试行）》，（水利部办公厅2015年6月23日以办水保</w:t>
      </w:r>
      <w:r>
        <w:rPr>
          <w:rFonts w:hint="default" w:ascii="Times New Roman" w:hAnsi="Times New Roman" w:cs="Times New Roman"/>
        </w:rPr>
        <w:t>〔</w:t>
      </w:r>
      <w:r>
        <w:rPr>
          <w:rFonts w:hint="default" w:ascii="Times New Roman" w:hAnsi="Times New Roman" w:cs="Times New Roman"/>
          <w:kern w:val="0"/>
        </w:rPr>
        <w:t>2015</w:t>
      </w:r>
      <w:r>
        <w:rPr>
          <w:rFonts w:hint="default" w:ascii="Times New Roman" w:hAnsi="Times New Roman" w:cs="Times New Roman"/>
          <w:kern w:val="0"/>
          <w:lang w:val="zh-CN"/>
        </w:rPr>
        <w:t>〕</w:t>
      </w:r>
      <w:r>
        <w:rPr>
          <w:rFonts w:hint="default" w:ascii="Times New Roman" w:hAnsi="Times New Roman" w:cs="Times New Roman"/>
          <w:kern w:val="0"/>
        </w:rPr>
        <w:t>139号文）；</w:t>
      </w:r>
    </w:p>
    <w:p w14:paraId="185EBF16">
      <w:pPr>
        <w:ind w:firstLine="480"/>
        <w:rPr>
          <w:rFonts w:hint="default" w:ascii="Times New Roman" w:hAnsi="Times New Roman" w:cs="Times New Roman"/>
          <w:kern w:val="0"/>
        </w:rPr>
      </w:pPr>
      <w:r>
        <w:rPr>
          <w:rFonts w:hint="default" w:ascii="Times New Roman" w:hAnsi="Times New Roman" w:cs="Times New Roman"/>
          <w:kern w:val="0"/>
        </w:rPr>
        <w:t>（12）《土地利用现状分类》(GB/T21010-2017)；</w:t>
      </w:r>
    </w:p>
    <w:p w14:paraId="057E2171">
      <w:pPr>
        <w:ind w:firstLine="480"/>
        <w:rPr>
          <w:rFonts w:hint="default" w:ascii="Times New Roman" w:hAnsi="Times New Roman" w:cs="Times New Roman"/>
          <w:kern w:val="0"/>
        </w:rPr>
      </w:pPr>
      <w:r>
        <w:rPr>
          <w:rFonts w:hint="default" w:ascii="Times New Roman" w:hAnsi="Times New Roman" w:cs="Times New Roman"/>
          <w:kern w:val="0"/>
        </w:rPr>
        <w:t>（13）其他有关的设计规范及技术标准。</w:t>
      </w:r>
    </w:p>
    <w:p w14:paraId="168905DA">
      <w:pPr>
        <w:pStyle w:val="4"/>
        <w:rPr>
          <w:rFonts w:hint="default" w:ascii="Times New Roman" w:hAnsi="Times New Roman" w:cs="Times New Roman"/>
        </w:rPr>
      </w:pPr>
      <w:r>
        <w:rPr>
          <w:rFonts w:hint="default" w:ascii="Times New Roman" w:hAnsi="Times New Roman" w:cs="Times New Roman"/>
        </w:rPr>
        <w:t>其他技术文件及资料</w:t>
      </w:r>
    </w:p>
    <w:p w14:paraId="7F198F43">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SEQ 括号 \* ARABIC \s 4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）水土保持方案编制委托书（见附件1）；</w:t>
      </w:r>
    </w:p>
    <w:p w14:paraId="34A7F3ED">
      <w:pPr>
        <w:ind w:firstLine="480"/>
        <w:jc w:val="left"/>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待补镇安康安置点帮扶车间建设项目</w:t>
      </w:r>
      <w:r>
        <w:rPr>
          <w:rFonts w:hint="default" w:ascii="Times New Roman" w:hAnsi="Times New Roman" w:cs="Times New Roman"/>
        </w:rPr>
        <w:t>可行性研究报告》（</w:t>
      </w:r>
      <w:r>
        <w:rPr>
          <w:rFonts w:hint="eastAsia" w:cs="Times New Roman"/>
          <w:lang w:eastAsia="zh-CN"/>
        </w:rPr>
        <w:t>华森工程科技集团有限公司</w:t>
      </w:r>
      <w:r>
        <w:rPr>
          <w:rFonts w:hint="default" w:ascii="Times New Roman" w:hAnsi="Times New Roman" w:cs="Times New Roman"/>
        </w:rPr>
        <w:t>，</w:t>
      </w:r>
      <w:r>
        <w:rPr>
          <w:rFonts w:hint="eastAsia" w:cs="Times New Roman"/>
          <w:lang w:eastAsia="zh-CN"/>
        </w:rPr>
        <w:t>2024年4月</w:t>
      </w:r>
      <w:r>
        <w:rPr>
          <w:rFonts w:hint="default" w:ascii="Times New Roman" w:hAnsi="Times New Roman" w:cs="Times New Roman"/>
        </w:rPr>
        <w:t>）；</w:t>
      </w:r>
    </w:p>
    <w:p w14:paraId="0F7D4074">
      <w:pPr>
        <w:ind w:firstLine="480"/>
        <w:jc w:val="left"/>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w:t>
      </w:r>
      <w:r>
        <w:rPr>
          <w:rFonts w:hint="eastAsia" w:cs="Times New Roman"/>
          <w:lang w:eastAsia="zh-CN"/>
        </w:rPr>
        <w:t>待补镇安康安置点帮扶车间建设项目</w:t>
      </w:r>
      <w:r>
        <w:rPr>
          <w:rFonts w:hint="eastAsia" w:cs="Times New Roman"/>
          <w:lang w:val="en-US" w:eastAsia="zh-CN"/>
        </w:rPr>
        <w:t>施工图</w:t>
      </w:r>
      <w:r>
        <w:rPr>
          <w:rFonts w:hint="default" w:ascii="Times New Roman" w:hAnsi="Times New Roman" w:cs="Times New Roman"/>
        </w:rPr>
        <w:t>》（</w:t>
      </w:r>
      <w:r>
        <w:rPr>
          <w:rFonts w:hint="eastAsia" w:cs="Times New Roman"/>
          <w:lang w:eastAsia="zh-CN"/>
        </w:rPr>
        <w:t>中兴胜工程设计有限公司</w:t>
      </w:r>
      <w:r>
        <w:rPr>
          <w:rFonts w:hint="default" w:ascii="Times New Roman" w:hAnsi="Times New Roman" w:cs="Times New Roman"/>
        </w:rPr>
        <w:t>，</w:t>
      </w:r>
      <w:r>
        <w:rPr>
          <w:rFonts w:hint="eastAsia" w:cs="Times New Roman"/>
          <w:lang w:eastAsia="zh-CN"/>
        </w:rPr>
        <w:t>2024年</w:t>
      </w:r>
      <w:r>
        <w:rPr>
          <w:rFonts w:hint="eastAsia" w:cs="Times New Roman"/>
          <w:lang w:val="en-US" w:eastAsia="zh-CN"/>
        </w:rPr>
        <w:t>5</w:t>
      </w:r>
      <w:r>
        <w:rPr>
          <w:rFonts w:hint="eastAsia" w:cs="Times New Roman"/>
          <w:lang w:eastAsia="zh-CN"/>
        </w:rPr>
        <w:t>月</w:t>
      </w:r>
      <w:r>
        <w:rPr>
          <w:rFonts w:hint="default" w:ascii="Times New Roman" w:hAnsi="Times New Roman" w:cs="Times New Roman"/>
        </w:rPr>
        <w:t>）；</w:t>
      </w:r>
    </w:p>
    <w:p w14:paraId="2A565C6A">
      <w:pPr>
        <w:pStyle w:val="100"/>
        <w:ind w:left="480" w:leftChars="200" w:firstLine="0" w:firstLineChars="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szCs w:val="21"/>
        </w:rPr>
        <w:t>《2022年云南省水土保持公报》（云南省水利厅，2023年）</w:t>
      </w:r>
      <w:r>
        <w:rPr>
          <w:rFonts w:hint="default" w:ascii="Times New Roman" w:hAnsi="Times New Roman" w:cs="Times New Roman"/>
        </w:rPr>
        <w:t>；</w:t>
      </w:r>
    </w:p>
    <w:p w14:paraId="7E643169">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SEQ 括号 \* ARABIC \s 4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t>）会泽县社会经济、土地利用、森林资源、水土保持总体规划等资料。；</w:t>
      </w:r>
    </w:p>
    <w:p w14:paraId="7DD5AE9A">
      <w:pPr>
        <w:ind w:firstLine="480"/>
        <w:rPr>
          <w:rFonts w:hint="default" w:ascii="Times New Roman" w:hAnsi="Times New Roman" w:cs="Times New Roman"/>
        </w:rPr>
      </w:pPr>
      <w:r>
        <w:rPr>
          <w:rFonts w:hint="default" w:ascii="Times New Roman" w:hAnsi="Times New Roman" w:cs="Times New Roman"/>
        </w:rPr>
        <w:t>（6）其它与本项目相关的主体设计资料。</w:t>
      </w:r>
    </w:p>
    <w:p w14:paraId="41700D18">
      <w:pPr>
        <w:pStyle w:val="3"/>
        <w:rPr>
          <w:rFonts w:hint="default" w:ascii="Times New Roman" w:hAnsi="Times New Roman" w:cs="Times New Roman"/>
        </w:rPr>
      </w:pPr>
      <w:bookmarkStart w:id="12" w:name="_Toc165223554"/>
      <w:r>
        <w:rPr>
          <w:rFonts w:hint="default" w:ascii="Times New Roman" w:hAnsi="Times New Roman" w:cs="Times New Roman"/>
        </w:rPr>
        <w:t>设计水平年</w:t>
      </w:r>
      <w:bookmarkEnd w:id="12"/>
    </w:p>
    <w:p w14:paraId="10658A22">
      <w:pPr>
        <w:ind w:firstLine="480"/>
        <w:rPr>
          <w:rFonts w:hint="default" w:ascii="Times New Roman" w:hAnsi="Times New Roman" w:cs="Times New Roman"/>
        </w:rPr>
      </w:pPr>
      <w:r>
        <w:rPr>
          <w:rFonts w:hint="eastAsia" w:cs="Times New Roman"/>
          <w:lang w:eastAsia="zh-CN"/>
        </w:rPr>
        <w:t>待补镇安康安置点帮扶车间建设项目</w:t>
      </w:r>
      <w:r>
        <w:rPr>
          <w:rFonts w:hint="default" w:ascii="Times New Roman" w:hAnsi="Times New Roman" w:cs="Times New Roman"/>
        </w:rPr>
        <w:t>属于新建建设类项目，工程已于</w:t>
      </w:r>
      <w:r>
        <w:rPr>
          <w:rFonts w:hint="eastAsia" w:cs="Times New Roman"/>
          <w:lang w:eastAsia="zh-CN"/>
        </w:rPr>
        <w:t>2024年4月</w:t>
      </w:r>
      <w:r>
        <w:rPr>
          <w:rFonts w:hint="default" w:ascii="Times New Roman" w:hAnsi="Times New Roman" w:cs="Times New Roman"/>
        </w:rPr>
        <w:t>开工，于</w:t>
      </w:r>
      <w:r>
        <w:rPr>
          <w:rFonts w:hint="eastAsia" w:cs="Times New Roman"/>
          <w:lang w:eastAsia="zh-CN"/>
        </w:rPr>
        <w:t>2025年6月</w:t>
      </w:r>
      <w:r>
        <w:rPr>
          <w:rFonts w:hint="default" w:ascii="Times New Roman" w:hAnsi="Times New Roman" w:cs="Times New Roman"/>
        </w:rPr>
        <w:t>完工，</w:t>
      </w:r>
      <w:r>
        <w:rPr>
          <w:rStyle w:val="92"/>
          <w:rFonts w:hint="default" w:ascii="Times New Roman" w:hAnsi="Times New Roman" w:cs="Times New Roman"/>
        </w:rPr>
        <w:t>规划总工期为</w:t>
      </w:r>
      <w:r>
        <w:rPr>
          <w:rStyle w:val="92"/>
          <w:rFonts w:hint="eastAsia" w:cs="Times New Roman"/>
          <w:lang w:eastAsia="zh-CN"/>
        </w:rPr>
        <w:t>15个月</w:t>
      </w:r>
      <w:r>
        <w:rPr>
          <w:rStyle w:val="92"/>
          <w:rFonts w:hint="default" w:ascii="Times New Roman" w:hAnsi="Times New Roman" w:cs="Times New Roman"/>
        </w:rPr>
        <w:t>。</w:t>
      </w:r>
      <w:r>
        <w:rPr>
          <w:rFonts w:hint="default" w:ascii="Times New Roman" w:hAnsi="Times New Roman" w:cs="Times New Roman"/>
        </w:rPr>
        <w:t>根据《生产建设项目水土保持技术标准》（GB50433-2018），确定本项目水土保持方案的设计水平年为主体工程完工的</w:t>
      </w:r>
      <w:r>
        <w:rPr>
          <w:rFonts w:hint="eastAsia" w:cs="Times New Roman"/>
          <w:lang w:val="en-US" w:eastAsia="zh-CN"/>
        </w:rPr>
        <w:t>当</w:t>
      </w:r>
      <w:r>
        <w:rPr>
          <w:rFonts w:hint="default" w:ascii="Times New Roman" w:hAnsi="Times New Roman" w:cs="Times New Roman"/>
        </w:rPr>
        <w:t>年，即2025年。</w:t>
      </w:r>
    </w:p>
    <w:p w14:paraId="3547FE79">
      <w:pPr>
        <w:pStyle w:val="3"/>
        <w:rPr>
          <w:rFonts w:hint="default" w:ascii="Times New Roman" w:hAnsi="Times New Roman" w:cs="Times New Roman"/>
        </w:rPr>
      </w:pPr>
      <w:bookmarkStart w:id="13" w:name="_Toc165223555"/>
      <w:r>
        <w:rPr>
          <w:rFonts w:hint="default" w:ascii="Times New Roman" w:hAnsi="Times New Roman" w:cs="Times New Roman"/>
        </w:rPr>
        <w:t>水土流失防治责任范围</w:t>
      </w:r>
      <w:bookmarkEnd w:id="13"/>
    </w:p>
    <w:p w14:paraId="59B5B2AE">
      <w:pPr>
        <w:pStyle w:val="4"/>
        <w:rPr>
          <w:rFonts w:hint="default" w:ascii="Times New Roman" w:hAnsi="Times New Roman" w:cs="Times New Roman"/>
        </w:rPr>
      </w:pPr>
      <w:r>
        <w:rPr>
          <w:rFonts w:hint="default" w:ascii="Times New Roman" w:hAnsi="Times New Roman" w:cs="Times New Roman"/>
        </w:rPr>
        <w:t>防治责任范围确定依据</w:t>
      </w:r>
    </w:p>
    <w:p w14:paraId="10EB2900">
      <w:pPr>
        <w:ind w:firstLine="480"/>
        <w:rPr>
          <w:rFonts w:hint="default" w:ascii="Times New Roman" w:hAnsi="Times New Roman" w:cs="Times New Roman"/>
        </w:rPr>
      </w:pPr>
      <w:r>
        <w:rPr>
          <w:rFonts w:hint="default" w:ascii="Times New Roman" w:hAnsi="Times New Roman" w:cs="Times New Roman"/>
        </w:rPr>
        <w:t>根据《生产建设项目水土保持技术标准》（GB50433-2018）中的有关规定，生产建设防治责任范围包括永久征地、临时占地（含租赁土地）以及其他使用和管辖区域。</w:t>
      </w:r>
    </w:p>
    <w:p w14:paraId="0DCA0F07">
      <w:pPr>
        <w:pStyle w:val="4"/>
        <w:rPr>
          <w:rFonts w:hint="default" w:ascii="Times New Roman" w:hAnsi="Times New Roman" w:cs="Times New Roman"/>
        </w:rPr>
      </w:pPr>
      <w:r>
        <w:rPr>
          <w:rFonts w:hint="default" w:ascii="Times New Roman" w:hAnsi="Times New Roman" w:cs="Times New Roman"/>
        </w:rPr>
        <w:t>水土流失防治责任范围</w:t>
      </w:r>
    </w:p>
    <w:p w14:paraId="4D82F2AA">
      <w:pPr>
        <w:ind w:firstLine="480"/>
        <w:rPr>
          <w:rFonts w:hint="default" w:ascii="Times New Roman" w:hAnsi="Times New Roman" w:cs="Times New Roman"/>
        </w:rPr>
      </w:pPr>
      <w:r>
        <w:rPr>
          <w:rFonts w:hint="default" w:ascii="Times New Roman" w:hAnsi="Times New Roman" w:cs="Times New Roman"/>
        </w:rPr>
        <w:t>根据《生产建设项目水土保持技术标准》（GB50433-2018），结合项目建设的特点及项目规划总平面布置及施工布置范围统计，本项目水土流失防治责任范围为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。包括</w:t>
      </w:r>
      <w:r>
        <w:rPr>
          <w:rFonts w:hint="eastAsia" w:cs="Times New Roman"/>
          <w:lang w:val="en-US" w:eastAsia="zh-CN"/>
        </w:rPr>
        <w:t>地块一和地块二，各地块包括</w:t>
      </w:r>
      <w:r>
        <w:rPr>
          <w:rFonts w:hint="default" w:ascii="Times New Roman" w:hAnsi="Times New Roman" w:cs="Times New Roman"/>
          <w:lang w:val="zh-CN"/>
        </w:rPr>
        <w:t>建构筑物区、</w:t>
      </w:r>
      <w:r>
        <w:rPr>
          <w:rFonts w:hint="eastAsia" w:cs="Times New Roman"/>
          <w:lang w:val="zh-CN"/>
        </w:rPr>
        <w:t>道路及硬化区、</w:t>
      </w:r>
      <w:r>
        <w:rPr>
          <w:rFonts w:hint="default" w:ascii="Times New Roman" w:hAnsi="Times New Roman" w:cs="Times New Roman"/>
          <w:lang w:val="zh-CN"/>
        </w:rPr>
        <w:t>绿化区</w:t>
      </w:r>
      <w:r>
        <w:rPr>
          <w:rFonts w:hint="default" w:ascii="Times New Roman" w:hAnsi="Times New Roman" w:cs="Times New Roman"/>
        </w:rPr>
        <w:t>及附属配套设施等。</w:t>
      </w:r>
      <w:r>
        <w:rPr>
          <w:rFonts w:hint="eastAsia" w:cs="Times New Roman"/>
          <w:lang w:val="en-US" w:eastAsia="zh-CN"/>
        </w:rPr>
        <w:t>其中地块一</w:t>
      </w:r>
      <w:r>
        <w:rPr>
          <w:rFonts w:hint="default" w:ascii="Times New Roman" w:hAnsi="Times New Roman" w:cs="Times New Roman"/>
          <w:lang w:val="zh-CN"/>
        </w:rPr>
        <w:t>占地面积为</w:t>
      </w:r>
      <w:r>
        <w:rPr>
          <w:rFonts w:hint="eastAsia" w:cs="Times New Roman"/>
          <w:lang w:val="en-US" w:eastAsia="zh-CN"/>
        </w:rPr>
        <w:t>0.60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30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0.0</w:t>
      </w:r>
      <w:r>
        <w:rPr>
          <w:rFonts w:hint="eastAsia" w:cs="Times New Roman"/>
          <w:lang w:val="en-US" w:eastAsia="zh-CN"/>
        </w:rPr>
        <w:t>9</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地块二</w:t>
      </w:r>
      <w:r>
        <w:rPr>
          <w:rFonts w:hint="default" w:ascii="Times New Roman" w:hAnsi="Times New Roman" w:cs="Times New Roman"/>
          <w:lang w:val="zh-CN"/>
        </w:rPr>
        <w:t>占地面积为</w:t>
      </w:r>
      <w:r>
        <w:rPr>
          <w:rFonts w:hint="eastAsia" w:cs="Times New Roman"/>
          <w:lang w:val="en-US" w:eastAsia="zh-CN"/>
        </w:rPr>
        <w:t>0.91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57</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w:t>
      </w:r>
      <w:r>
        <w:rPr>
          <w:rFonts w:hint="eastAsia" w:cs="Times New Roman"/>
          <w:lang w:val="en-US" w:eastAsia="zh-CN"/>
        </w:rPr>
        <w:t>14</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w:t>
      </w:r>
    </w:p>
    <w:p w14:paraId="692CD7C2">
      <w:pPr>
        <w:pStyle w:val="3"/>
        <w:rPr>
          <w:rFonts w:hint="default" w:ascii="Times New Roman" w:hAnsi="Times New Roman" w:cs="Times New Roman"/>
        </w:rPr>
      </w:pPr>
      <w:bookmarkStart w:id="14" w:name="_Toc165223556"/>
      <w:r>
        <w:rPr>
          <w:rFonts w:hint="default" w:ascii="Times New Roman" w:hAnsi="Times New Roman" w:cs="Times New Roman"/>
        </w:rPr>
        <w:t>水土流失防治目标</w:t>
      </w:r>
      <w:bookmarkEnd w:id="14"/>
    </w:p>
    <w:p w14:paraId="1750A31D">
      <w:pPr>
        <w:pStyle w:val="4"/>
        <w:rPr>
          <w:rFonts w:hint="default" w:ascii="Times New Roman" w:hAnsi="Times New Roman" w:cs="Times New Roman"/>
        </w:rPr>
      </w:pPr>
      <w:r>
        <w:rPr>
          <w:rFonts w:hint="default" w:ascii="Times New Roman" w:hAnsi="Times New Roman" w:cs="Times New Roman"/>
        </w:rPr>
        <w:t>执行标准等级</w:t>
      </w:r>
    </w:p>
    <w:p w14:paraId="438A0DB6">
      <w:pPr>
        <w:ind w:firstLine="480"/>
        <w:rPr>
          <w:rFonts w:hint="default" w:ascii="Times New Roman" w:hAnsi="Times New Roman" w:cs="Times New Roman"/>
          <w:highlight w:val="none"/>
        </w:rPr>
      </w:pPr>
      <w:r>
        <w:rPr>
          <w:rFonts w:hint="default" w:ascii="Times New Roman" w:hAnsi="Times New Roman" w:cs="Times New Roman"/>
          <w:highlight w:val="none"/>
        </w:rPr>
        <w:t>根据水利部办公厅印发《全国水土保持规划国家级水土流失重点预防区和重点治理区复核划分成果》的通知（办水保〔2013〕188号）</w:t>
      </w:r>
      <w:bookmarkStart w:id="15" w:name="_Hlk71468702"/>
      <w:r>
        <w:rPr>
          <w:rFonts w:hint="default" w:ascii="Times New Roman" w:hAnsi="Times New Roman" w:cs="Times New Roman"/>
          <w:highlight w:val="none"/>
        </w:rPr>
        <w:t>、《云南省水利厅关于划分省级水土流失重点预防区和重点治理区的公告》（云南省水利厅公告第49号）</w:t>
      </w:r>
      <w:bookmarkEnd w:id="15"/>
      <w:r>
        <w:rPr>
          <w:rFonts w:hint="default" w:ascii="Times New Roman" w:hAnsi="Times New Roman" w:cs="Times New Roman"/>
          <w:highlight w:val="none"/>
        </w:rPr>
        <w:t>和《曲靖市水土保持规划》（2019-2030年），项目所在地会泽县</w:t>
      </w:r>
      <w:r>
        <w:rPr>
          <w:rFonts w:hint="eastAsia" w:cs="Times New Roman"/>
          <w:highlight w:val="none"/>
          <w:lang w:val="en-US" w:eastAsia="zh-CN"/>
        </w:rPr>
        <w:t>待补镇属于</w:t>
      </w:r>
      <w:r>
        <w:rPr>
          <w:rFonts w:hint="default" w:ascii="Times New Roman" w:hAnsi="Times New Roman" w:cs="Times New Roman"/>
          <w:highlight w:val="none"/>
          <w:lang w:val="en-US" w:eastAsia="zh-CN"/>
        </w:rPr>
        <w:t>金沙江下游国家级水土流失重点治理区</w:t>
      </w:r>
      <w:r>
        <w:rPr>
          <w:rFonts w:hint="eastAsia" w:cs="Times New Roman"/>
          <w:highlight w:val="none"/>
          <w:lang w:eastAsia="zh-CN"/>
        </w:rPr>
        <w:t>。</w:t>
      </w:r>
      <w:r>
        <w:rPr>
          <w:rFonts w:cs="Times New Roman"/>
          <w:highlight w:val="none"/>
        </w:rPr>
        <w:t>依据《关于水利部办公厅关于印发全国水土保持区划（试行）的通知》（办水保〔2012〕512号）确定项目所在地</w:t>
      </w:r>
      <w:r>
        <w:rPr>
          <w:rFonts w:hint="default" w:ascii="Times New Roman" w:hAnsi="Times New Roman" w:cs="Times New Roman"/>
          <w:highlight w:val="none"/>
        </w:rPr>
        <w:t>会泽县</w:t>
      </w:r>
      <w:r>
        <w:rPr>
          <w:rFonts w:hint="eastAsia" w:cs="Times New Roman"/>
          <w:highlight w:val="none"/>
          <w:lang w:val="en-US" w:eastAsia="zh-CN"/>
        </w:rPr>
        <w:t>待补镇</w:t>
      </w:r>
      <w:r>
        <w:rPr>
          <w:rFonts w:cs="Times New Roman"/>
          <w:highlight w:val="none"/>
        </w:rPr>
        <w:t>属于西南岩溶区</w:t>
      </w:r>
      <w:r>
        <w:rPr>
          <w:rFonts w:hint="eastAsia" w:cs="Times New Roman"/>
          <w:highlight w:val="none"/>
          <w:lang w:eastAsia="zh-CN"/>
        </w:rPr>
        <w:t>，</w:t>
      </w:r>
      <w:r>
        <w:rPr>
          <w:rFonts w:hint="default" w:ascii="Times New Roman" w:hAnsi="Times New Roman" w:cs="Times New Roman"/>
          <w:highlight w:val="none"/>
        </w:rPr>
        <w:t>依据《生产建设项目水土流失防治标准》（GB/T50434-2018）相关规定，水土流失防治标准按西南岩溶区建设类一级标准执行。</w:t>
      </w:r>
    </w:p>
    <w:p w14:paraId="1ABE7353">
      <w:pPr>
        <w:pStyle w:val="4"/>
        <w:rPr>
          <w:rFonts w:hint="default" w:ascii="Times New Roman" w:hAnsi="Times New Roman" w:cs="Times New Roman"/>
        </w:rPr>
      </w:pPr>
      <w:r>
        <w:rPr>
          <w:rFonts w:hint="default" w:ascii="Times New Roman" w:hAnsi="Times New Roman" w:cs="Times New Roman"/>
        </w:rPr>
        <w:t>防治目标</w:t>
      </w:r>
    </w:p>
    <w:p w14:paraId="6C60D0F3">
      <w:pPr>
        <w:ind w:firstLine="480"/>
        <w:rPr>
          <w:rFonts w:hint="default" w:ascii="Times New Roman" w:hAnsi="Times New Roman" w:cs="Times New Roman"/>
        </w:rPr>
      </w:pPr>
      <w:r>
        <w:rPr>
          <w:rFonts w:hint="default" w:ascii="Times New Roman" w:hAnsi="Times New Roman" w:cs="Times New Roman"/>
        </w:rPr>
        <w:t>根据《生产建设项目水土流失防治标准》（GB/T50434-2018），结合工程建设范围内地形地貌、地理、水土流失特点，</w:t>
      </w:r>
      <w:bookmarkStart w:id="16" w:name="_Hlk44601341"/>
      <w:r>
        <w:rPr>
          <w:rFonts w:hint="default" w:ascii="Times New Roman" w:hAnsi="Times New Roman" w:cs="Times New Roman"/>
        </w:rPr>
        <w:t>按照《生产建设项目水土流失防治标准》（GB/T50434-2018）4.0.6~4.0.10章节确定本项目水土流失防治指标需修正项有：</w:t>
      </w:r>
    </w:p>
    <w:p w14:paraId="3B07375E">
      <w:pPr>
        <w:ind w:firstLine="480"/>
        <w:rPr>
          <w:rFonts w:hint="default" w:ascii="Times New Roman" w:hAnsi="Times New Roman" w:cs="Times New Roman"/>
        </w:rPr>
      </w:pPr>
      <w:r>
        <w:rPr>
          <w:rFonts w:hint="default" w:ascii="Times New Roman" w:hAnsi="Times New Roman" w:cs="Times New Roman"/>
        </w:rPr>
        <w:t>1、土壤流失控制比在</w:t>
      </w:r>
      <w:bookmarkStart w:id="17" w:name="OLE_LINK1"/>
      <w:r>
        <w:rPr>
          <w:rFonts w:hint="eastAsia" w:cs="Times New Roman"/>
          <w:lang w:val="en-US" w:eastAsia="zh-CN"/>
        </w:rPr>
        <w:t>微</w:t>
      </w:r>
      <w:r>
        <w:rPr>
          <w:rFonts w:hint="default" w:ascii="Times New Roman" w:hAnsi="Times New Roman" w:cs="Times New Roman"/>
        </w:rPr>
        <w:t>度</w:t>
      </w:r>
      <w:bookmarkEnd w:id="17"/>
      <w:r>
        <w:rPr>
          <w:rFonts w:hint="default" w:ascii="Times New Roman" w:hAnsi="Times New Roman" w:cs="Times New Roman"/>
        </w:rPr>
        <w:t>侵蚀为主的区域不应小于1，项目区土壤侵蚀强度以</w:t>
      </w:r>
      <w:r>
        <w:rPr>
          <w:rFonts w:hint="eastAsia" w:cs="Times New Roman"/>
          <w:lang w:val="en-US" w:eastAsia="zh-CN"/>
        </w:rPr>
        <w:t>微</w:t>
      </w:r>
      <w:r>
        <w:rPr>
          <w:rFonts w:hint="default" w:ascii="Times New Roman" w:hAnsi="Times New Roman" w:cs="Times New Roman"/>
        </w:rPr>
        <w:t>度为主，土壤流失控制比调整为1.0；</w:t>
      </w:r>
    </w:p>
    <w:p w14:paraId="03D4B9F9">
      <w:pPr>
        <w:ind w:firstLine="480"/>
        <w:rPr>
          <w:rFonts w:hint="default" w:ascii="Times New Roman" w:hAnsi="Times New Roman" w:eastAsia="仿宋_GB2312" w:cs="Times New Roman"/>
          <w:highlight w:val="none"/>
          <w:lang w:val="en-US" w:eastAsia="zh-CN"/>
        </w:rPr>
      </w:pPr>
      <w:r>
        <w:rPr>
          <w:rFonts w:hint="eastAsia" w:cs="Times New Roman"/>
          <w:highlight w:val="none"/>
          <w:lang w:val="en-US" w:eastAsia="zh-CN"/>
        </w:rPr>
        <w:t>2、根据《关于发布和实施&lt;工业项目建设用地控制指标&gt;的通知》（国土资发〔2008〕24号）工业企业内部一般不得安排绿地。但因生产工艺等特殊要求需要安排一定比例绿地的，绿地率不得超过20%。由于本项目建构筑物、场内道路及装卸场地之外空地，主体设计已经全部进行绿化，没有其余可绿化区域，绿地率15.23%。因此，将本项目防治目标调整为13%。</w:t>
      </w:r>
    </w:p>
    <w:p w14:paraId="62358B34">
      <w:pPr>
        <w:ind w:firstLine="480"/>
        <w:rPr>
          <w:rFonts w:hint="default" w:cs="Times New Roman"/>
          <w:highlight w:val="none"/>
          <w:lang w:val="en-US" w:eastAsia="zh-CN"/>
        </w:rPr>
      </w:pPr>
      <w:r>
        <w:rPr>
          <w:rFonts w:hint="eastAsia" w:cs="Times New Roman"/>
          <w:highlight w:val="none"/>
          <w:lang w:val="en-US" w:eastAsia="zh-CN"/>
        </w:rPr>
        <w:t>3、本项目涉及</w:t>
      </w:r>
      <w:r>
        <w:rPr>
          <w:rFonts w:hint="default" w:ascii="Times New Roman" w:hAnsi="Times New Roman" w:cs="Times New Roman"/>
          <w:highlight w:val="none"/>
          <w:lang w:val="en-US" w:eastAsia="zh-CN"/>
        </w:rPr>
        <w:t>金沙江下游国家级水土流失重点治理区</w:t>
      </w:r>
      <w:r>
        <w:rPr>
          <w:rFonts w:hint="eastAsia" w:cs="Times New Roman"/>
          <w:highlight w:val="none"/>
          <w:lang w:val="en-US" w:eastAsia="zh-CN"/>
        </w:rPr>
        <w:t>，林草覆盖率提高1%~2%，本项目林草覆盖率提高2%，提高至15%。</w:t>
      </w:r>
    </w:p>
    <w:p w14:paraId="55A69225">
      <w:pPr>
        <w:ind w:firstLine="480"/>
        <w:rPr>
          <w:rFonts w:hint="default" w:ascii="Times New Roman" w:hAnsi="Times New Roman" w:cs="Times New Roman"/>
        </w:rPr>
      </w:pPr>
      <w:r>
        <w:rPr>
          <w:rFonts w:hint="default" w:ascii="Times New Roman" w:hAnsi="Times New Roman" w:cs="Times New Roman"/>
        </w:rPr>
        <w:t>本项目区水土流失防治目标修正之后为：水土流失治理度达到97%以上，土壤流失控制比达1.0，渣土防护率达9</w:t>
      </w:r>
      <w:r>
        <w:rPr>
          <w:rFonts w:hint="eastAsia" w:cs="Times New Roman"/>
          <w:lang w:val="en-US" w:eastAsia="zh-CN"/>
        </w:rPr>
        <w:t>2</w:t>
      </w:r>
      <w:r>
        <w:rPr>
          <w:rFonts w:hint="default" w:ascii="Times New Roman" w:hAnsi="Times New Roman" w:cs="Times New Roman"/>
        </w:rPr>
        <w:t>%，表土保护率达95%，林草植被恢复率大于96%，林草植被覆盖率大于</w:t>
      </w:r>
      <w:r>
        <w:rPr>
          <w:rFonts w:hint="eastAsia" w:cs="Times New Roman"/>
          <w:lang w:val="en-US" w:eastAsia="zh-CN"/>
        </w:rPr>
        <w:t>15</w:t>
      </w:r>
      <w:r>
        <w:rPr>
          <w:rFonts w:hint="default" w:ascii="Times New Roman" w:hAnsi="Times New Roman" w:cs="Times New Roman"/>
        </w:rPr>
        <w:t>%以上</w:t>
      </w:r>
      <w:bookmarkEnd w:id="16"/>
      <w:r>
        <w:rPr>
          <w:rFonts w:hint="default" w:ascii="Times New Roman" w:hAnsi="Times New Roman" w:cs="Times New Roman"/>
        </w:rPr>
        <w:t>。根据以上调整标准，进行调整后确定本项目防治目标见</w:t>
      </w:r>
      <w:r>
        <w:rPr>
          <w:rFonts w:hint="default" w:ascii="Times New Roman" w:hAnsi="Times New Roman" w:cs="Times New Roman"/>
        </w:rPr>
        <w:fldChar w:fldCharType="begin"/>
      </w:r>
      <w:r>
        <w:rPr>
          <w:rFonts w:hint="default" w:ascii="Times New Roman" w:hAnsi="Times New Roman" w:cs="Times New Roman"/>
        </w:rPr>
        <w:instrText xml:space="preserve"> REF _Ref61007080 \h  \* MERGEFORMAT </w:instrText>
      </w:r>
      <w:r>
        <w:rPr>
          <w:rFonts w:hint="default" w:ascii="Times New Roman" w:hAnsi="Times New Roman" w:cs="Times New Roman"/>
        </w:rPr>
        <w:fldChar w:fldCharType="separate"/>
      </w:r>
      <w:r>
        <w:rPr>
          <w:rFonts w:hint="default" w:ascii="Times New Roman" w:hAnsi="Times New Roman" w:cs="Times New Roman"/>
        </w:rPr>
        <w:t>表1</w:t>
      </w:r>
      <w:r>
        <w:rPr>
          <w:rFonts w:hint="default" w:ascii="Times New Roman" w:hAnsi="Times New Roman" w:cs="Times New Roman"/>
        </w:rPr>
        <w:noBreakHyphen/>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w:t>
      </w:r>
    </w:p>
    <w:p w14:paraId="475E7C3A">
      <w:pPr>
        <w:pStyle w:val="83"/>
        <w:rPr>
          <w:rFonts w:hint="default" w:ascii="Times New Roman" w:hAnsi="Times New Roman" w:eastAsia="仿宋_GB2312" w:cs="Times New Roman"/>
          <w:b/>
          <w:bCs w:val="0"/>
        </w:rPr>
      </w:pPr>
      <w:bookmarkStart w:id="18" w:name="_Ref59293853"/>
      <w:bookmarkStart w:id="19" w:name="_Ref61007080"/>
      <w:r>
        <w:rPr>
          <w:rFonts w:hint="default" w:ascii="Times New Roman" w:hAnsi="Times New Roman" w:eastAsia="仿宋_GB2312" w:cs="Times New Roman"/>
          <w:b/>
          <w:bCs w:val="0"/>
        </w:rPr>
        <w:t>表</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1</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bookmarkEnd w:id="18"/>
      <w:bookmarkEnd w:id="19"/>
      <w:r>
        <w:rPr>
          <w:rFonts w:hint="default" w:ascii="Times New Roman" w:hAnsi="Times New Roman" w:eastAsia="仿宋_GB2312" w:cs="Times New Roman"/>
          <w:b/>
          <w:bCs w:val="0"/>
        </w:rPr>
        <w:t>1                       水土</w:t>
      </w:r>
      <w:r>
        <w:rPr>
          <w:rFonts w:hint="default" w:ascii="Times New Roman" w:hAnsi="Times New Roman" w:eastAsia="仿宋_GB2312" w:cs="Times New Roman"/>
          <w:b/>
          <w:bCs w:val="0"/>
          <w:lang w:val="en-US" w:eastAsia="zh-CN"/>
        </w:rPr>
        <w:t>保持</w:t>
      </w:r>
      <w:r>
        <w:rPr>
          <w:rFonts w:hint="default" w:ascii="Times New Roman" w:hAnsi="Times New Roman" w:eastAsia="仿宋_GB2312" w:cs="Times New Roman"/>
          <w:b/>
          <w:bCs w:val="0"/>
        </w:rPr>
        <w:t>防治目标计算值</w:t>
      </w:r>
    </w:p>
    <w:tbl>
      <w:tblPr>
        <w:tblStyle w:val="50"/>
        <w:tblW w:w="94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869"/>
        <w:gridCol w:w="1115"/>
        <w:gridCol w:w="1466"/>
        <w:gridCol w:w="1254"/>
        <w:gridCol w:w="1115"/>
        <w:gridCol w:w="1649"/>
      </w:tblGrid>
      <w:tr w14:paraId="31CEC8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Merge w:val="restart"/>
            <w:vAlign w:val="center"/>
          </w:tcPr>
          <w:p w14:paraId="230E8EC0">
            <w:pPr>
              <w:pStyle w:val="48"/>
              <w:rPr>
                <w:rFonts w:hint="default" w:ascii="Times New Roman" w:hAnsi="Times New Roman" w:cs="Times New Roman"/>
                <w:color w:val="auto"/>
              </w:rPr>
            </w:pPr>
            <w:r>
              <w:rPr>
                <w:rFonts w:hint="default" w:ascii="Times New Roman" w:hAnsi="Times New Roman" w:cs="Times New Roman"/>
                <w:color w:val="auto"/>
              </w:rPr>
              <w:t>防治指标</w:t>
            </w:r>
          </w:p>
        </w:tc>
        <w:tc>
          <w:tcPr>
            <w:tcW w:w="2581" w:type="dxa"/>
            <w:gridSpan w:val="2"/>
            <w:vAlign w:val="center"/>
          </w:tcPr>
          <w:p w14:paraId="7FA50341">
            <w:pPr>
              <w:pStyle w:val="48"/>
              <w:rPr>
                <w:rFonts w:hint="default" w:ascii="Times New Roman" w:hAnsi="Times New Roman" w:cs="Times New Roman"/>
                <w:color w:val="auto"/>
              </w:rPr>
            </w:pPr>
            <w:r>
              <w:rPr>
                <w:rFonts w:hint="default" w:ascii="Times New Roman" w:hAnsi="Times New Roman" w:cs="Times New Roman"/>
                <w:color w:val="auto"/>
              </w:rPr>
              <w:t>一级标准</w:t>
            </w:r>
          </w:p>
        </w:tc>
        <w:tc>
          <w:tcPr>
            <w:tcW w:w="1254" w:type="dxa"/>
            <w:vMerge w:val="restart"/>
            <w:vAlign w:val="center"/>
          </w:tcPr>
          <w:p w14:paraId="261D110F">
            <w:pPr>
              <w:pStyle w:val="48"/>
              <w:rPr>
                <w:rFonts w:hint="default" w:ascii="Times New Roman" w:hAnsi="Times New Roman" w:cs="Times New Roman"/>
                <w:color w:val="auto"/>
              </w:rPr>
            </w:pPr>
            <w:r>
              <w:rPr>
                <w:rFonts w:hint="default" w:ascii="Times New Roman" w:hAnsi="Times New Roman" w:cs="Times New Roman"/>
                <w:color w:val="auto"/>
              </w:rPr>
              <w:t>按土壤侵蚀强度调整</w:t>
            </w:r>
          </w:p>
        </w:tc>
        <w:tc>
          <w:tcPr>
            <w:tcW w:w="2764" w:type="dxa"/>
            <w:gridSpan w:val="2"/>
            <w:vAlign w:val="center"/>
          </w:tcPr>
          <w:p w14:paraId="6632FFA4">
            <w:pPr>
              <w:pStyle w:val="48"/>
              <w:rPr>
                <w:rFonts w:hint="default" w:ascii="Times New Roman" w:hAnsi="Times New Roman" w:cs="Times New Roman"/>
                <w:color w:val="auto"/>
              </w:rPr>
            </w:pPr>
            <w:r>
              <w:rPr>
                <w:rFonts w:hint="default" w:ascii="Times New Roman" w:hAnsi="Times New Roman" w:cs="Times New Roman"/>
                <w:color w:val="auto"/>
              </w:rPr>
              <w:t>采用标准</w:t>
            </w:r>
          </w:p>
        </w:tc>
      </w:tr>
      <w:tr w14:paraId="6B99B3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Merge w:val="continue"/>
            <w:vAlign w:val="center"/>
          </w:tcPr>
          <w:p w14:paraId="7D5C103B">
            <w:pPr>
              <w:pStyle w:val="48"/>
              <w:rPr>
                <w:rFonts w:hint="default" w:ascii="Times New Roman" w:hAnsi="Times New Roman" w:cs="Times New Roman"/>
                <w:color w:val="auto"/>
              </w:rPr>
            </w:pPr>
          </w:p>
        </w:tc>
        <w:tc>
          <w:tcPr>
            <w:tcW w:w="1115" w:type="dxa"/>
            <w:vAlign w:val="center"/>
          </w:tcPr>
          <w:p w14:paraId="3E734688">
            <w:pPr>
              <w:pStyle w:val="48"/>
              <w:rPr>
                <w:rFonts w:hint="default" w:ascii="Times New Roman" w:hAnsi="Times New Roman" w:cs="Times New Roman"/>
                <w:color w:val="auto"/>
              </w:rPr>
            </w:pPr>
            <w:r>
              <w:rPr>
                <w:rFonts w:hint="default" w:ascii="Times New Roman" w:hAnsi="Times New Roman" w:cs="Times New Roman"/>
                <w:color w:val="auto"/>
              </w:rPr>
              <w:t>施工期</w:t>
            </w:r>
          </w:p>
        </w:tc>
        <w:tc>
          <w:tcPr>
            <w:tcW w:w="1466" w:type="dxa"/>
            <w:vAlign w:val="center"/>
          </w:tcPr>
          <w:p w14:paraId="75380ADA">
            <w:pPr>
              <w:pStyle w:val="48"/>
              <w:rPr>
                <w:rFonts w:hint="default" w:ascii="Times New Roman" w:hAnsi="Times New Roman" w:cs="Times New Roman"/>
                <w:color w:val="auto"/>
              </w:rPr>
            </w:pPr>
            <w:r>
              <w:rPr>
                <w:rFonts w:hint="default" w:ascii="Times New Roman" w:hAnsi="Times New Roman" w:cs="Times New Roman"/>
                <w:color w:val="auto"/>
              </w:rPr>
              <w:t>设计水平年</w:t>
            </w:r>
          </w:p>
        </w:tc>
        <w:tc>
          <w:tcPr>
            <w:tcW w:w="1254" w:type="dxa"/>
            <w:vMerge w:val="continue"/>
            <w:vAlign w:val="center"/>
          </w:tcPr>
          <w:p w14:paraId="43662D3B">
            <w:pPr>
              <w:pStyle w:val="48"/>
              <w:rPr>
                <w:rFonts w:hint="default" w:ascii="Times New Roman" w:hAnsi="Times New Roman" w:cs="Times New Roman"/>
                <w:color w:val="auto"/>
              </w:rPr>
            </w:pPr>
          </w:p>
        </w:tc>
        <w:tc>
          <w:tcPr>
            <w:tcW w:w="1115" w:type="dxa"/>
            <w:vAlign w:val="center"/>
          </w:tcPr>
          <w:p w14:paraId="499C8D0F">
            <w:pPr>
              <w:pStyle w:val="48"/>
              <w:rPr>
                <w:rFonts w:hint="default" w:ascii="Times New Roman" w:hAnsi="Times New Roman" w:cs="Times New Roman"/>
                <w:color w:val="auto"/>
              </w:rPr>
            </w:pPr>
            <w:r>
              <w:rPr>
                <w:rFonts w:hint="default" w:ascii="Times New Roman" w:hAnsi="Times New Roman" w:cs="Times New Roman"/>
                <w:color w:val="auto"/>
              </w:rPr>
              <w:t>施工期</w:t>
            </w:r>
          </w:p>
        </w:tc>
        <w:tc>
          <w:tcPr>
            <w:tcW w:w="1649" w:type="dxa"/>
            <w:vAlign w:val="center"/>
          </w:tcPr>
          <w:p w14:paraId="5B55EF4D">
            <w:pPr>
              <w:pStyle w:val="48"/>
              <w:rPr>
                <w:rFonts w:hint="default" w:ascii="Times New Roman" w:hAnsi="Times New Roman" w:cs="Times New Roman"/>
                <w:color w:val="auto"/>
              </w:rPr>
            </w:pPr>
            <w:r>
              <w:rPr>
                <w:rFonts w:hint="default" w:ascii="Times New Roman" w:hAnsi="Times New Roman" w:cs="Times New Roman"/>
                <w:color w:val="auto"/>
              </w:rPr>
              <w:t>设计水平年</w:t>
            </w:r>
          </w:p>
        </w:tc>
      </w:tr>
      <w:tr w14:paraId="24013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Align w:val="center"/>
          </w:tcPr>
          <w:p w14:paraId="293439A7">
            <w:pPr>
              <w:pStyle w:val="48"/>
              <w:rPr>
                <w:rFonts w:hint="default" w:ascii="Times New Roman" w:hAnsi="Times New Roman" w:cs="Times New Roman"/>
                <w:color w:val="auto"/>
              </w:rPr>
            </w:pPr>
            <w:r>
              <w:rPr>
                <w:rFonts w:hint="default" w:ascii="Times New Roman" w:hAnsi="Times New Roman" w:cs="Times New Roman"/>
                <w:color w:val="auto"/>
              </w:rPr>
              <w:t>水土流失治理度（%）</w:t>
            </w:r>
          </w:p>
        </w:tc>
        <w:tc>
          <w:tcPr>
            <w:tcW w:w="1115" w:type="dxa"/>
            <w:vAlign w:val="center"/>
          </w:tcPr>
          <w:p w14:paraId="0ADFF2EE">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14:paraId="04D5BAB9">
            <w:pPr>
              <w:pStyle w:val="48"/>
              <w:rPr>
                <w:rFonts w:hint="default" w:ascii="Times New Roman" w:hAnsi="Times New Roman" w:cs="Times New Roman"/>
                <w:color w:val="auto"/>
              </w:rPr>
            </w:pPr>
            <w:r>
              <w:rPr>
                <w:rFonts w:hint="default" w:ascii="Times New Roman" w:hAnsi="Times New Roman" w:cs="Times New Roman"/>
                <w:color w:val="auto"/>
              </w:rPr>
              <w:t>97</w:t>
            </w:r>
          </w:p>
        </w:tc>
        <w:tc>
          <w:tcPr>
            <w:tcW w:w="1254" w:type="dxa"/>
            <w:vAlign w:val="center"/>
          </w:tcPr>
          <w:p w14:paraId="6C996245">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115" w:type="dxa"/>
            <w:vAlign w:val="center"/>
          </w:tcPr>
          <w:p w14:paraId="7B0D2CBD">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649" w:type="dxa"/>
            <w:vAlign w:val="center"/>
          </w:tcPr>
          <w:p w14:paraId="2D262DA3">
            <w:pPr>
              <w:pStyle w:val="48"/>
              <w:rPr>
                <w:rFonts w:hint="default" w:ascii="Times New Roman" w:hAnsi="Times New Roman" w:cs="Times New Roman"/>
                <w:color w:val="auto"/>
              </w:rPr>
            </w:pPr>
            <w:r>
              <w:rPr>
                <w:rFonts w:hint="default" w:ascii="Times New Roman" w:hAnsi="Times New Roman" w:cs="Times New Roman"/>
                <w:color w:val="auto"/>
              </w:rPr>
              <w:t>97</w:t>
            </w:r>
          </w:p>
        </w:tc>
      </w:tr>
      <w:tr w14:paraId="38B66C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Align w:val="center"/>
          </w:tcPr>
          <w:p w14:paraId="11C7E3ED">
            <w:pPr>
              <w:pStyle w:val="48"/>
              <w:rPr>
                <w:rFonts w:hint="default" w:ascii="Times New Roman" w:hAnsi="Times New Roman" w:cs="Times New Roman"/>
                <w:color w:val="auto"/>
              </w:rPr>
            </w:pPr>
            <w:r>
              <w:rPr>
                <w:rFonts w:hint="default" w:ascii="Times New Roman" w:hAnsi="Times New Roman" w:cs="Times New Roman"/>
                <w:color w:val="auto"/>
              </w:rPr>
              <w:t>土壤流失控制比</w:t>
            </w:r>
          </w:p>
        </w:tc>
        <w:tc>
          <w:tcPr>
            <w:tcW w:w="1115" w:type="dxa"/>
            <w:vAlign w:val="center"/>
          </w:tcPr>
          <w:p w14:paraId="4532CC04">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14:paraId="14D06824">
            <w:pPr>
              <w:pStyle w:val="48"/>
              <w:rPr>
                <w:rFonts w:hint="default" w:ascii="Times New Roman" w:hAnsi="Times New Roman" w:cs="Times New Roman"/>
                <w:color w:val="auto"/>
              </w:rPr>
            </w:pPr>
            <w:r>
              <w:rPr>
                <w:rFonts w:hint="default" w:ascii="Times New Roman" w:hAnsi="Times New Roman" w:cs="Times New Roman"/>
                <w:color w:val="auto"/>
              </w:rPr>
              <w:t>0.85</w:t>
            </w:r>
          </w:p>
        </w:tc>
        <w:tc>
          <w:tcPr>
            <w:tcW w:w="1254" w:type="dxa"/>
            <w:vAlign w:val="center"/>
          </w:tcPr>
          <w:p w14:paraId="09889A5B">
            <w:pPr>
              <w:pStyle w:val="48"/>
              <w:rPr>
                <w:rFonts w:hint="default" w:ascii="Times New Roman" w:hAnsi="Times New Roman" w:cs="Times New Roman"/>
                <w:color w:val="auto"/>
              </w:rPr>
            </w:pPr>
            <w:r>
              <w:rPr>
                <w:rFonts w:hint="default" w:ascii="Times New Roman" w:hAnsi="Times New Roman" w:cs="Times New Roman"/>
                <w:color w:val="auto"/>
              </w:rPr>
              <w:t>+0.15</w:t>
            </w:r>
          </w:p>
        </w:tc>
        <w:tc>
          <w:tcPr>
            <w:tcW w:w="1115" w:type="dxa"/>
            <w:vAlign w:val="center"/>
          </w:tcPr>
          <w:p w14:paraId="68DCE3FB">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649" w:type="dxa"/>
            <w:vAlign w:val="center"/>
          </w:tcPr>
          <w:p w14:paraId="1F019B7D">
            <w:pPr>
              <w:pStyle w:val="48"/>
              <w:rPr>
                <w:rFonts w:hint="default" w:ascii="Times New Roman" w:hAnsi="Times New Roman" w:cs="Times New Roman"/>
                <w:color w:val="auto"/>
              </w:rPr>
            </w:pPr>
            <w:r>
              <w:rPr>
                <w:rFonts w:hint="default" w:ascii="Times New Roman" w:hAnsi="Times New Roman" w:cs="Times New Roman"/>
                <w:color w:val="auto"/>
              </w:rPr>
              <w:t>1.0</w:t>
            </w:r>
          </w:p>
        </w:tc>
      </w:tr>
      <w:tr w14:paraId="1F237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Align w:val="center"/>
          </w:tcPr>
          <w:p w14:paraId="5A9C2220">
            <w:pPr>
              <w:pStyle w:val="48"/>
              <w:rPr>
                <w:rFonts w:hint="default" w:ascii="Times New Roman" w:hAnsi="Times New Roman" w:cs="Times New Roman"/>
                <w:color w:val="auto"/>
              </w:rPr>
            </w:pPr>
            <w:r>
              <w:rPr>
                <w:rFonts w:hint="default" w:ascii="Times New Roman" w:hAnsi="Times New Roman" w:cs="Times New Roman"/>
                <w:color w:val="auto"/>
              </w:rPr>
              <w:t>渣土防护率（%）</w:t>
            </w:r>
          </w:p>
        </w:tc>
        <w:tc>
          <w:tcPr>
            <w:tcW w:w="1115" w:type="dxa"/>
            <w:vAlign w:val="center"/>
          </w:tcPr>
          <w:p w14:paraId="7CB73A65">
            <w:pPr>
              <w:pStyle w:val="48"/>
              <w:rPr>
                <w:rFonts w:hint="default" w:ascii="Times New Roman" w:hAnsi="Times New Roman" w:cs="Times New Roman"/>
                <w:color w:val="auto"/>
              </w:rPr>
            </w:pPr>
            <w:r>
              <w:rPr>
                <w:rFonts w:hint="default" w:ascii="Times New Roman" w:hAnsi="Times New Roman" w:cs="Times New Roman"/>
                <w:color w:val="auto"/>
              </w:rPr>
              <w:t>90</w:t>
            </w:r>
          </w:p>
        </w:tc>
        <w:tc>
          <w:tcPr>
            <w:tcW w:w="1466" w:type="dxa"/>
            <w:vAlign w:val="center"/>
          </w:tcPr>
          <w:p w14:paraId="791284A2">
            <w:pPr>
              <w:pStyle w:val="48"/>
              <w:rPr>
                <w:rFonts w:hint="default" w:ascii="Times New Roman" w:hAnsi="Times New Roman" w:cs="Times New Roman"/>
                <w:color w:val="auto"/>
              </w:rPr>
            </w:pPr>
            <w:r>
              <w:rPr>
                <w:rFonts w:hint="default" w:ascii="Times New Roman" w:hAnsi="Times New Roman" w:cs="Times New Roman"/>
                <w:color w:val="auto"/>
              </w:rPr>
              <w:t>92</w:t>
            </w:r>
          </w:p>
        </w:tc>
        <w:tc>
          <w:tcPr>
            <w:tcW w:w="1254" w:type="dxa"/>
            <w:vAlign w:val="center"/>
          </w:tcPr>
          <w:p w14:paraId="335B0964">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115" w:type="dxa"/>
            <w:vAlign w:val="center"/>
          </w:tcPr>
          <w:p w14:paraId="6C00886B">
            <w:pPr>
              <w:pStyle w:val="48"/>
              <w:ind w:firstLine="0" w:firstLineChars="0"/>
              <w:rPr>
                <w:rFonts w:hint="default" w:ascii="Times New Roman" w:hAnsi="Times New Roman" w:cs="Times New Roman"/>
                <w:color w:val="auto"/>
              </w:rPr>
            </w:pPr>
            <w:r>
              <w:rPr>
                <w:rFonts w:hint="default" w:ascii="Times New Roman" w:hAnsi="Times New Roman" w:cs="Times New Roman"/>
                <w:color w:val="auto"/>
              </w:rPr>
              <w:t>90</w:t>
            </w:r>
          </w:p>
        </w:tc>
        <w:tc>
          <w:tcPr>
            <w:tcW w:w="1649" w:type="dxa"/>
            <w:vAlign w:val="center"/>
          </w:tcPr>
          <w:p w14:paraId="4BF6A65B">
            <w:pPr>
              <w:pStyle w:val="48"/>
              <w:rPr>
                <w:rFonts w:hint="eastAsia" w:ascii="Times New Roman" w:hAnsi="Times New Roman" w:eastAsia="仿宋_GB2312" w:cs="Times New Roman"/>
                <w:color w:val="auto"/>
                <w:lang w:val="en-US" w:eastAsia="zh-CN"/>
              </w:rPr>
            </w:pPr>
            <w:r>
              <w:rPr>
                <w:rFonts w:hint="default" w:ascii="Times New Roman" w:hAnsi="Times New Roman" w:cs="Times New Roman"/>
                <w:color w:val="auto"/>
              </w:rPr>
              <w:t>9</w:t>
            </w:r>
            <w:r>
              <w:rPr>
                <w:rFonts w:hint="eastAsia" w:cs="Times New Roman"/>
                <w:color w:val="auto"/>
                <w:lang w:val="en-US" w:eastAsia="zh-CN"/>
              </w:rPr>
              <w:t>2</w:t>
            </w:r>
          </w:p>
        </w:tc>
      </w:tr>
      <w:tr w14:paraId="7DB4C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Align w:val="center"/>
          </w:tcPr>
          <w:p w14:paraId="7B4BFB03">
            <w:pPr>
              <w:pStyle w:val="48"/>
              <w:rPr>
                <w:rFonts w:hint="default" w:ascii="Times New Roman" w:hAnsi="Times New Roman" w:cs="Times New Roman"/>
                <w:color w:val="auto"/>
              </w:rPr>
            </w:pPr>
            <w:r>
              <w:rPr>
                <w:rFonts w:hint="default" w:ascii="Times New Roman" w:hAnsi="Times New Roman" w:cs="Times New Roman"/>
                <w:color w:val="auto"/>
              </w:rPr>
              <w:t>表土保护率（%）</w:t>
            </w:r>
          </w:p>
        </w:tc>
        <w:tc>
          <w:tcPr>
            <w:tcW w:w="1115" w:type="dxa"/>
            <w:vAlign w:val="center"/>
          </w:tcPr>
          <w:p w14:paraId="0C161C99">
            <w:pPr>
              <w:pStyle w:val="48"/>
              <w:rPr>
                <w:rFonts w:hint="default" w:ascii="Times New Roman" w:hAnsi="Times New Roman" w:cs="Times New Roman"/>
                <w:color w:val="auto"/>
              </w:rPr>
            </w:pPr>
            <w:r>
              <w:rPr>
                <w:rFonts w:hint="default" w:ascii="Times New Roman" w:hAnsi="Times New Roman" w:cs="Times New Roman"/>
                <w:color w:val="auto"/>
              </w:rPr>
              <w:t>95</w:t>
            </w:r>
          </w:p>
        </w:tc>
        <w:tc>
          <w:tcPr>
            <w:tcW w:w="1466" w:type="dxa"/>
            <w:vAlign w:val="center"/>
          </w:tcPr>
          <w:p w14:paraId="4625E693">
            <w:pPr>
              <w:pStyle w:val="48"/>
              <w:rPr>
                <w:rFonts w:hint="default" w:ascii="Times New Roman" w:hAnsi="Times New Roman" w:cs="Times New Roman"/>
                <w:color w:val="auto"/>
              </w:rPr>
            </w:pPr>
            <w:r>
              <w:rPr>
                <w:rFonts w:hint="default" w:ascii="Times New Roman" w:hAnsi="Times New Roman" w:cs="Times New Roman"/>
                <w:color w:val="auto"/>
              </w:rPr>
              <w:t>95</w:t>
            </w:r>
          </w:p>
        </w:tc>
        <w:tc>
          <w:tcPr>
            <w:tcW w:w="1254" w:type="dxa"/>
            <w:vAlign w:val="center"/>
          </w:tcPr>
          <w:p w14:paraId="1E33DED1">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115" w:type="dxa"/>
            <w:vAlign w:val="center"/>
          </w:tcPr>
          <w:p w14:paraId="0BFA5D77">
            <w:pPr>
              <w:pStyle w:val="48"/>
              <w:ind w:firstLine="0" w:firstLineChars="0"/>
              <w:rPr>
                <w:rFonts w:hint="default" w:ascii="Times New Roman" w:hAnsi="Times New Roman" w:cs="Times New Roman"/>
                <w:color w:val="auto"/>
              </w:rPr>
            </w:pPr>
            <w:r>
              <w:rPr>
                <w:rFonts w:hint="default" w:ascii="Times New Roman" w:hAnsi="Times New Roman" w:cs="Times New Roman"/>
                <w:color w:val="auto"/>
              </w:rPr>
              <w:t>95</w:t>
            </w:r>
          </w:p>
        </w:tc>
        <w:tc>
          <w:tcPr>
            <w:tcW w:w="1649" w:type="dxa"/>
            <w:vAlign w:val="center"/>
          </w:tcPr>
          <w:p w14:paraId="5C2668EF">
            <w:pPr>
              <w:pStyle w:val="48"/>
              <w:rPr>
                <w:rFonts w:hint="default" w:ascii="Times New Roman" w:hAnsi="Times New Roman" w:cs="Times New Roman"/>
                <w:color w:val="auto"/>
              </w:rPr>
            </w:pPr>
            <w:r>
              <w:rPr>
                <w:rFonts w:hint="default" w:ascii="Times New Roman" w:hAnsi="Times New Roman" w:cs="Times New Roman"/>
                <w:color w:val="auto"/>
              </w:rPr>
              <w:t>95</w:t>
            </w:r>
          </w:p>
        </w:tc>
      </w:tr>
      <w:tr w14:paraId="52528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0" w:hRule="atLeast"/>
          <w:jc w:val="center"/>
        </w:trPr>
        <w:tc>
          <w:tcPr>
            <w:tcW w:w="2869" w:type="dxa"/>
            <w:vAlign w:val="center"/>
          </w:tcPr>
          <w:p w14:paraId="41093FEF">
            <w:pPr>
              <w:pStyle w:val="48"/>
              <w:rPr>
                <w:rFonts w:hint="default" w:ascii="Times New Roman" w:hAnsi="Times New Roman" w:cs="Times New Roman"/>
                <w:color w:val="auto"/>
              </w:rPr>
            </w:pPr>
            <w:r>
              <w:rPr>
                <w:rFonts w:hint="default" w:ascii="Times New Roman" w:hAnsi="Times New Roman" w:cs="Times New Roman"/>
                <w:color w:val="auto"/>
              </w:rPr>
              <w:t>林草植被恢复率（%）</w:t>
            </w:r>
          </w:p>
        </w:tc>
        <w:tc>
          <w:tcPr>
            <w:tcW w:w="1115" w:type="dxa"/>
            <w:vAlign w:val="center"/>
          </w:tcPr>
          <w:p w14:paraId="1E4A1430">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14:paraId="34FA4493">
            <w:pPr>
              <w:pStyle w:val="48"/>
              <w:rPr>
                <w:rFonts w:hint="default" w:ascii="Times New Roman" w:hAnsi="Times New Roman" w:cs="Times New Roman"/>
                <w:color w:val="auto"/>
              </w:rPr>
            </w:pPr>
            <w:r>
              <w:rPr>
                <w:rFonts w:hint="default" w:ascii="Times New Roman" w:hAnsi="Times New Roman" w:cs="Times New Roman"/>
                <w:color w:val="auto"/>
              </w:rPr>
              <w:t>96</w:t>
            </w:r>
          </w:p>
        </w:tc>
        <w:tc>
          <w:tcPr>
            <w:tcW w:w="1254" w:type="dxa"/>
            <w:vAlign w:val="center"/>
          </w:tcPr>
          <w:p w14:paraId="61A199F9">
            <w:pPr>
              <w:pStyle w:val="48"/>
              <w:rPr>
                <w:rFonts w:hint="default" w:ascii="Times New Roman" w:hAnsi="Times New Roman" w:cs="Times New Roman"/>
                <w:color w:val="auto"/>
              </w:rPr>
            </w:pPr>
            <w:r>
              <w:rPr>
                <w:rFonts w:hint="default" w:ascii="Times New Roman" w:hAnsi="Times New Roman" w:cs="Times New Roman"/>
                <w:color w:val="auto"/>
              </w:rPr>
              <w:t>-　</w:t>
            </w:r>
          </w:p>
        </w:tc>
        <w:tc>
          <w:tcPr>
            <w:tcW w:w="1115" w:type="dxa"/>
            <w:vAlign w:val="center"/>
          </w:tcPr>
          <w:p w14:paraId="55EC5E5C">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649" w:type="dxa"/>
            <w:vAlign w:val="center"/>
          </w:tcPr>
          <w:p w14:paraId="4D9BDFDA">
            <w:pPr>
              <w:pStyle w:val="48"/>
              <w:rPr>
                <w:rFonts w:hint="default" w:ascii="Times New Roman" w:hAnsi="Times New Roman" w:cs="Times New Roman"/>
                <w:color w:val="auto"/>
              </w:rPr>
            </w:pPr>
            <w:r>
              <w:rPr>
                <w:rFonts w:hint="default" w:ascii="Times New Roman" w:hAnsi="Times New Roman" w:cs="Times New Roman"/>
                <w:color w:val="auto"/>
              </w:rPr>
              <w:t>96</w:t>
            </w:r>
          </w:p>
        </w:tc>
      </w:tr>
      <w:tr w14:paraId="26683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15" w:hRule="atLeast"/>
          <w:jc w:val="center"/>
        </w:trPr>
        <w:tc>
          <w:tcPr>
            <w:tcW w:w="2869" w:type="dxa"/>
            <w:vAlign w:val="center"/>
          </w:tcPr>
          <w:p w14:paraId="4D1D3E9F">
            <w:pPr>
              <w:pStyle w:val="48"/>
              <w:rPr>
                <w:rFonts w:hint="default" w:ascii="Times New Roman" w:hAnsi="Times New Roman" w:cs="Times New Roman"/>
                <w:color w:val="auto"/>
              </w:rPr>
            </w:pPr>
            <w:r>
              <w:rPr>
                <w:rFonts w:hint="default" w:ascii="Times New Roman" w:hAnsi="Times New Roman" w:cs="Times New Roman"/>
                <w:color w:val="auto"/>
              </w:rPr>
              <w:t>林草覆盖率（%）</w:t>
            </w:r>
          </w:p>
        </w:tc>
        <w:tc>
          <w:tcPr>
            <w:tcW w:w="1115" w:type="dxa"/>
            <w:vAlign w:val="center"/>
          </w:tcPr>
          <w:p w14:paraId="4C64AE39">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466" w:type="dxa"/>
            <w:vAlign w:val="center"/>
          </w:tcPr>
          <w:p w14:paraId="2CFDDCDE">
            <w:pPr>
              <w:pStyle w:val="48"/>
              <w:rPr>
                <w:rFonts w:hint="default" w:ascii="Times New Roman" w:hAnsi="Times New Roman" w:eastAsia="仿宋_GB2312" w:cs="Times New Roman"/>
                <w:color w:val="auto"/>
                <w:lang w:val="en-US" w:eastAsia="zh-CN"/>
              </w:rPr>
            </w:pPr>
            <w:r>
              <w:rPr>
                <w:rFonts w:hint="eastAsia" w:cs="Times New Roman"/>
                <w:color w:val="auto"/>
                <w:lang w:val="en-US" w:eastAsia="zh-CN"/>
              </w:rPr>
              <w:t>13</w:t>
            </w:r>
          </w:p>
        </w:tc>
        <w:tc>
          <w:tcPr>
            <w:tcW w:w="1254" w:type="dxa"/>
            <w:vAlign w:val="center"/>
          </w:tcPr>
          <w:p w14:paraId="24536277">
            <w:pPr>
              <w:pStyle w:val="48"/>
              <w:rPr>
                <w:rFonts w:hint="default" w:ascii="Times New Roman" w:hAnsi="Times New Roman" w:eastAsia="仿宋_GB2312" w:cs="Times New Roman"/>
                <w:color w:val="auto"/>
                <w:lang w:val="en-US" w:eastAsia="zh-CN"/>
              </w:rPr>
            </w:pPr>
            <w:r>
              <w:rPr>
                <w:rFonts w:hint="eastAsia" w:cs="Times New Roman"/>
                <w:color w:val="auto"/>
                <w:lang w:val="en-US" w:eastAsia="zh-CN"/>
              </w:rPr>
              <w:t>+2</w:t>
            </w:r>
          </w:p>
        </w:tc>
        <w:tc>
          <w:tcPr>
            <w:tcW w:w="1115" w:type="dxa"/>
            <w:vAlign w:val="center"/>
          </w:tcPr>
          <w:p w14:paraId="4F1EFE7E">
            <w:pPr>
              <w:pStyle w:val="48"/>
              <w:rPr>
                <w:rFonts w:hint="default" w:ascii="Times New Roman" w:hAnsi="Times New Roman" w:cs="Times New Roman"/>
                <w:color w:val="auto"/>
              </w:rPr>
            </w:pPr>
            <w:r>
              <w:rPr>
                <w:rFonts w:hint="default" w:ascii="Times New Roman" w:hAnsi="Times New Roman" w:cs="Times New Roman"/>
                <w:color w:val="auto"/>
              </w:rPr>
              <w:t>-</w:t>
            </w:r>
          </w:p>
        </w:tc>
        <w:tc>
          <w:tcPr>
            <w:tcW w:w="1649" w:type="dxa"/>
            <w:vAlign w:val="center"/>
          </w:tcPr>
          <w:p w14:paraId="06FF49F8">
            <w:pPr>
              <w:pStyle w:val="48"/>
              <w:rPr>
                <w:rFonts w:hint="default" w:ascii="Times New Roman" w:hAnsi="Times New Roman" w:eastAsia="仿宋_GB2312" w:cs="Times New Roman"/>
                <w:color w:val="auto"/>
                <w:lang w:val="en-US" w:eastAsia="zh-CN"/>
              </w:rPr>
            </w:pPr>
            <w:r>
              <w:rPr>
                <w:rFonts w:hint="eastAsia" w:cs="Times New Roman"/>
                <w:color w:val="auto"/>
                <w:lang w:val="en-US" w:eastAsia="zh-CN"/>
              </w:rPr>
              <w:t>15</w:t>
            </w:r>
          </w:p>
        </w:tc>
      </w:tr>
    </w:tbl>
    <w:p w14:paraId="289506A9">
      <w:pPr>
        <w:pStyle w:val="3"/>
        <w:rPr>
          <w:rFonts w:hint="default" w:ascii="Times New Roman" w:hAnsi="Times New Roman" w:cs="Times New Roman"/>
        </w:rPr>
      </w:pPr>
      <w:bookmarkStart w:id="20" w:name="_Toc165223557"/>
      <w:r>
        <w:rPr>
          <w:rFonts w:hint="default" w:ascii="Times New Roman" w:hAnsi="Times New Roman" w:cs="Times New Roman"/>
        </w:rPr>
        <w:t>项目水土保持评价结论</w:t>
      </w:r>
      <w:bookmarkEnd w:id="20"/>
    </w:p>
    <w:p w14:paraId="725DFE5E">
      <w:pPr>
        <w:pStyle w:val="4"/>
        <w:rPr>
          <w:rFonts w:hint="default" w:ascii="Times New Roman" w:hAnsi="Times New Roman" w:cs="Times New Roman"/>
        </w:rPr>
      </w:pPr>
      <w:r>
        <w:rPr>
          <w:rFonts w:hint="default" w:ascii="Times New Roman" w:hAnsi="Times New Roman" w:cs="Times New Roman"/>
        </w:rPr>
        <w:t>主体工程选址评价</w:t>
      </w:r>
    </w:p>
    <w:p w14:paraId="4CF6BF8C">
      <w:pPr>
        <w:adjustRightInd w:val="0"/>
        <w:snapToGrid w:val="0"/>
        <w:ind w:firstLine="480"/>
        <w:rPr>
          <w:rFonts w:hint="default" w:ascii="Times New Roman" w:hAnsi="Times New Roman" w:cs="Times New Roman"/>
        </w:rPr>
      </w:pPr>
      <w:r>
        <w:rPr>
          <w:rFonts w:hint="default" w:ascii="Times New Roman" w:hAnsi="Times New Roman" w:cs="Times New Roman"/>
        </w:rPr>
        <w:t>根据《中华人民共和国水土保持法》、</w:t>
      </w:r>
      <w:r>
        <w:rPr>
          <w:rFonts w:hint="eastAsia" w:cs="Times New Roman"/>
          <w:lang w:eastAsia="zh-CN"/>
        </w:rPr>
        <w:t>《云南省水土保持条例》、</w:t>
      </w:r>
      <w:r>
        <w:rPr>
          <w:rFonts w:hint="default" w:ascii="Times New Roman" w:hAnsi="Times New Roman" w:cs="Times New Roman"/>
        </w:rPr>
        <w:t>《</w:t>
      </w:r>
      <w:r>
        <w:rPr>
          <w:rFonts w:hint="eastAsia" w:cs="Times New Roman"/>
          <w:lang w:val="en-US" w:eastAsia="zh-CN"/>
        </w:rPr>
        <w:t>生产</w:t>
      </w:r>
      <w:r>
        <w:rPr>
          <w:rFonts w:hint="default" w:ascii="Times New Roman" w:hAnsi="Times New Roman" w:cs="Times New Roman"/>
        </w:rPr>
        <w:t>建设项目水土保持技术规范》(GB50433-2018)中关于项目建设以及主体工程设计约束性规定，工程选址符合区域总体规划，不在水土保持敏感区域，不存在水土保持制约性因素。</w:t>
      </w:r>
    </w:p>
    <w:p w14:paraId="73648744">
      <w:pPr>
        <w:pStyle w:val="4"/>
        <w:rPr>
          <w:rFonts w:hint="default" w:ascii="Times New Roman" w:hAnsi="Times New Roman" w:cs="Times New Roman"/>
        </w:rPr>
      </w:pPr>
      <w:r>
        <w:rPr>
          <w:rFonts w:hint="default" w:ascii="Times New Roman" w:hAnsi="Times New Roman" w:cs="Times New Roman"/>
        </w:rPr>
        <w:t>建设方案</w:t>
      </w:r>
      <w:r>
        <w:rPr>
          <w:rFonts w:hint="eastAsia" w:cs="Times New Roman"/>
          <w:lang w:val="en-US" w:eastAsia="zh-CN"/>
        </w:rPr>
        <w:t>与</w:t>
      </w:r>
      <w:r>
        <w:rPr>
          <w:rFonts w:hint="default" w:ascii="Times New Roman" w:hAnsi="Times New Roman" w:cs="Times New Roman"/>
        </w:rPr>
        <w:t>布局评价</w:t>
      </w:r>
    </w:p>
    <w:p w14:paraId="624026CD">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Times New Roman" w:cs="Times New Roman"/>
        </w:rPr>
        <w:t>1</w:t>
      </w:r>
      <w:r>
        <w:rPr>
          <w:rFonts w:hint="default" w:ascii="Times New Roman" w:hAnsi="Times New Roman" w:cs="Times New Roman"/>
        </w:rPr>
        <w:t>）建设方案评价</w:t>
      </w:r>
    </w:p>
    <w:p w14:paraId="08829BB3">
      <w:pPr>
        <w:ind w:firstLine="480"/>
        <w:rPr>
          <w:rFonts w:hint="default" w:ascii="Times New Roman" w:hAnsi="Times New Roman" w:cs="Times New Roman"/>
          <w:kern w:val="0"/>
          <w:szCs w:val="21"/>
        </w:rPr>
      </w:pPr>
      <w:r>
        <w:rPr>
          <w:rFonts w:hint="default" w:ascii="Times New Roman" w:hAnsi="Times New Roman" w:cs="Times New Roman"/>
          <w:lang w:val="zh-CN"/>
        </w:rPr>
        <w:t>从工程布局来看，</w:t>
      </w:r>
      <w:r>
        <w:rPr>
          <w:rFonts w:hint="default" w:ascii="Times New Roman" w:hAnsi="Times New Roman" w:cs="Times New Roman"/>
        </w:rPr>
        <w:t>工程总体布局充分立足项目建设区实际情况进行全面考虑，布局紧凑，减少了工程占地及土石方开挖量，避免了产生严重的水土流失，因此项目区总体布局合理</w:t>
      </w:r>
      <w:r>
        <w:rPr>
          <w:rFonts w:hint="default" w:ascii="Times New Roman" w:hAnsi="Times New Roman" w:cs="Times New Roman"/>
          <w:lang w:val="zh-CN"/>
        </w:rPr>
        <w:t>，因此，工程布局合理可行</w:t>
      </w:r>
      <w:r>
        <w:rPr>
          <w:rFonts w:hint="default" w:ascii="Times New Roman" w:hAnsi="Times New Roman" w:cs="Times New Roman"/>
          <w:kern w:val="0"/>
          <w:szCs w:val="21"/>
        </w:rPr>
        <w:t>。</w:t>
      </w:r>
    </w:p>
    <w:p w14:paraId="597F7EF5">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Times New Roman" w:cs="Times New Roman"/>
        </w:rPr>
        <w:t>2</w:t>
      </w:r>
      <w:r>
        <w:rPr>
          <w:rFonts w:hint="default" w:ascii="Times New Roman" w:hAnsi="Times New Roman" w:cs="Times New Roman"/>
        </w:rPr>
        <w:t>）工程占地评价</w:t>
      </w:r>
    </w:p>
    <w:p w14:paraId="1774B932">
      <w:pPr>
        <w:ind w:firstLine="480"/>
        <w:rPr>
          <w:rFonts w:hint="default" w:ascii="Times New Roman" w:hAnsi="Times New Roman" w:cs="Times New Roman"/>
        </w:rPr>
      </w:pPr>
      <w:r>
        <w:rPr>
          <w:rFonts w:hint="default" w:ascii="Times New Roman" w:hAnsi="Times New Roman" w:cs="Times New Roman"/>
          <w:kern w:val="0"/>
          <w:szCs w:val="20"/>
        </w:rPr>
        <w:t>主体方案对各工程征占地面积、地类进行优化，控制减少了工程建设扰动、植被破坏面积，工程占地满足水土保持要求</w:t>
      </w:r>
      <w:r>
        <w:rPr>
          <w:rFonts w:hint="default" w:ascii="Times New Roman" w:hAnsi="Times New Roman" w:cs="Times New Roman"/>
        </w:rPr>
        <w:t>，主体设计从优化布局、减少占地等方面尽可能的减少了对土地的占用，场地内布置充分考虑地形条件，本着节约用地、少占用土地的原则，在满足生产要求的同时，场地布置较为集中合理，符合水土保持要求。</w:t>
      </w:r>
    </w:p>
    <w:p w14:paraId="726D29FC">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Times New Roman" w:cs="Times New Roman"/>
        </w:rPr>
        <w:t>3</w:t>
      </w:r>
      <w:r>
        <w:rPr>
          <w:rFonts w:hint="default" w:ascii="Times New Roman" w:hAnsi="Times New Roman" w:cs="Times New Roman"/>
        </w:rPr>
        <w:t>）土石方平衡评价</w:t>
      </w:r>
    </w:p>
    <w:p w14:paraId="3D0E49F1">
      <w:pPr>
        <w:ind w:firstLine="480"/>
        <w:rPr>
          <w:rFonts w:hint="default" w:ascii="Times New Roman" w:hAnsi="Times New Roman" w:cs="Times New Roman"/>
          <w:lang w:val="zh-CN" w:bidi="ar"/>
        </w:rPr>
      </w:pPr>
      <w:r>
        <w:rPr>
          <w:rFonts w:hint="default" w:ascii="Times New Roman" w:hAnsi="Times New Roman" w:cs="Times New Roman"/>
          <w:kern w:val="0"/>
        </w:rPr>
        <w:t>根据土石方平衡分析，主体工程结合各工程施工特点，对其土石方进行优化平衡，同时考虑了土石方综合利用，无永久弃渣产生，满足水土保持要求</w:t>
      </w:r>
      <w:r>
        <w:rPr>
          <w:rFonts w:hint="default" w:ascii="Times New Roman" w:hAnsi="Times New Roman" w:cs="Times New Roman"/>
          <w:lang w:val="zh-CN" w:bidi="ar"/>
        </w:rPr>
        <w:t>。</w:t>
      </w:r>
    </w:p>
    <w:p w14:paraId="19F9B7CC">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eastAsiaTheme="minorEastAsia"/>
        </w:rPr>
        <w:t>4</w:t>
      </w:r>
      <w:r>
        <w:rPr>
          <w:rFonts w:hint="default" w:ascii="Times New Roman" w:hAnsi="Times New Roman" w:cs="Times New Roman"/>
        </w:rPr>
        <w:t>）施工方法与工艺评价</w:t>
      </w:r>
    </w:p>
    <w:p w14:paraId="0165D135">
      <w:pPr>
        <w:ind w:firstLine="480"/>
        <w:rPr>
          <w:rFonts w:hint="default" w:ascii="Times New Roman" w:hAnsi="Times New Roman" w:cs="Times New Roman"/>
        </w:rPr>
      </w:pPr>
      <w:r>
        <w:rPr>
          <w:rFonts w:hint="default" w:ascii="Times New Roman" w:hAnsi="Times New Roman" w:cs="Times New Roman"/>
          <w:bCs/>
        </w:rPr>
        <w:t>项目采用的各项生产工艺均满足要求，且考虑了生产运行过程中的水土保持防治要求，避免对周边环境造成影响，从水土保持角度，有利于水土保持防治。</w:t>
      </w:r>
    </w:p>
    <w:p w14:paraId="5048A4CF">
      <w:pPr>
        <w:ind w:firstLine="480"/>
        <w:rPr>
          <w:rFonts w:hint="default"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5</w:t>
      </w:r>
      <w:r>
        <w:rPr>
          <w:rFonts w:hint="eastAsia" w:ascii="Times New Roman" w:hAnsi="Times New Roman" w:cs="Times New Roman"/>
          <w:lang w:eastAsia="zh-CN"/>
        </w:rPr>
        <w:t>）</w:t>
      </w:r>
      <w:r>
        <w:rPr>
          <w:rFonts w:hint="default" w:ascii="Times New Roman" w:hAnsi="Times New Roman" w:cs="Times New Roman"/>
        </w:rPr>
        <w:t>取土（石、砂）场设置评价</w:t>
      </w:r>
    </w:p>
    <w:p w14:paraId="466695EE">
      <w:pPr>
        <w:ind w:firstLine="480"/>
        <w:rPr>
          <w:rFonts w:hint="default" w:ascii="Times New Roman" w:hAnsi="Times New Roman" w:cs="Times New Roman"/>
        </w:rPr>
      </w:pPr>
      <w:r>
        <w:rPr>
          <w:rFonts w:hint="default" w:ascii="Times New Roman" w:hAnsi="Times New Roman" w:cs="Times New Roman"/>
        </w:rPr>
        <w:t>工程建设所需的砂、土石料购于具有合法开采权，且开采条件好，运输方便的料场，开采后的水土保持防治工作由料场经营单位承担。本工程建设不另外规划设置砂、石料场和取土场，减少了由于料场开挖而造成的水土流失。因此，本工程不存在取料场选址制约性因素。</w:t>
      </w:r>
    </w:p>
    <w:p w14:paraId="4C3C314C">
      <w:pPr>
        <w:ind w:firstLine="480"/>
        <w:rPr>
          <w:rFonts w:hint="default"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6</w:t>
      </w:r>
      <w:r>
        <w:rPr>
          <w:rFonts w:hint="eastAsia" w:ascii="Times New Roman" w:hAnsi="Times New Roman" w:cs="Times New Roman"/>
          <w:lang w:eastAsia="zh-CN"/>
        </w:rPr>
        <w:t>）</w:t>
      </w:r>
      <w:r>
        <w:rPr>
          <w:rFonts w:hint="default" w:ascii="Times New Roman" w:hAnsi="Times New Roman" w:cs="Times New Roman"/>
          <w:lang w:eastAsia="zh-CN"/>
        </w:rPr>
        <w:t>弃土（石、渣、灰、矸石、尾矿）场设置评价</w:t>
      </w:r>
    </w:p>
    <w:p w14:paraId="6505E5E9">
      <w:pPr>
        <w:ind w:firstLine="480"/>
        <w:rPr>
          <w:rFonts w:hint="default" w:ascii="Times New Roman" w:hAnsi="Times New Roman" w:cs="Times New Roman"/>
        </w:rPr>
      </w:pPr>
      <w:r>
        <w:rPr>
          <w:rFonts w:hint="default" w:ascii="Times New Roman" w:hAnsi="Times New Roman" w:cs="Times New Roman"/>
        </w:rPr>
        <w:t>根据土石方平衡情况，本项目</w:t>
      </w:r>
      <w:r>
        <w:rPr>
          <w:rFonts w:hint="eastAsia" w:cs="Times New Roman"/>
          <w:lang w:val="en-US" w:eastAsia="zh-CN"/>
        </w:rPr>
        <w:t>未</w:t>
      </w:r>
      <w:r>
        <w:rPr>
          <w:rFonts w:hint="default" w:ascii="Times New Roman" w:hAnsi="Times New Roman" w:cs="Times New Roman"/>
        </w:rPr>
        <w:t>产生废弃土石方，本项目建设不设置弃渣场</w:t>
      </w:r>
      <w:r>
        <w:rPr>
          <w:rFonts w:hint="eastAsia" w:cs="Times New Roman"/>
          <w:lang w:eastAsia="zh-CN"/>
        </w:rPr>
        <w:t>，</w:t>
      </w:r>
      <w:r>
        <w:rPr>
          <w:rFonts w:hint="eastAsia" w:cs="Times New Roman"/>
          <w:lang w:val="en-US" w:eastAsia="zh-CN"/>
        </w:rPr>
        <w:t>不涉及弃渣场选址</w:t>
      </w:r>
      <w:r>
        <w:rPr>
          <w:rFonts w:hint="default" w:ascii="Times New Roman" w:hAnsi="Times New Roman" w:cs="Times New Roman"/>
        </w:rPr>
        <w:t>。</w:t>
      </w:r>
    </w:p>
    <w:p w14:paraId="64C7F41A">
      <w:pPr>
        <w:ind w:firstLine="48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7</w:t>
      </w:r>
      <w:r>
        <w:rPr>
          <w:rFonts w:hint="default" w:ascii="Times New Roman" w:hAnsi="Times New Roman" w:cs="Times New Roman"/>
        </w:rPr>
        <w:t>）具有水土保持功能措施评价</w:t>
      </w:r>
    </w:p>
    <w:p w14:paraId="44016D54">
      <w:pPr>
        <w:ind w:firstLine="480"/>
        <w:rPr>
          <w:rFonts w:hint="default" w:ascii="Times New Roman" w:hAnsi="Times New Roman" w:cs="Times New Roman"/>
        </w:rPr>
      </w:pPr>
      <w:r>
        <w:rPr>
          <w:rFonts w:hint="default" w:ascii="Times New Roman" w:hAnsi="Times New Roman" w:cs="Times New Roman"/>
        </w:rPr>
        <w:t>根据主体资料，主体工程中设计的具有水土保持功能措施，主要为</w:t>
      </w:r>
      <w:r>
        <w:rPr>
          <w:rFonts w:hint="default" w:ascii="Times New Roman" w:hAnsi="Times New Roman" w:cs="Times New Roman"/>
          <w:szCs w:val="20"/>
        </w:rPr>
        <w:t>表土剥离、雨水管网、景观绿化</w:t>
      </w:r>
      <w:r>
        <w:rPr>
          <w:rFonts w:hint="default" w:ascii="Times New Roman" w:hAnsi="Times New Roman" w:cs="Times New Roman"/>
        </w:rPr>
        <w:t>等</w:t>
      </w:r>
      <w:r>
        <w:rPr>
          <w:rFonts w:hint="default" w:ascii="Times New Roman" w:hAnsi="Times New Roman" w:cs="Times New Roman"/>
          <w:szCs w:val="20"/>
        </w:rPr>
        <w:t>措施</w:t>
      </w:r>
      <w:r>
        <w:rPr>
          <w:rFonts w:hint="default" w:ascii="Times New Roman" w:hAnsi="Times New Roman" w:cs="Times New Roman"/>
        </w:rPr>
        <w:t>。措施数量合理，符合水保要求，可以起到保障安全、防治水土流失的目的。本方案在主体工程已实施和设计措施基础上，主要补充完善项目建设期间的临时防护措施，主要包含临时沉砂池、</w:t>
      </w:r>
      <w:r>
        <w:rPr>
          <w:rFonts w:hint="eastAsia" w:cs="Times New Roman"/>
          <w:lang w:val="en-US" w:eastAsia="zh-CN"/>
        </w:rPr>
        <w:t>临时拦挡、</w:t>
      </w:r>
      <w:r>
        <w:rPr>
          <w:rFonts w:hint="default" w:ascii="Times New Roman" w:hAnsi="Times New Roman" w:cs="Times New Roman"/>
          <w:lang w:eastAsia="zh-CN"/>
        </w:rPr>
        <w:t>车辆清洗设施</w:t>
      </w:r>
      <w:r>
        <w:rPr>
          <w:rFonts w:hint="default" w:ascii="Times New Roman" w:hAnsi="Times New Roman" w:cs="Times New Roman"/>
        </w:rPr>
        <w:t>及临时苫盖措施等，要求永临结合实施临时排水沟措施。</w:t>
      </w:r>
    </w:p>
    <w:p w14:paraId="69017DFE">
      <w:pPr>
        <w:ind w:firstLine="480"/>
        <w:rPr>
          <w:rFonts w:hint="default" w:ascii="Times New Roman" w:hAnsi="Times New Roman" w:cs="Times New Roman"/>
        </w:rPr>
      </w:pPr>
      <w:r>
        <w:rPr>
          <w:rFonts w:hint="default" w:ascii="Times New Roman" w:hAnsi="Times New Roman" w:cs="Times New Roman"/>
        </w:rPr>
        <w:t>根据本方案对措施总体布局的完善，可满足工程建设及运行的水土防护要求，符合水土保持要求。</w:t>
      </w:r>
    </w:p>
    <w:p w14:paraId="400FB123">
      <w:pPr>
        <w:pStyle w:val="3"/>
        <w:rPr>
          <w:rFonts w:hint="default" w:ascii="Times New Roman" w:hAnsi="Times New Roman" w:cs="Times New Roman"/>
        </w:rPr>
      </w:pPr>
      <w:bookmarkStart w:id="21" w:name="_Toc165223558"/>
      <w:r>
        <w:rPr>
          <w:rFonts w:hint="default" w:ascii="Times New Roman" w:hAnsi="Times New Roman" w:cs="Times New Roman"/>
        </w:rPr>
        <w:t>水土流失预测结果</w:t>
      </w:r>
      <w:bookmarkEnd w:id="21"/>
    </w:p>
    <w:p w14:paraId="39238ED0">
      <w:pPr>
        <w:ind w:firstLine="480"/>
        <w:rPr>
          <w:rFonts w:hint="default" w:ascii="Times New Roman" w:hAnsi="Times New Roman" w:cs="Times New Roman"/>
        </w:rPr>
      </w:pPr>
      <w:r>
        <w:rPr>
          <w:rFonts w:hint="default" w:ascii="Times New Roman" w:hAnsi="Times New Roman" w:cs="Times New Roman"/>
        </w:rPr>
        <w:t>项目建设区原生水土流失量为</w:t>
      </w:r>
      <w:r>
        <w:rPr>
          <w:rFonts w:hint="eastAsia" w:cs="Times New Roman"/>
          <w:lang w:eastAsia="zh-CN"/>
        </w:rPr>
        <w:t>8.74t</w:t>
      </w:r>
      <w:r>
        <w:rPr>
          <w:rFonts w:hint="default" w:ascii="Times New Roman" w:hAnsi="Times New Roman" w:cs="Times New Roman"/>
        </w:rPr>
        <w:t>，项目建设可能产生的水土流失总量为</w:t>
      </w:r>
      <w:r>
        <w:rPr>
          <w:rFonts w:hint="eastAsia" w:cs="Times New Roman"/>
          <w:lang w:eastAsia="zh-CN"/>
        </w:rPr>
        <w:t>179.33t</w:t>
      </w:r>
      <w:r>
        <w:rPr>
          <w:rFonts w:hint="default" w:ascii="Times New Roman" w:hAnsi="Times New Roman" w:cs="Times New Roman"/>
        </w:rPr>
        <w:t>，新增水土流失量为</w:t>
      </w:r>
      <w:r>
        <w:rPr>
          <w:rFonts w:hint="eastAsia" w:cs="Times New Roman"/>
          <w:lang w:eastAsia="zh-CN"/>
        </w:rPr>
        <w:t>170.59t</w:t>
      </w:r>
      <w:r>
        <w:rPr>
          <w:rFonts w:hint="default" w:ascii="Times New Roman" w:hAnsi="Times New Roman" w:cs="Times New Roman"/>
        </w:rPr>
        <w:t>，新增水土流失主要区域是</w:t>
      </w:r>
      <w:r>
        <w:rPr>
          <w:rFonts w:hint="eastAsia" w:cs="Times New Roman"/>
          <w:lang w:val="en-US" w:eastAsia="zh-CN"/>
        </w:rPr>
        <w:t>绿化</w:t>
      </w:r>
      <w:r>
        <w:rPr>
          <w:rFonts w:hint="eastAsia" w:cs="Times New Roman"/>
          <w:lang w:eastAsia="zh-CN"/>
        </w:rPr>
        <w:t>区（</w:t>
      </w:r>
      <w:r>
        <w:rPr>
          <w:rFonts w:hint="eastAsia" w:cs="Times New Roman"/>
          <w:lang w:val="en-US" w:eastAsia="zh-CN"/>
        </w:rPr>
        <w:t>表土堆场</w:t>
      </w:r>
      <w:r>
        <w:rPr>
          <w:rFonts w:hint="eastAsia" w:cs="Times New Roman"/>
          <w:lang w:eastAsia="zh-CN"/>
        </w:rPr>
        <w:t>）</w:t>
      </w:r>
      <w:r>
        <w:rPr>
          <w:rFonts w:hint="default" w:ascii="Times New Roman" w:hAnsi="Times New Roman" w:cs="Times New Roman"/>
        </w:rPr>
        <w:t>，也是监测的重点区域。</w:t>
      </w:r>
    </w:p>
    <w:p w14:paraId="2431C5CA">
      <w:pPr>
        <w:ind w:firstLine="472"/>
        <w:rPr>
          <w:rFonts w:hint="default" w:ascii="Times New Roman" w:hAnsi="Times New Roman" w:cs="Times New Roman"/>
          <w:spacing w:val="-2"/>
          <w:lang w:val="zh-CN"/>
        </w:rPr>
      </w:pPr>
      <w:r>
        <w:rPr>
          <w:rFonts w:hint="default" w:ascii="Times New Roman" w:hAnsi="Times New Roman" w:cs="Times New Roman"/>
          <w:spacing w:val="-2"/>
        </w:rPr>
        <w:t>通过各项措施的实施，可减少水土流失量为</w:t>
      </w:r>
      <w:r>
        <w:rPr>
          <w:rFonts w:hint="eastAsia" w:cs="Times New Roman"/>
          <w:lang w:eastAsia="zh-CN"/>
        </w:rPr>
        <w:t>170.59t</w:t>
      </w:r>
      <w:r>
        <w:rPr>
          <w:rFonts w:hint="default" w:ascii="Times New Roman" w:hAnsi="Times New Roman" w:cs="Times New Roman"/>
        </w:rPr>
        <w:t>，</w:t>
      </w:r>
      <w:r>
        <w:rPr>
          <w:rFonts w:hint="default" w:ascii="Times New Roman" w:hAnsi="Times New Roman" w:cs="Times New Roman"/>
          <w:spacing w:val="-2"/>
          <w:lang w:val="zh-CN"/>
        </w:rPr>
        <w:t>项目施工过程中，若不注意水土流失的临时防护，一方面可能会对主体工程施工安全造成不良影响；另外可能会导致雨季泥沙量增加，造成周边排洪通道淤塞，将会造成水、土漫流，污染周边道路面环境，影响交通，对周边的企业生产和居民生活造成一定的影响。</w:t>
      </w:r>
    </w:p>
    <w:p w14:paraId="50F2ECC5">
      <w:pPr>
        <w:pStyle w:val="3"/>
        <w:rPr>
          <w:rFonts w:hint="default" w:ascii="Times New Roman" w:hAnsi="Times New Roman" w:cs="Times New Roman"/>
        </w:rPr>
      </w:pPr>
      <w:bookmarkStart w:id="22" w:name="_Toc165223559"/>
      <w:r>
        <w:rPr>
          <w:rFonts w:hint="default" w:ascii="Times New Roman" w:hAnsi="Times New Roman" w:cs="Times New Roman"/>
        </w:rPr>
        <w:t>水土保持措施布设成果</w:t>
      </w:r>
      <w:bookmarkEnd w:id="22"/>
    </w:p>
    <w:p w14:paraId="43492F84">
      <w:pPr>
        <w:pStyle w:val="4"/>
        <w:rPr>
          <w:rFonts w:hint="default" w:ascii="Times New Roman" w:hAnsi="Times New Roman" w:cs="Times New Roman"/>
        </w:rPr>
      </w:pPr>
      <w:r>
        <w:rPr>
          <w:rFonts w:hint="default" w:ascii="Times New Roman" w:hAnsi="Times New Roman" w:cs="Times New Roman"/>
        </w:rPr>
        <w:t>水土保持措施布局</w:t>
      </w:r>
    </w:p>
    <w:p w14:paraId="129E2112">
      <w:pPr>
        <w:ind w:firstLine="480"/>
        <w:rPr>
          <w:rFonts w:hint="default" w:ascii="Times New Roman" w:hAnsi="Times New Roman" w:eastAsia="仿宋_GB2312" w:cs="Times New Roman"/>
          <w:lang w:val="en-US" w:eastAsia="zh-CN"/>
        </w:rPr>
      </w:pPr>
      <w:r>
        <w:rPr>
          <w:rFonts w:hint="eastAsia" w:cs="Times New Roman"/>
          <w:lang w:val="en-US" w:eastAsia="zh-CN"/>
        </w:rPr>
        <w:t>一、地块一</w:t>
      </w:r>
    </w:p>
    <w:p w14:paraId="49CB6C55">
      <w:pPr>
        <w:ind w:firstLine="480"/>
        <w:rPr>
          <w:rFonts w:hint="default" w:ascii="Times New Roman" w:hAnsi="Times New Roman" w:cs="Times New Roman"/>
        </w:rPr>
      </w:pPr>
      <w:r>
        <w:rPr>
          <w:rFonts w:hint="default" w:ascii="Times New Roman" w:hAnsi="Times New Roman" w:cs="Times New Roman"/>
        </w:rPr>
        <w:t>（1）建构筑物区：主体</w:t>
      </w:r>
      <w:r>
        <w:rPr>
          <w:rFonts w:hint="eastAsia" w:cs="Times New Roman"/>
          <w:lang w:val="en-US" w:eastAsia="zh-CN"/>
        </w:rPr>
        <w:t>考虑了该区</w:t>
      </w:r>
      <w:r>
        <w:rPr>
          <w:rFonts w:hint="default" w:ascii="Times New Roman" w:hAnsi="Times New Roman" w:cs="Times New Roman"/>
        </w:rPr>
        <w:t>施工前期的表土剥离措施</w:t>
      </w:r>
      <w:r>
        <w:rPr>
          <w:rFonts w:hint="eastAsia" w:cs="Times New Roman"/>
          <w:lang w:eastAsia="zh-CN"/>
        </w:rPr>
        <w:t>，</w:t>
      </w:r>
      <w:r>
        <w:rPr>
          <w:rFonts w:hint="eastAsia" w:cs="Times New Roman"/>
          <w:lang w:val="en-US" w:eastAsia="zh-CN"/>
        </w:rPr>
        <w:t>方案补充</w:t>
      </w:r>
      <w:r>
        <w:rPr>
          <w:rFonts w:hint="default" w:ascii="Times New Roman" w:hAnsi="Times New Roman" w:cs="Times New Roman"/>
        </w:rPr>
        <w:t>设计施工前期的表土剥离措施</w:t>
      </w:r>
      <w:r>
        <w:rPr>
          <w:rFonts w:hint="eastAsia" w:cs="Times New Roman"/>
          <w:lang w:eastAsia="zh-CN"/>
        </w:rPr>
        <w:t>，</w:t>
      </w:r>
      <w:r>
        <w:rPr>
          <w:rFonts w:hint="default" w:ascii="Times New Roman" w:hAnsi="Times New Roman" w:cs="Times New Roman"/>
        </w:rPr>
        <w:t>施工期间基础开挖区域的临时苫盖措施，并提出水土保持管理要求。</w:t>
      </w:r>
    </w:p>
    <w:p w14:paraId="56116E29">
      <w:pPr>
        <w:ind w:firstLine="48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道路及硬化区</w:t>
      </w:r>
      <w:r>
        <w:rPr>
          <w:rFonts w:hint="default" w:ascii="Times New Roman" w:hAnsi="Times New Roman" w:cs="Times New Roman"/>
        </w:rPr>
        <w:t>：主体设计</w:t>
      </w:r>
      <w:r>
        <w:rPr>
          <w:rFonts w:hint="eastAsia" w:cs="Times New Roman"/>
          <w:lang w:val="en-US" w:eastAsia="zh-CN"/>
        </w:rPr>
        <w:t>考虑了</w:t>
      </w:r>
      <w:r>
        <w:rPr>
          <w:rFonts w:hint="default" w:ascii="Times New Roman" w:hAnsi="Times New Roman" w:cs="Times New Roman"/>
        </w:rPr>
        <w:t>施工前期的表土剥离措</w:t>
      </w:r>
      <w:r>
        <w:rPr>
          <w:rFonts w:hint="eastAsia" w:ascii="Times New Roman" w:hAnsi="Times New Roman" w:cs="Times New Roman"/>
          <w:lang w:eastAsia="zh-CN"/>
        </w:rPr>
        <w:t>、</w:t>
      </w:r>
      <w:r>
        <w:rPr>
          <w:rFonts w:hint="eastAsia" w:cs="Times New Roman"/>
          <w:lang w:val="en-US" w:eastAsia="zh-CN"/>
        </w:rPr>
        <w:t>雨水管网措施，方案补充</w:t>
      </w:r>
      <w:r>
        <w:rPr>
          <w:rFonts w:hint="default" w:ascii="Times New Roman" w:hAnsi="Times New Roman" w:cs="Times New Roman"/>
        </w:rPr>
        <w:t>设计施工期间新增施工区域临时苫盖、</w:t>
      </w:r>
      <w:r>
        <w:rPr>
          <w:rFonts w:hint="default" w:ascii="Times New Roman" w:hAnsi="Times New Roman" w:cs="Times New Roman"/>
          <w:lang w:eastAsia="zh-CN"/>
        </w:rPr>
        <w:t>车辆</w:t>
      </w:r>
      <w:r>
        <w:rPr>
          <w:rFonts w:hint="eastAsia" w:cs="Times New Roman"/>
          <w:lang w:val="en-US" w:eastAsia="zh-CN"/>
        </w:rPr>
        <w:t>进出口的</w:t>
      </w:r>
      <w:r>
        <w:rPr>
          <w:rFonts w:hint="default" w:ascii="Times New Roman" w:hAnsi="Times New Roman" w:cs="Times New Roman"/>
          <w:lang w:eastAsia="zh-CN"/>
        </w:rPr>
        <w:t>清洗</w:t>
      </w:r>
      <w:r>
        <w:rPr>
          <w:rFonts w:hint="default" w:ascii="Times New Roman" w:hAnsi="Times New Roman" w:cs="Times New Roman"/>
        </w:rPr>
        <w:t>措施，永临结合布设临时排水沟（工程量不单独计列），</w:t>
      </w:r>
      <w:r>
        <w:rPr>
          <w:rFonts w:hint="eastAsia" w:ascii="Times New Roman" w:hAnsi="Times New Roman" w:cs="Times New Roman"/>
          <w:lang w:val="en-US" w:eastAsia="zh-CN"/>
        </w:rPr>
        <w:t>并在排水出口布设临时沉砂池，</w:t>
      </w:r>
      <w:r>
        <w:rPr>
          <w:rFonts w:hint="default" w:ascii="Times New Roman" w:hAnsi="Times New Roman" w:cs="Times New Roman"/>
        </w:rPr>
        <w:t>并提出水土保持管理要求。</w:t>
      </w:r>
    </w:p>
    <w:p w14:paraId="45085981">
      <w:pPr>
        <w:ind w:firstLine="480"/>
        <w:rPr>
          <w:rFonts w:hint="default" w:ascii="Times New Roman" w:hAnsi="Times New Roman" w:cs="Times New Roman"/>
        </w:rPr>
      </w:pPr>
      <w:r>
        <w:rPr>
          <w:rFonts w:hint="default" w:ascii="Times New Roman" w:hAnsi="Times New Roman" w:cs="Times New Roman"/>
        </w:rPr>
        <w:t>（3）绿化区：主体设计</w:t>
      </w:r>
      <w:r>
        <w:rPr>
          <w:rFonts w:hint="eastAsia" w:cs="Times New Roman"/>
          <w:lang w:val="en-US" w:eastAsia="zh-CN"/>
        </w:rPr>
        <w:t>考虑了</w:t>
      </w:r>
      <w:r>
        <w:rPr>
          <w:rFonts w:hint="default" w:ascii="Times New Roman" w:hAnsi="Times New Roman" w:cs="Times New Roman"/>
        </w:rPr>
        <w:t>施工前期的表土剥离措施</w:t>
      </w:r>
      <w:r>
        <w:rPr>
          <w:rFonts w:hint="eastAsia" w:ascii="Times New Roman" w:hAnsi="Times New Roman" w:cs="Times New Roman"/>
          <w:lang w:eastAsia="zh-CN"/>
        </w:rPr>
        <w:t>、</w:t>
      </w:r>
      <w:r>
        <w:rPr>
          <w:rFonts w:hint="eastAsia" w:cs="Times New Roman"/>
          <w:lang w:val="en-US" w:eastAsia="zh-CN"/>
        </w:rPr>
        <w:t>项目区空地的绿化措施，</w:t>
      </w:r>
      <w:r>
        <w:rPr>
          <w:rFonts w:hint="default" w:ascii="Times New Roman" w:hAnsi="Times New Roman" w:cs="Times New Roman"/>
        </w:rPr>
        <w:t>为保障植物成活率，</w:t>
      </w:r>
      <w:r>
        <w:rPr>
          <w:rFonts w:hint="eastAsia" w:cs="Times New Roman"/>
          <w:lang w:val="en-US" w:eastAsia="zh-CN"/>
        </w:rPr>
        <w:t>方案补充</w:t>
      </w:r>
      <w:r>
        <w:rPr>
          <w:rFonts w:hint="default" w:ascii="Times New Roman" w:hAnsi="Times New Roman" w:cs="Times New Roman"/>
        </w:rPr>
        <w:t>设计绿化片区的临时苫盖措施，</w:t>
      </w:r>
      <w:r>
        <w:rPr>
          <w:rFonts w:hint="eastAsia" w:cs="Times New Roman"/>
          <w:lang w:val="en-US" w:eastAsia="zh-CN"/>
        </w:rPr>
        <w:t>补充表土堆场的临时苫盖及临时拦挡措施，</w:t>
      </w:r>
      <w:r>
        <w:rPr>
          <w:rFonts w:hint="default" w:ascii="Times New Roman" w:hAnsi="Times New Roman" w:cs="Times New Roman"/>
        </w:rPr>
        <w:t>并提出水土保持管理要求。</w:t>
      </w:r>
    </w:p>
    <w:p w14:paraId="24BC2457">
      <w:pPr>
        <w:ind w:firstLine="480"/>
        <w:rPr>
          <w:rFonts w:hint="default" w:ascii="Times New Roman" w:hAnsi="Times New Roman" w:eastAsia="仿宋_GB2312" w:cs="Times New Roman"/>
          <w:lang w:val="en-US" w:eastAsia="zh-CN"/>
        </w:rPr>
      </w:pPr>
      <w:r>
        <w:rPr>
          <w:rFonts w:hint="eastAsia" w:cs="Times New Roman"/>
          <w:lang w:val="en-US" w:eastAsia="zh-CN"/>
        </w:rPr>
        <w:t>二、地块二</w:t>
      </w:r>
    </w:p>
    <w:p w14:paraId="335F9D67">
      <w:pPr>
        <w:ind w:firstLine="480"/>
        <w:rPr>
          <w:rFonts w:hint="default" w:ascii="Times New Roman" w:hAnsi="Times New Roman" w:cs="Times New Roman"/>
        </w:rPr>
      </w:pPr>
      <w:r>
        <w:rPr>
          <w:rFonts w:hint="default" w:ascii="Times New Roman" w:hAnsi="Times New Roman" w:cs="Times New Roman"/>
        </w:rPr>
        <w:t>（1）建构筑物区：</w:t>
      </w:r>
      <w:r>
        <w:rPr>
          <w:rFonts w:hint="eastAsia" w:ascii="Times New Roman" w:hAnsi="Times New Roman" w:cs="Times New Roman"/>
          <w:lang w:val="en-US" w:eastAsia="zh-CN"/>
        </w:rPr>
        <w:t>目前已完成表土剥离，</w:t>
      </w:r>
      <w:r>
        <w:rPr>
          <w:rFonts w:hint="default" w:ascii="Times New Roman" w:hAnsi="Times New Roman" w:cs="Times New Roman"/>
        </w:rPr>
        <w:t>主体</w:t>
      </w:r>
      <w:r>
        <w:rPr>
          <w:rFonts w:hint="eastAsia" w:cs="Times New Roman"/>
          <w:lang w:val="en-US" w:eastAsia="zh-CN"/>
        </w:rPr>
        <w:t>未考虑其余水保措施，方案补充</w:t>
      </w:r>
      <w:r>
        <w:rPr>
          <w:rFonts w:hint="default" w:ascii="Times New Roman" w:hAnsi="Times New Roman" w:cs="Times New Roman"/>
        </w:rPr>
        <w:t>设计施工期间基础开挖区域的临时苫盖措施，并提出水土保持管理要求。</w:t>
      </w:r>
    </w:p>
    <w:p w14:paraId="2D45CC70">
      <w:pPr>
        <w:ind w:firstLine="48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道路及硬化区</w:t>
      </w:r>
      <w:r>
        <w:rPr>
          <w:rFonts w:hint="default" w:ascii="Times New Roman" w:hAnsi="Times New Roman" w:cs="Times New Roman"/>
        </w:rPr>
        <w:t>：</w:t>
      </w:r>
      <w:r>
        <w:rPr>
          <w:rFonts w:hint="eastAsia" w:ascii="Times New Roman" w:hAnsi="Times New Roman" w:cs="Times New Roman"/>
          <w:lang w:val="en-US" w:eastAsia="zh-CN"/>
        </w:rPr>
        <w:t>目前已完成表土剥离，</w:t>
      </w:r>
      <w:r>
        <w:rPr>
          <w:rFonts w:hint="default" w:ascii="Times New Roman" w:hAnsi="Times New Roman" w:cs="Times New Roman"/>
        </w:rPr>
        <w:t>主体设计</w:t>
      </w:r>
      <w:r>
        <w:rPr>
          <w:rFonts w:hint="eastAsia" w:cs="Times New Roman"/>
          <w:lang w:val="en-US" w:eastAsia="zh-CN"/>
        </w:rPr>
        <w:t>考虑了雨水管网措施，方案补充</w:t>
      </w:r>
      <w:r>
        <w:rPr>
          <w:rFonts w:hint="default" w:ascii="Times New Roman" w:hAnsi="Times New Roman" w:cs="Times New Roman"/>
        </w:rPr>
        <w:t>设计施工期间施工区域临时苫盖、</w:t>
      </w:r>
      <w:r>
        <w:rPr>
          <w:rFonts w:hint="default" w:ascii="Times New Roman" w:hAnsi="Times New Roman" w:cs="Times New Roman"/>
          <w:lang w:eastAsia="zh-CN"/>
        </w:rPr>
        <w:t>车辆</w:t>
      </w:r>
      <w:r>
        <w:rPr>
          <w:rFonts w:hint="eastAsia" w:cs="Times New Roman"/>
          <w:lang w:val="en-US" w:eastAsia="zh-CN"/>
        </w:rPr>
        <w:t>进出口的</w:t>
      </w:r>
      <w:r>
        <w:rPr>
          <w:rFonts w:hint="default" w:ascii="Times New Roman" w:hAnsi="Times New Roman" w:cs="Times New Roman"/>
          <w:lang w:eastAsia="zh-CN"/>
        </w:rPr>
        <w:t>清洗</w:t>
      </w:r>
      <w:r>
        <w:rPr>
          <w:rFonts w:hint="default" w:ascii="Times New Roman" w:hAnsi="Times New Roman" w:cs="Times New Roman"/>
        </w:rPr>
        <w:t>措施，永临结合布设临时排水沟（工程量不单独计列），</w:t>
      </w:r>
      <w:r>
        <w:rPr>
          <w:rFonts w:hint="eastAsia" w:ascii="Times New Roman" w:hAnsi="Times New Roman" w:cs="Times New Roman"/>
          <w:lang w:val="en-US" w:eastAsia="zh-CN"/>
        </w:rPr>
        <w:t>并在排水出口布设临时沉砂池，</w:t>
      </w:r>
      <w:r>
        <w:rPr>
          <w:rFonts w:hint="default" w:ascii="Times New Roman" w:hAnsi="Times New Roman" w:cs="Times New Roman"/>
        </w:rPr>
        <w:t>并提出水土保持管理要求。</w:t>
      </w:r>
    </w:p>
    <w:p w14:paraId="1CDE65DF">
      <w:pPr>
        <w:ind w:firstLine="480"/>
        <w:rPr>
          <w:rFonts w:hint="default" w:ascii="Times New Roman" w:hAnsi="Times New Roman" w:cs="Times New Roman"/>
        </w:rPr>
      </w:pPr>
      <w:r>
        <w:rPr>
          <w:rFonts w:hint="default" w:ascii="Times New Roman" w:hAnsi="Times New Roman" w:cs="Times New Roman"/>
        </w:rPr>
        <w:t>（3）绿化区：</w:t>
      </w:r>
      <w:r>
        <w:rPr>
          <w:rFonts w:hint="eastAsia" w:ascii="Times New Roman" w:hAnsi="Times New Roman" w:cs="Times New Roman"/>
          <w:lang w:val="en-US" w:eastAsia="zh-CN"/>
        </w:rPr>
        <w:t>目前已完成表土剥离，</w:t>
      </w:r>
      <w:r>
        <w:rPr>
          <w:rFonts w:hint="default" w:ascii="Times New Roman" w:hAnsi="Times New Roman" w:cs="Times New Roman"/>
        </w:rPr>
        <w:t>主体设计</w:t>
      </w:r>
      <w:r>
        <w:rPr>
          <w:rFonts w:hint="eastAsia" w:cs="Times New Roman"/>
          <w:lang w:val="en-US" w:eastAsia="zh-CN"/>
        </w:rPr>
        <w:t>考虑了项目区空地的绿化措施，</w:t>
      </w:r>
      <w:r>
        <w:rPr>
          <w:rFonts w:hint="default" w:ascii="Times New Roman" w:hAnsi="Times New Roman" w:cs="Times New Roman"/>
        </w:rPr>
        <w:t>为保障植物成活率，</w:t>
      </w:r>
      <w:r>
        <w:rPr>
          <w:rFonts w:hint="eastAsia" w:cs="Times New Roman"/>
          <w:lang w:val="en-US" w:eastAsia="zh-CN"/>
        </w:rPr>
        <w:t>方案补充</w:t>
      </w:r>
      <w:r>
        <w:rPr>
          <w:rFonts w:hint="default" w:ascii="Times New Roman" w:hAnsi="Times New Roman" w:cs="Times New Roman"/>
        </w:rPr>
        <w:t>设计绿化片区的临时苫盖措施，</w:t>
      </w:r>
      <w:r>
        <w:rPr>
          <w:rFonts w:hint="eastAsia" w:cs="Times New Roman"/>
          <w:lang w:val="en-US" w:eastAsia="zh-CN"/>
        </w:rPr>
        <w:t>补充表土堆场的临时苫盖及临时拦挡措施，</w:t>
      </w:r>
      <w:r>
        <w:rPr>
          <w:rFonts w:hint="default" w:ascii="Times New Roman" w:hAnsi="Times New Roman" w:cs="Times New Roman"/>
        </w:rPr>
        <w:t>并提出水土保持管理要求。</w:t>
      </w:r>
    </w:p>
    <w:p w14:paraId="33402D5F">
      <w:pPr>
        <w:pStyle w:val="4"/>
        <w:rPr>
          <w:rFonts w:hint="default" w:ascii="Times New Roman" w:hAnsi="Times New Roman" w:cs="Times New Roman"/>
        </w:rPr>
      </w:pPr>
      <w:r>
        <w:rPr>
          <w:rFonts w:hint="default" w:ascii="Times New Roman" w:hAnsi="Times New Roman" w:cs="Times New Roman"/>
        </w:rPr>
        <w:t>水土保持措施布设成果</w:t>
      </w:r>
    </w:p>
    <w:p w14:paraId="0C625B7A">
      <w:pPr>
        <w:ind w:firstLine="480"/>
        <w:rPr>
          <w:rFonts w:hint="default" w:ascii="Times New Roman" w:hAnsi="Times New Roman" w:cs="Times New Roman"/>
          <w:kern w:val="0"/>
        </w:rPr>
      </w:pPr>
      <w:r>
        <w:rPr>
          <w:rFonts w:hint="default" w:ascii="Times New Roman" w:hAnsi="Times New Roman" w:cs="Times New Roman"/>
        </w:rPr>
        <w:t>根据前面各防治区水土保持措施布设情况，</w:t>
      </w:r>
      <w:r>
        <w:rPr>
          <w:rFonts w:hint="default" w:ascii="Times New Roman" w:hAnsi="Times New Roman" w:cs="Times New Roman"/>
          <w:kern w:val="0"/>
        </w:rPr>
        <w:t>经统计，水土保持措施工程总数量为：</w:t>
      </w:r>
    </w:p>
    <w:p w14:paraId="202FBF98">
      <w:pPr>
        <w:ind w:firstLine="480"/>
        <w:rPr>
          <w:rFonts w:hint="default" w:ascii="Times New Roman" w:hAnsi="Times New Roman" w:cs="Times New Roman"/>
        </w:rPr>
      </w:pPr>
      <w:r>
        <w:rPr>
          <w:rFonts w:hint="default" w:ascii="Times New Roman" w:hAnsi="Times New Roman" w:cs="Times New Roman"/>
        </w:rPr>
        <w:t>一、主体工程中具有水土保持功能的措施：</w:t>
      </w:r>
    </w:p>
    <w:p w14:paraId="1CC85B49">
      <w:pPr>
        <w:ind w:firstLine="480"/>
        <w:rPr>
          <w:rFonts w:hint="default" w:ascii="Times New Roman" w:hAnsi="Times New Roman" w:eastAsia="仿宋_GB2312" w:cs="Times New Roman"/>
          <w:lang w:val="en-US" w:eastAsia="zh-CN"/>
        </w:rPr>
      </w:pPr>
      <w:r>
        <w:rPr>
          <w:rFonts w:hint="eastAsia" w:cs="Times New Roman"/>
          <w:lang w:val="en-US" w:eastAsia="zh-CN"/>
        </w:rPr>
        <w:t>1、地块一</w:t>
      </w:r>
    </w:p>
    <w:p w14:paraId="12A37686">
      <w:pPr>
        <w:ind w:firstLine="480"/>
        <w:rPr>
          <w:rFonts w:hint="default" w:ascii="Times New Roman" w:hAnsi="Times New Roman" w:cs="Times New Roman"/>
        </w:rPr>
      </w:pPr>
      <w:r>
        <w:rPr>
          <w:rFonts w:hint="default" w:ascii="Times New Roman" w:hAnsi="Times New Roman" w:cs="Times New Roman"/>
        </w:rPr>
        <w:t>（1）工程措施：表土剥离</w:t>
      </w:r>
      <w:r>
        <w:rPr>
          <w:rFonts w:hint="eastAsia" w:cs="Times New Roman"/>
          <w:lang w:val="en-US" w:eastAsia="zh-CN"/>
        </w:rPr>
        <w:t>555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，雨水管网</w:t>
      </w:r>
      <w:r>
        <w:rPr>
          <w:rFonts w:hint="eastAsia" w:cs="Times New Roman"/>
          <w:lang w:val="en-US" w:eastAsia="zh-CN"/>
        </w:rPr>
        <w:t>200</w:t>
      </w:r>
      <w:r>
        <w:rPr>
          <w:rFonts w:hint="default" w:ascii="Times New Roman" w:hAnsi="Times New Roman" w:cs="Times New Roman"/>
        </w:rPr>
        <w:t>m；</w:t>
      </w:r>
    </w:p>
    <w:p w14:paraId="1E88ECDE">
      <w:pPr>
        <w:ind w:firstLine="480"/>
        <w:rPr>
          <w:rFonts w:hint="default" w:ascii="Times New Roman" w:hAnsi="Times New Roman" w:cs="Times New Roman"/>
        </w:rPr>
      </w:pPr>
      <w:r>
        <w:rPr>
          <w:rFonts w:hint="default" w:ascii="Times New Roman" w:hAnsi="Times New Roman" w:cs="Times New Roman"/>
        </w:rPr>
        <w:t>（2）植物措施：景观绿化0.0</w:t>
      </w:r>
      <w:r>
        <w:rPr>
          <w:rFonts w:hint="eastAsia" w:cs="Times New Roman"/>
          <w:lang w:val="en-US" w:eastAsia="zh-CN"/>
        </w:rPr>
        <w:t>9</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6DDDBC80">
      <w:pPr>
        <w:ind w:firstLine="480"/>
        <w:rPr>
          <w:rFonts w:hint="default" w:ascii="Times New Roman" w:hAnsi="Times New Roman" w:eastAsia="仿宋_GB2312" w:cs="Times New Roman"/>
          <w:lang w:val="en-US" w:eastAsia="zh-CN"/>
        </w:rPr>
      </w:pPr>
      <w:r>
        <w:rPr>
          <w:rFonts w:hint="eastAsia" w:cs="Times New Roman"/>
          <w:lang w:val="en-US" w:eastAsia="zh-CN"/>
        </w:rPr>
        <w:t>2、地块二</w:t>
      </w:r>
    </w:p>
    <w:p w14:paraId="669DE766">
      <w:pPr>
        <w:ind w:firstLine="480"/>
        <w:rPr>
          <w:rFonts w:hint="default" w:ascii="Times New Roman" w:hAnsi="Times New Roman" w:cs="Times New Roman"/>
        </w:rPr>
      </w:pPr>
      <w:r>
        <w:rPr>
          <w:rFonts w:hint="default" w:ascii="Times New Roman" w:hAnsi="Times New Roman" w:cs="Times New Roman"/>
        </w:rPr>
        <w:t>（1）工程措施：表土剥离</w:t>
      </w:r>
      <w:r>
        <w:rPr>
          <w:rFonts w:hint="eastAsia" w:ascii="Times New Roman" w:hAnsi="Times New Roman" w:cs="Times New Roman"/>
          <w:lang w:val="en-US" w:eastAsia="zh-CN"/>
        </w:rPr>
        <w:t>1365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，雨水管网</w:t>
      </w:r>
      <w:r>
        <w:rPr>
          <w:rFonts w:hint="eastAsia" w:ascii="Times New Roman" w:hAnsi="Times New Roman" w:cs="Times New Roman"/>
          <w:lang w:val="en-US" w:eastAsia="zh-CN"/>
        </w:rPr>
        <w:t>245</w:t>
      </w:r>
      <w:r>
        <w:rPr>
          <w:rFonts w:hint="default" w:ascii="Times New Roman" w:hAnsi="Times New Roman" w:cs="Times New Roman"/>
        </w:rPr>
        <w:t>m；</w:t>
      </w:r>
    </w:p>
    <w:p w14:paraId="1E9FDA98">
      <w:pPr>
        <w:ind w:firstLine="480"/>
        <w:rPr>
          <w:rFonts w:hint="default" w:ascii="Times New Roman" w:hAnsi="Times New Roman" w:cs="Times New Roman"/>
        </w:rPr>
      </w:pPr>
      <w:r>
        <w:rPr>
          <w:rFonts w:hint="default" w:ascii="Times New Roman" w:hAnsi="Times New Roman" w:cs="Times New Roman"/>
        </w:rPr>
        <w:t>（2）植物措施：景观绿化0.</w:t>
      </w:r>
      <w:r>
        <w:rPr>
          <w:rFonts w:hint="eastAsia" w:ascii="Times New Roman" w:hAnsi="Times New Roman" w:cs="Times New Roman"/>
          <w:lang w:val="en-US" w:eastAsia="zh-CN"/>
        </w:rPr>
        <w:t>14</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07C9D2B6">
      <w:pPr>
        <w:ind w:firstLine="480"/>
        <w:rPr>
          <w:rFonts w:hint="default" w:ascii="Times New Roman" w:hAnsi="Times New Roman" w:cs="Times New Roman"/>
        </w:rPr>
      </w:pPr>
      <w:r>
        <w:rPr>
          <w:rFonts w:hint="default" w:ascii="Times New Roman" w:hAnsi="Times New Roman" w:cs="Times New Roman"/>
        </w:rPr>
        <w:t>二、方案新增水土保持措施：</w:t>
      </w:r>
    </w:p>
    <w:p w14:paraId="12E92FF3">
      <w:pPr>
        <w:pStyle w:val="100"/>
        <w:ind w:firstLine="480"/>
        <w:rPr>
          <w:rFonts w:hint="default" w:ascii="Times New Roman" w:hAnsi="Times New Roman" w:eastAsia="仿宋_GB2312" w:cs="Times New Roman"/>
          <w:lang w:val="en-US" w:eastAsia="zh-CN"/>
        </w:rPr>
      </w:pPr>
      <w:r>
        <w:rPr>
          <w:rFonts w:hint="eastAsia" w:cs="Times New Roman"/>
          <w:lang w:val="en-US" w:eastAsia="zh-CN"/>
        </w:rPr>
        <w:t>1、地块一</w:t>
      </w:r>
    </w:p>
    <w:p w14:paraId="08F79C81">
      <w:pPr>
        <w:pStyle w:val="100"/>
        <w:ind w:firstLine="480"/>
        <w:rPr>
          <w:rFonts w:hint="default" w:ascii="Times New Roman" w:hAnsi="Times New Roman" w:cs="Times New Roman"/>
        </w:rPr>
      </w:pPr>
      <w:r>
        <w:rPr>
          <w:rFonts w:hint="default" w:ascii="Times New Roman" w:hAnsi="Times New Roman" w:cs="Times New Roman"/>
        </w:rPr>
        <w:t>（1）临时措施：临时彩条布苫盖</w:t>
      </w:r>
      <w:r>
        <w:rPr>
          <w:rFonts w:hint="eastAsia" w:cs="Times New Roman"/>
          <w:lang w:val="en-US" w:eastAsia="zh-CN"/>
        </w:rPr>
        <w:t>881.40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临时无纺布苫盖</w:t>
      </w:r>
      <w:r>
        <w:rPr>
          <w:rFonts w:hint="eastAsia" w:ascii="Times New Roman" w:hAnsi="Times New Roman" w:cs="Times New Roman"/>
          <w:lang w:val="en-US" w:eastAsia="zh-CN"/>
        </w:rPr>
        <w:t>9</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编织袋挡墙82m</w:t>
      </w:r>
      <w:r>
        <w:rPr>
          <w:rFonts w:hint="default" w:ascii="Times New Roman" w:hAnsi="Times New Roman" w:cs="Times New Roman"/>
        </w:rPr>
        <w:t>。</w:t>
      </w:r>
    </w:p>
    <w:p w14:paraId="37CBBD46">
      <w:pPr>
        <w:pStyle w:val="100"/>
        <w:ind w:firstLine="480"/>
        <w:rPr>
          <w:rFonts w:hint="default" w:ascii="Times New Roman" w:hAnsi="Times New Roman" w:cs="Times New Roman"/>
        </w:rPr>
      </w:pPr>
      <w:r>
        <w:rPr>
          <w:rFonts w:hint="default" w:ascii="Times New Roman" w:hAnsi="Times New Roman" w:cs="Times New Roman"/>
        </w:rPr>
        <w:t>按分区划分为：建构筑物区临时彩条布苫盖</w:t>
      </w:r>
      <w:r>
        <w:rPr>
          <w:rFonts w:hint="eastAsia" w:ascii="Times New Roman" w:hAnsi="Times New Roman" w:cs="Times New Roman"/>
          <w:lang w:val="en-US" w:eastAsia="zh-CN"/>
        </w:rPr>
        <w:t>180.00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道路及硬化区</w:t>
      </w:r>
      <w:r>
        <w:rPr>
          <w:rFonts w:hint="default" w:ascii="Times New Roman" w:hAnsi="Times New Roman" w:cs="Times New Roman"/>
        </w:rPr>
        <w:t>临时彩条布苫盖</w:t>
      </w:r>
      <w:r>
        <w:rPr>
          <w:rFonts w:hint="eastAsia" w:ascii="Times New Roman" w:hAnsi="Times New Roman" w:cs="Times New Roman"/>
          <w:lang w:val="en-US" w:eastAsia="zh-CN"/>
        </w:rPr>
        <w:t>231.00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；绿化区临时无纺布苫盖</w:t>
      </w:r>
      <w:r>
        <w:rPr>
          <w:rFonts w:hint="eastAsia" w:ascii="Times New Roman" w:hAnsi="Times New Roman" w:cs="Times New Roman"/>
          <w:lang w:val="en-US" w:eastAsia="zh-CN"/>
        </w:rPr>
        <w:t>9</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编织袋挡墙82m</w:t>
      </w:r>
      <w:r>
        <w:rPr>
          <w:rFonts w:hint="eastAsia" w:ascii="Times New Roman" w:hAnsi="Times New Roman" w:cs="Times New Roman"/>
          <w:lang w:eastAsia="zh-CN"/>
        </w:rPr>
        <w:t>，</w:t>
      </w:r>
      <w:r>
        <w:rPr>
          <w:rFonts w:hint="default" w:ascii="Times New Roman" w:hAnsi="Times New Roman" w:cs="Times New Roman"/>
        </w:rPr>
        <w:t>临时彩条布苫盖</w:t>
      </w:r>
      <w:r>
        <w:rPr>
          <w:rFonts w:hint="eastAsia" w:ascii="Times New Roman" w:hAnsi="Times New Roman" w:cs="Times New Roman"/>
          <w:lang w:val="en-US" w:eastAsia="zh-CN"/>
        </w:rPr>
        <w:t>470.40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14:paraId="2E0C0248">
      <w:pPr>
        <w:pStyle w:val="100"/>
        <w:ind w:firstLine="480"/>
        <w:rPr>
          <w:rFonts w:hint="default" w:ascii="Times New Roman" w:hAnsi="Times New Roman" w:eastAsia="仿宋_GB2312" w:cs="Times New Roman"/>
          <w:lang w:val="en-US" w:eastAsia="zh-CN"/>
        </w:rPr>
      </w:pPr>
      <w:r>
        <w:rPr>
          <w:rFonts w:hint="eastAsia" w:cs="Times New Roman"/>
          <w:lang w:val="en-US" w:eastAsia="zh-CN"/>
        </w:rPr>
        <w:t>2、地块二</w:t>
      </w:r>
    </w:p>
    <w:p w14:paraId="0C6C0500">
      <w:pPr>
        <w:pStyle w:val="100"/>
        <w:ind w:firstLine="480"/>
        <w:rPr>
          <w:rFonts w:hint="default" w:ascii="Times New Roman" w:hAnsi="Times New Roman" w:cs="Times New Roman"/>
        </w:rPr>
      </w:pPr>
      <w:r>
        <w:rPr>
          <w:rFonts w:hint="default" w:ascii="Times New Roman" w:hAnsi="Times New Roman" w:cs="Times New Roman"/>
        </w:rPr>
        <w:t>（1）临时措施：临时彩条布苫盖</w:t>
      </w:r>
      <w:r>
        <w:rPr>
          <w:rFonts w:hint="eastAsia" w:ascii="Times New Roman" w:hAnsi="Times New Roman" w:cs="Times New Roman"/>
          <w:lang w:val="en-US" w:eastAsia="zh-CN"/>
        </w:rPr>
        <w:t>1301.20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临时无纺布苫盖</w:t>
      </w:r>
      <w:r>
        <w:rPr>
          <w:rFonts w:hint="eastAsia" w:ascii="Times New Roman" w:hAnsi="Times New Roman" w:cs="Times New Roman"/>
          <w:lang w:val="en-US" w:eastAsia="zh-CN"/>
        </w:rPr>
        <w:t>14</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编织袋挡墙283m</w:t>
      </w:r>
      <w:r>
        <w:rPr>
          <w:rFonts w:hint="default" w:ascii="Times New Roman" w:hAnsi="Times New Roman" w:cs="Times New Roman"/>
        </w:rPr>
        <w:t>。</w:t>
      </w:r>
    </w:p>
    <w:p w14:paraId="2C585C9A">
      <w:pPr>
        <w:pStyle w:val="100"/>
        <w:ind w:firstLine="480"/>
        <w:rPr>
          <w:rFonts w:hint="default" w:ascii="Times New Roman" w:hAnsi="Times New Roman" w:cs="Times New Roman"/>
        </w:rPr>
      </w:pPr>
      <w:r>
        <w:rPr>
          <w:rFonts w:hint="default" w:ascii="Times New Roman" w:hAnsi="Times New Roman" w:cs="Times New Roman"/>
        </w:rPr>
        <w:t>按分区划分为：建构筑物区临时彩条布苫盖</w:t>
      </w:r>
      <w:r>
        <w:rPr>
          <w:rFonts w:hint="eastAsia" w:ascii="Times New Roman" w:hAnsi="Times New Roman" w:cs="Times New Roman"/>
          <w:lang w:val="en-US" w:eastAsia="zh-CN"/>
        </w:rPr>
        <w:t>342.00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道路及硬化区</w:t>
      </w:r>
      <w:r>
        <w:rPr>
          <w:rFonts w:hint="default" w:ascii="Times New Roman" w:hAnsi="Times New Roman" w:cs="Times New Roman"/>
        </w:rPr>
        <w:t>临时彩条布苫盖</w:t>
      </w:r>
      <w:r>
        <w:rPr>
          <w:rFonts w:hint="eastAsia" w:ascii="Times New Roman" w:hAnsi="Times New Roman" w:cs="Times New Roman"/>
          <w:lang w:val="en-US" w:eastAsia="zh-CN"/>
        </w:rPr>
        <w:t>220.00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；绿化区临时无纺布苫盖</w:t>
      </w:r>
      <w:r>
        <w:rPr>
          <w:rFonts w:hint="eastAsia" w:ascii="Times New Roman" w:hAnsi="Times New Roman" w:cs="Times New Roman"/>
          <w:lang w:val="en-US" w:eastAsia="zh-CN"/>
        </w:rPr>
        <w:t>14</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编织袋挡墙283m</w:t>
      </w:r>
      <w:r>
        <w:rPr>
          <w:rFonts w:hint="eastAsia" w:ascii="Times New Roman" w:hAnsi="Times New Roman" w:cs="Times New Roman"/>
          <w:lang w:eastAsia="zh-CN"/>
        </w:rPr>
        <w:t>，</w:t>
      </w:r>
      <w:r>
        <w:rPr>
          <w:rFonts w:hint="default" w:ascii="Times New Roman" w:hAnsi="Times New Roman" w:cs="Times New Roman"/>
        </w:rPr>
        <w:t>临时彩条布苫盖</w:t>
      </w:r>
      <w:r>
        <w:rPr>
          <w:rFonts w:hint="eastAsia" w:ascii="Times New Roman" w:hAnsi="Times New Roman" w:cs="Times New Roman"/>
          <w:lang w:val="en-US" w:eastAsia="zh-CN"/>
        </w:rPr>
        <w:t>739.20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14:paraId="4BD8E935">
      <w:pPr>
        <w:pStyle w:val="100"/>
        <w:ind w:firstLine="480"/>
        <w:rPr>
          <w:rFonts w:hint="default" w:ascii="Times New Roman" w:hAnsi="Times New Roman" w:cs="Times New Roman"/>
        </w:rPr>
      </w:pPr>
      <w:r>
        <w:rPr>
          <w:rFonts w:hint="default" w:ascii="Times New Roman" w:hAnsi="Times New Roman" w:cs="Times New Roman"/>
        </w:rPr>
        <w:t>具体工程量为：土方开挖</w:t>
      </w:r>
      <w:r>
        <w:rPr>
          <w:rFonts w:hint="eastAsia" w:cs="Times New Roman"/>
          <w:lang w:val="en-US" w:eastAsia="zh-CN"/>
        </w:rPr>
        <w:t>100.80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，土方回填</w:t>
      </w:r>
      <w:r>
        <w:rPr>
          <w:rFonts w:hint="eastAsia" w:cs="Times New Roman"/>
          <w:lang w:val="en-US" w:eastAsia="zh-CN"/>
        </w:rPr>
        <w:t>24.80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，M</w:t>
      </w:r>
      <w:r>
        <w:rPr>
          <w:rFonts w:hint="default" w:ascii="Times New Roman" w:hAnsi="Times New Roman" w:cs="Times New Roman"/>
          <w:lang w:val="en-US" w:eastAsia="zh-CN"/>
        </w:rPr>
        <w:t>7.5</w:t>
      </w:r>
      <w:r>
        <w:rPr>
          <w:rFonts w:hint="default" w:ascii="Times New Roman" w:hAnsi="Times New Roman" w:cs="Times New Roman"/>
        </w:rPr>
        <w:t>砖砌体</w:t>
      </w:r>
      <w:r>
        <w:rPr>
          <w:rFonts w:hint="eastAsia" w:cs="Times New Roman"/>
          <w:lang w:val="en-US" w:eastAsia="zh-CN"/>
        </w:rPr>
        <w:t>4.84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，M</w:t>
      </w:r>
      <w:r>
        <w:rPr>
          <w:rFonts w:hint="default" w:ascii="Times New Roman" w:hAnsi="Times New Roman" w:cs="Times New Roman"/>
          <w:lang w:val="en-US" w:eastAsia="zh-CN"/>
        </w:rPr>
        <w:t>7.5</w:t>
      </w:r>
      <w:r>
        <w:rPr>
          <w:rFonts w:hint="default" w:ascii="Times New Roman" w:hAnsi="Times New Roman" w:cs="Times New Roman"/>
        </w:rPr>
        <w:t>砂浆抹面</w:t>
      </w:r>
      <w:r>
        <w:rPr>
          <w:rFonts w:hint="eastAsia" w:cs="Times New Roman"/>
          <w:lang w:val="en-US" w:eastAsia="zh-CN"/>
        </w:rPr>
        <w:t>62.00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，C20砼</w:t>
      </w:r>
      <w:r>
        <w:rPr>
          <w:rFonts w:hint="eastAsia" w:cs="Times New Roman"/>
          <w:lang w:val="en-US" w:eastAsia="zh-CN"/>
        </w:rPr>
        <w:t>43.32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，车辆冲洗设备</w:t>
      </w:r>
      <w:r>
        <w:rPr>
          <w:rFonts w:hint="eastAsia" w:cs="Times New Roman"/>
          <w:lang w:val="en-US" w:eastAsia="zh-CN"/>
        </w:rPr>
        <w:t>2</w:t>
      </w:r>
      <w:r>
        <w:rPr>
          <w:rFonts w:hint="default" w:ascii="Times New Roman" w:hAnsi="Times New Roman" w:cs="Times New Roman"/>
        </w:rPr>
        <w:t>套，铺设无纺布</w:t>
      </w:r>
      <w:r>
        <w:rPr>
          <w:rFonts w:hint="eastAsia" w:cs="Times New Roman"/>
          <w:lang w:val="en-US" w:eastAsia="zh-CN"/>
        </w:rPr>
        <w:t>230</w:t>
      </w:r>
      <w:r>
        <w:rPr>
          <w:rFonts w:hint="default" w:ascii="Times New Roman" w:hAnsi="Times New Roman" w:cs="Times New Roman"/>
          <w:lang w:val="en-US" w:eastAsia="zh-CN"/>
        </w:rPr>
        <w:t>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，铺设彩条布</w:t>
      </w:r>
      <w:r>
        <w:rPr>
          <w:rFonts w:hint="eastAsia" w:cs="Times New Roman"/>
          <w:lang w:val="en-US" w:eastAsia="zh-CN"/>
        </w:rPr>
        <w:t>2182.60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val="en-US" w:eastAsia="zh-CN"/>
        </w:rPr>
        <w:t>编织袋填筑63.88m</w:t>
      </w:r>
      <w:r>
        <w:rPr>
          <w:rFonts w:hint="eastAsia" w:cs="Times New Roman"/>
          <w:vertAlign w:val="superscript"/>
          <w:lang w:val="en-US" w:eastAsia="zh-CN"/>
        </w:rPr>
        <w:t>3</w:t>
      </w:r>
      <w:r>
        <w:rPr>
          <w:rFonts w:hint="eastAsia" w:cs="Times New Roman"/>
          <w:lang w:val="en-US" w:eastAsia="zh-CN"/>
        </w:rPr>
        <w:t>，编织袋拆除63.88m</w:t>
      </w:r>
      <w:r>
        <w:rPr>
          <w:rFonts w:hint="eastAsia" w:cs="Times New Roman"/>
          <w:vertAlign w:val="superscript"/>
          <w:lang w:val="en-US" w:eastAsia="zh-CN"/>
        </w:rPr>
        <w:t>3</w:t>
      </w:r>
      <w:r>
        <w:rPr>
          <w:rFonts w:hint="default" w:ascii="Times New Roman" w:hAnsi="Times New Roman" w:cs="Times New Roman"/>
        </w:rPr>
        <w:t>。</w:t>
      </w:r>
    </w:p>
    <w:p w14:paraId="2A0D0A58">
      <w:pPr>
        <w:pStyle w:val="3"/>
        <w:rPr>
          <w:rFonts w:hint="default" w:ascii="Times New Roman" w:hAnsi="Times New Roman" w:cs="Times New Roman"/>
        </w:rPr>
      </w:pPr>
      <w:bookmarkStart w:id="23" w:name="_Toc165223560"/>
      <w:r>
        <w:rPr>
          <w:rFonts w:hint="default" w:ascii="Times New Roman" w:hAnsi="Times New Roman" w:cs="Times New Roman"/>
        </w:rPr>
        <w:t>水土保持监测方案</w:t>
      </w:r>
      <w:bookmarkEnd w:id="23"/>
    </w:p>
    <w:p w14:paraId="29BBF226">
      <w:pPr>
        <w:ind w:firstLine="480"/>
        <w:rPr>
          <w:rFonts w:hint="default" w:ascii="Times New Roman" w:hAnsi="Times New Roman" w:cs="Times New Roman"/>
          <w:szCs w:val="20"/>
        </w:rPr>
      </w:pPr>
      <w:r>
        <w:rPr>
          <w:rFonts w:hint="eastAsia" w:ascii="Times New Roman" w:hAnsi="Times New Roman" w:cs="Times New Roman"/>
          <w:szCs w:val="20"/>
        </w:rPr>
        <w:t>根据《水利部关于进一步深化“放管服”改革全面加强水土保持监管的意见》水保〔2019〕160号文，对本项目水土保持方案报告表实行承诺制管理，可以不开展水土保持监测工作，建设单位依法做好水土流失防治工作，本方案针对本项目提出水土保持监管要求。</w:t>
      </w:r>
    </w:p>
    <w:p w14:paraId="4CBF17EF">
      <w:pPr>
        <w:pStyle w:val="3"/>
        <w:rPr>
          <w:rFonts w:hint="default" w:ascii="Times New Roman" w:hAnsi="Times New Roman" w:cs="Times New Roman"/>
        </w:rPr>
      </w:pPr>
      <w:bookmarkStart w:id="24" w:name="_Toc165223561"/>
      <w:r>
        <w:rPr>
          <w:rFonts w:hint="default" w:ascii="Times New Roman" w:hAnsi="Times New Roman" w:cs="Times New Roman"/>
        </w:rPr>
        <w:t>水土保持投资及效益分析成果</w:t>
      </w:r>
      <w:bookmarkEnd w:id="24"/>
    </w:p>
    <w:p w14:paraId="3254FC21">
      <w:pPr>
        <w:pStyle w:val="4"/>
        <w:rPr>
          <w:rFonts w:hint="default" w:ascii="Times New Roman" w:hAnsi="Times New Roman" w:cs="Times New Roman"/>
        </w:rPr>
      </w:pPr>
      <w:r>
        <w:rPr>
          <w:rFonts w:hint="default" w:ascii="Times New Roman" w:hAnsi="Times New Roman" w:cs="Times New Roman"/>
        </w:rPr>
        <w:t>水土保持投资</w:t>
      </w:r>
    </w:p>
    <w:p w14:paraId="42667FE0">
      <w:pPr>
        <w:ind w:firstLine="480"/>
        <w:rPr>
          <w:rFonts w:hint="eastAsia" w:cs="Times New Roman"/>
          <w:highlight w:val="none"/>
          <w:lang w:eastAsia="zh-CN"/>
        </w:rPr>
      </w:pPr>
      <w:r>
        <w:rPr>
          <w:rFonts w:hint="default" w:ascii="Times New Roman" w:hAnsi="Times New Roman" w:cs="Times New Roman"/>
          <w:highlight w:val="none"/>
        </w:rPr>
        <w:t>本项目水土保持总投资</w:t>
      </w:r>
      <w:r>
        <w:rPr>
          <w:rFonts w:hint="eastAsia" w:cs="Times New Roman"/>
          <w:highlight w:val="none"/>
          <w:lang w:val="en-US" w:eastAsia="zh-CN"/>
        </w:rPr>
        <w:t>62.47</w:t>
      </w:r>
      <w:r>
        <w:rPr>
          <w:rFonts w:hint="default" w:ascii="Times New Roman" w:hAnsi="Times New Roman" w:cs="Times New Roman"/>
          <w:highlight w:val="none"/>
        </w:rPr>
        <w:t>万元（其中主体工程已考虑的水保投资</w:t>
      </w:r>
      <w:r>
        <w:rPr>
          <w:rFonts w:hint="eastAsia" w:cs="Times New Roman"/>
          <w:highlight w:val="none"/>
          <w:lang w:val="en-US" w:eastAsia="zh-CN"/>
        </w:rPr>
        <w:t>38.54</w:t>
      </w:r>
      <w:r>
        <w:rPr>
          <w:rFonts w:hint="default" w:ascii="Times New Roman" w:hAnsi="Times New Roman" w:cs="Times New Roman"/>
          <w:highlight w:val="none"/>
        </w:rPr>
        <w:t>万元，本方案新增水土保持投资</w:t>
      </w:r>
      <w:r>
        <w:rPr>
          <w:rFonts w:hint="eastAsia" w:cs="Times New Roman"/>
          <w:highlight w:val="none"/>
          <w:lang w:val="en-US" w:eastAsia="zh-CN"/>
        </w:rPr>
        <w:t>23.93</w:t>
      </w:r>
      <w:r>
        <w:rPr>
          <w:rFonts w:hint="default" w:ascii="Times New Roman" w:hAnsi="Times New Roman" w:cs="Times New Roman"/>
          <w:highlight w:val="none"/>
        </w:rPr>
        <w:t>万元）。水土保持总投资中工程措施</w:t>
      </w:r>
      <w:r>
        <w:rPr>
          <w:rFonts w:hint="eastAsia" w:cs="Times New Roman"/>
          <w:highlight w:val="none"/>
          <w:lang w:val="en-US" w:eastAsia="zh-CN"/>
        </w:rPr>
        <w:t>10.94</w:t>
      </w:r>
      <w:r>
        <w:rPr>
          <w:rFonts w:hint="default" w:ascii="Times New Roman" w:hAnsi="Times New Roman" w:cs="Times New Roman"/>
          <w:highlight w:val="none"/>
        </w:rPr>
        <w:t>万元，植物措施</w:t>
      </w:r>
      <w:r>
        <w:rPr>
          <w:rFonts w:hint="eastAsia" w:cs="Times New Roman"/>
          <w:highlight w:val="none"/>
          <w:lang w:val="en-US" w:eastAsia="zh-CN"/>
        </w:rPr>
        <w:t>27.60</w:t>
      </w:r>
      <w:r>
        <w:rPr>
          <w:rFonts w:hint="default" w:ascii="Times New Roman" w:hAnsi="Times New Roman" w:cs="Times New Roman"/>
          <w:highlight w:val="none"/>
        </w:rPr>
        <w:t>万元，临时措施</w:t>
      </w:r>
      <w:r>
        <w:rPr>
          <w:rFonts w:hint="eastAsia" w:cs="Times New Roman"/>
          <w:highlight w:val="none"/>
          <w:lang w:val="en-US" w:eastAsia="zh-CN"/>
        </w:rPr>
        <w:t>9.39</w:t>
      </w:r>
      <w:r>
        <w:rPr>
          <w:rFonts w:hint="default" w:ascii="Times New Roman" w:hAnsi="Times New Roman" w:cs="Times New Roman"/>
          <w:highlight w:val="none"/>
        </w:rPr>
        <w:t>万元，独立费用</w:t>
      </w:r>
      <w:r>
        <w:rPr>
          <w:rFonts w:hint="eastAsia" w:cs="Times New Roman"/>
          <w:highlight w:val="none"/>
          <w:lang w:val="en-US" w:eastAsia="zh-CN"/>
        </w:rPr>
        <w:t>12.19</w:t>
      </w:r>
      <w:r>
        <w:rPr>
          <w:rFonts w:hint="default" w:ascii="Times New Roman" w:hAnsi="Times New Roman" w:cs="Times New Roman"/>
          <w:highlight w:val="none"/>
        </w:rPr>
        <w:t>万元（其中建设管理费</w:t>
      </w:r>
      <w:r>
        <w:rPr>
          <w:rFonts w:hint="eastAsia" w:cs="Times New Roman"/>
          <w:highlight w:val="none"/>
          <w:lang w:val="en-US" w:eastAsia="zh-CN"/>
        </w:rPr>
        <w:t>0.19</w:t>
      </w:r>
      <w:r>
        <w:rPr>
          <w:rFonts w:hint="default" w:ascii="Times New Roman" w:hAnsi="Times New Roman" w:cs="Times New Roman"/>
          <w:highlight w:val="none"/>
        </w:rPr>
        <w:t>万元，工程建设监理费</w:t>
      </w:r>
      <w:r>
        <w:rPr>
          <w:rFonts w:hint="eastAsia" w:cs="Times New Roman"/>
          <w:highlight w:val="none"/>
          <w:lang w:val="en-US" w:eastAsia="zh-CN"/>
        </w:rPr>
        <w:t>4</w:t>
      </w:r>
      <w:r>
        <w:rPr>
          <w:rFonts w:hint="default" w:ascii="Times New Roman" w:hAnsi="Times New Roman" w:cs="Times New Roman"/>
          <w:highlight w:val="none"/>
        </w:rPr>
        <w:t>.00万元，水土保持监测费</w:t>
      </w:r>
      <w:r>
        <w:rPr>
          <w:rFonts w:hint="eastAsia" w:cs="Times New Roman"/>
          <w:highlight w:val="none"/>
          <w:lang w:val="en-US" w:eastAsia="zh-CN"/>
        </w:rPr>
        <w:t>2.00</w:t>
      </w:r>
      <w:r>
        <w:rPr>
          <w:rFonts w:hint="default" w:ascii="Times New Roman" w:hAnsi="Times New Roman" w:cs="Times New Roman"/>
          <w:highlight w:val="none"/>
        </w:rPr>
        <w:t>万元，科研勘测设计费</w:t>
      </w:r>
      <w:r>
        <w:rPr>
          <w:rFonts w:hint="eastAsia" w:cs="Times New Roman"/>
          <w:highlight w:val="none"/>
          <w:lang w:val="en-US" w:eastAsia="zh-CN"/>
        </w:rPr>
        <w:t>2</w:t>
      </w:r>
      <w:r>
        <w:rPr>
          <w:rFonts w:hint="default" w:ascii="Times New Roman" w:hAnsi="Times New Roman" w:cs="Times New Roman"/>
          <w:highlight w:val="none"/>
        </w:rPr>
        <w:t>.00万元，水土保持设施验收报告编制费</w:t>
      </w:r>
      <w:r>
        <w:rPr>
          <w:rFonts w:hint="eastAsia" w:cs="Times New Roman"/>
          <w:highlight w:val="none"/>
          <w:lang w:val="en-US" w:eastAsia="zh-CN"/>
        </w:rPr>
        <w:t>4</w:t>
      </w:r>
      <w:r>
        <w:rPr>
          <w:rFonts w:hint="default" w:ascii="Times New Roman" w:hAnsi="Times New Roman" w:cs="Times New Roman"/>
          <w:highlight w:val="none"/>
        </w:rPr>
        <w:t>.00万元）；基本预备费</w:t>
      </w:r>
      <w:r>
        <w:rPr>
          <w:rFonts w:hint="eastAsia" w:cs="Times New Roman"/>
          <w:highlight w:val="none"/>
          <w:lang w:val="en-US" w:eastAsia="zh-CN"/>
        </w:rPr>
        <w:t>1.29</w:t>
      </w:r>
      <w:r>
        <w:rPr>
          <w:rFonts w:hint="default" w:ascii="Times New Roman" w:hAnsi="Times New Roman" w:cs="Times New Roman"/>
          <w:highlight w:val="none"/>
        </w:rPr>
        <w:t>万元；水土保持补偿费</w:t>
      </w:r>
      <w:r>
        <w:rPr>
          <w:rFonts w:hint="eastAsia" w:cs="Times New Roman"/>
          <w:highlight w:val="none"/>
          <w:lang w:val="en-US" w:eastAsia="zh-CN"/>
        </w:rPr>
        <w:t>1.06</w:t>
      </w:r>
      <w:r>
        <w:rPr>
          <w:rFonts w:hint="default" w:ascii="Times New Roman" w:hAnsi="Times New Roman" w:cs="Times New Roman"/>
          <w:highlight w:val="none"/>
        </w:rPr>
        <w:t>万元。</w:t>
      </w:r>
    </w:p>
    <w:p w14:paraId="182C37DB">
      <w:pPr>
        <w:pStyle w:val="4"/>
        <w:rPr>
          <w:rFonts w:hint="default" w:ascii="Times New Roman" w:hAnsi="Times New Roman" w:cs="Times New Roman"/>
        </w:rPr>
      </w:pPr>
      <w:r>
        <w:rPr>
          <w:rFonts w:hint="default" w:ascii="Times New Roman" w:hAnsi="Times New Roman" w:cs="Times New Roman"/>
        </w:rPr>
        <w:t>效益分析成果</w:t>
      </w:r>
    </w:p>
    <w:p w14:paraId="2E9E61A2">
      <w:pPr>
        <w:ind w:firstLine="480"/>
        <w:rPr>
          <w:rFonts w:hint="default" w:ascii="Times New Roman" w:hAnsi="Times New Roman" w:cs="Times New Roman"/>
        </w:rPr>
      </w:pPr>
      <w:r>
        <w:rPr>
          <w:rFonts w:hint="default" w:ascii="Times New Roman" w:hAnsi="Times New Roman" w:cs="Times New Roman"/>
        </w:rPr>
        <w:t>本项目水土保持措施实施后，通过各种防治措施的有效实施，设计水平年工程占地区域内水土流失治理度达到99.9%，土壤流失控制比达1.</w:t>
      </w:r>
      <w:r>
        <w:rPr>
          <w:rFonts w:hint="eastAsia" w:cs="Times New Roman"/>
          <w:lang w:val="en-US" w:eastAsia="zh-CN"/>
        </w:rPr>
        <w:t>51</w:t>
      </w:r>
      <w:r>
        <w:rPr>
          <w:rFonts w:hint="default" w:ascii="Times New Roman" w:hAnsi="Times New Roman" w:cs="Times New Roman"/>
        </w:rPr>
        <w:t>，渣土防护率达98%，表土保护率达99%，林草植被恢复率达到99.9%，林草覆盖率为</w:t>
      </w:r>
      <w:r>
        <w:rPr>
          <w:rFonts w:hint="eastAsia" w:cs="Times New Roman"/>
          <w:lang w:val="en-US" w:eastAsia="zh-CN"/>
        </w:rPr>
        <w:t>15.23</w:t>
      </w:r>
      <w:r>
        <w:rPr>
          <w:rFonts w:hint="default" w:ascii="Times New Roman" w:hAnsi="Times New Roman" w:cs="Times New Roman"/>
        </w:rPr>
        <w:t>%。各项指标均能够达到方案拟定的目标值，水土流失将得到有效防治。</w:t>
      </w:r>
    </w:p>
    <w:p w14:paraId="14084FA6">
      <w:pPr>
        <w:pStyle w:val="3"/>
        <w:rPr>
          <w:rFonts w:hint="default" w:ascii="Times New Roman" w:hAnsi="Times New Roman" w:cs="Times New Roman"/>
        </w:rPr>
      </w:pPr>
      <w:r>
        <w:rPr>
          <w:rFonts w:hint="default" w:ascii="Times New Roman" w:hAnsi="Times New Roman" w:cs="Times New Roman"/>
        </w:rPr>
        <w:t xml:space="preserve"> </w:t>
      </w:r>
      <w:bookmarkStart w:id="25" w:name="_Toc165223562"/>
      <w:r>
        <w:rPr>
          <w:rFonts w:hint="default" w:ascii="Times New Roman" w:hAnsi="Times New Roman" w:cs="Times New Roman"/>
        </w:rPr>
        <w:t>结论</w:t>
      </w:r>
      <w:bookmarkEnd w:id="25"/>
    </w:p>
    <w:p w14:paraId="7F936593">
      <w:pPr>
        <w:ind w:firstLine="480"/>
        <w:rPr>
          <w:rFonts w:hint="default" w:ascii="Times New Roman" w:hAnsi="Times New Roman" w:cs="Times New Roman"/>
        </w:rPr>
      </w:pPr>
      <w:r>
        <w:rPr>
          <w:rFonts w:hint="default" w:ascii="Times New Roman" w:hAnsi="Times New Roman" w:cs="Times New Roman"/>
        </w:rPr>
        <w:t>本项目选址、建设方案、水土流失防治等均符合水土保持相关法律法规及技术标准规定，本项目水土保持方案的实施具有显著的生态、社会和经济效益，只要认真组织实施，因工程建设对当地造成的水土流失影响可以得到最大程度的减免，本项目不存在制约项目建设的水土保持问题，从水土保持角度考虑，本项目的建设是可行的。为有效控制项目区水土流失防治及水土保持相关工作开展，本方案提出以下要求：</w:t>
      </w:r>
    </w:p>
    <w:p w14:paraId="7828DEAF">
      <w:pPr>
        <w:ind w:firstLine="480"/>
        <w:rPr>
          <w:rFonts w:hint="default" w:ascii="Times New Roman" w:hAnsi="Times New Roman" w:cs="Times New Roman"/>
        </w:rPr>
      </w:pPr>
      <w:r>
        <w:rPr>
          <w:rFonts w:hint="default" w:ascii="Times New Roman" w:hAnsi="Times New Roman" w:cs="Times New Roman"/>
        </w:rPr>
        <w:t>（1）对于主体工程设计单位，建议设计单位在主体工程后续设计中进一步细化水土保持措施，做好水土保持工程施工图设计。后续设计阶段要不断优化设计方案，优化工程占地，进一步优化土石方量。</w:t>
      </w:r>
    </w:p>
    <w:p w14:paraId="32871313">
      <w:pPr>
        <w:ind w:firstLine="480"/>
        <w:rPr>
          <w:rFonts w:hint="default" w:ascii="Times New Roman" w:hAnsi="Times New Roman" w:cs="Times New Roman"/>
        </w:rPr>
      </w:pPr>
      <w:r>
        <w:rPr>
          <w:rFonts w:hint="default" w:ascii="Times New Roman" w:hAnsi="Times New Roman" w:cs="Times New Roman"/>
        </w:rPr>
        <w:t>（2）对于施工单位，水土保持措施实施过程中，充分利用主体工程已规划施工条件，避免施工设施的重复设置，以减少防护工程量和工程投资。同时确保工单位水土流失防治责任范围内临时措施的有效、及时实施，严禁多占超占红线范围。</w:t>
      </w:r>
    </w:p>
    <w:p w14:paraId="51193DCB">
      <w:pPr>
        <w:ind w:firstLine="480"/>
        <w:rPr>
          <w:rFonts w:hint="default" w:ascii="Times New Roman" w:hAnsi="Times New Roman" w:cs="Times New Roman"/>
        </w:rPr>
      </w:pPr>
      <w:r>
        <w:rPr>
          <w:rFonts w:hint="default" w:ascii="Times New Roman" w:hAnsi="Times New Roman" w:cs="Times New Roman"/>
        </w:rPr>
        <w:t>（3）监理单位要严格按照水土保持实施进度，监控各项水土保持措施的实施，尤其是施工临时防护措施的实施情况；并要严格控制各项水土保持措施的质量，使其最大限度的发挥水土保持效益。</w:t>
      </w:r>
    </w:p>
    <w:p w14:paraId="4D537D54">
      <w:pPr>
        <w:ind w:firstLine="480"/>
        <w:rPr>
          <w:rFonts w:hint="default" w:ascii="Times New Roman" w:hAnsi="Times New Roman" w:cs="Times New Roman"/>
        </w:rPr>
      </w:pPr>
      <w:r>
        <w:rPr>
          <w:rFonts w:hint="default" w:ascii="Times New Roman" w:hAnsi="Times New Roman" w:cs="Times New Roman"/>
        </w:rPr>
        <w:t>（4）项目建设期间，建设单位及时组织开展分部工程验收，完善验收资料。项目建设期结束后，及时开展项目水土保持设施验收。</w:t>
      </w:r>
    </w:p>
    <w:p w14:paraId="7A0119D3">
      <w:pPr>
        <w:ind w:firstLine="480"/>
        <w:rPr>
          <w:rFonts w:hint="default" w:ascii="Times New Roman" w:hAnsi="Times New Roman" w:cs="Times New Roman"/>
        </w:rPr>
        <w:sectPr>
          <w:headerReference r:id="rId13" w:type="default"/>
          <w:footerReference r:id="rId14" w:type="default"/>
          <w:pgSz w:w="11906" w:h="16838"/>
          <w:pgMar w:top="1134" w:right="1418" w:bottom="1134" w:left="113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1DACADBD">
      <w:pPr>
        <w:spacing w:line="240" w:lineRule="auto"/>
        <w:ind w:firstLine="0" w:firstLineChars="0"/>
        <w:jc w:val="center"/>
        <w:rPr>
          <w:rFonts w:hint="default" w:ascii="Times New Roman" w:hAnsi="Times New Roman" w:cs="Times New Roman"/>
          <w:b/>
        </w:rPr>
      </w:pPr>
      <w:r>
        <w:rPr>
          <w:rFonts w:hint="eastAsia" w:cs="Times New Roman"/>
          <w:b/>
          <w:lang w:eastAsia="zh-CN"/>
        </w:rPr>
        <w:t>待补镇安康安置点帮扶车间建设项目</w:t>
      </w:r>
      <w:r>
        <w:rPr>
          <w:rFonts w:hint="default" w:ascii="Times New Roman" w:hAnsi="Times New Roman" w:cs="Times New Roman"/>
          <w:b/>
        </w:rPr>
        <w:t>水土保持方案特性表</w:t>
      </w:r>
    </w:p>
    <w:tbl>
      <w:tblPr>
        <w:tblStyle w:val="27"/>
        <w:tblW w:w="93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79"/>
        <w:gridCol w:w="340"/>
        <w:gridCol w:w="908"/>
        <w:gridCol w:w="1617"/>
        <w:gridCol w:w="1571"/>
        <w:gridCol w:w="1105"/>
        <w:gridCol w:w="304"/>
        <w:gridCol w:w="696"/>
        <w:gridCol w:w="313"/>
        <w:gridCol w:w="480"/>
        <w:gridCol w:w="805"/>
        <w:gridCol w:w="862"/>
      </w:tblGrid>
      <w:tr w14:paraId="1D398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0DA8E68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kern w:val="0"/>
                <w:sz w:val="15"/>
                <w:szCs w:val="15"/>
              </w:rPr>
            </w:pPr>
            <w:r>
              <w:rPr>
                <w:rFonts w:hint="default" w:ascii="Times New Roman" w:hAnsi="Times New Roman" w:cs="Times New Roman"/>
                <w:kern w:val="0"/>
                <w:sz w:val="15"/>
                <w:szCs w:val="15"/>
              </w:rPr>
              <w:t>项目名称</w:t>
            </w:r>
          </w:p>
        </w:tc>
        <w:tc>
          <w:tcPr>
            <w:tcW w:w="3188" w:type="dxa"/>
            <w:gridSpan w:val="2"/>
            <w:vAlign w:val="center"/>
          </w:tcPr>
          <w:p w14:paraId="6556D5A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kern w:val="0"/>
                <w:sz w:val="15"/>
                <w:szCs w:val="15"/>
                <w:lang w:eastAsia="zh-CN"/>
              </w:rPr>
            </w:pPr>
            <w:r>
              <w:rPr>
                <w:rFonts w:hint="eastAsia" w:cs="Times New Roman"/>
                <w:bCs/>
                <w:sz w:val="15"/>
                <w:szCs w:val="15"/>
                <w:lang w:eastAsia="zh-CN"/>
              </w:rPr>
              <w:t>待补镇安康安置点帮扶车间建设项目</w:t>
            </w:r>
          </w:p>
        </w:tc>
        <w:tc>
          <w:tcPr>
            <w:tcW w:w="2898" w:type="dxa"/>
            <w:gridSpan w:val="5"/>
            <w:vAlign w:val="center"/>
          </w:tcPr>
          <w:p w14:paraId="72E7D5A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bCs/>
                <w:sz w:val="15"/>
                <w:szCs w:val="15"/>
              </w:rPr>
            </w:pPr>
            <w:r>
              <w:rPr>
                <w:rFonts w:hint="default" w:ascii="Times New Roman" w:hAnsi="Times New Roman" w:cs="Times New Roman"/>
                <w:bCs/>
                <w:sz w:val="15"/>
                <w:szCs w:val="15"/>
              </w:rPr>
              <w:t>流域管理机构</w:t>
            </w:r>
          </w:p>
        </w:tc>
        <w:tc>
          <w:tcPr>
            <w:tcW w:w="1667" w:type="dxa"/>
            <w:gridSpan w:val="2"/>
            <w:vAlign w:val="center"/>
          </w:tcPr>
          <w:p w14:paraId="70B215A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bCs/>
                <w:sz w:val="15"/>
                <w:szCs w:val="15"/>
              </w:rPr>
            </w:pPr>
            <w:r>
              <w:rPr>
                <w:rFonts w:hint="default" w:ascii="Times New Roman" w:hAnsi="Times New Roman" w:cs="Times New Roman"/>
                <w:bCs/>
                <w:sz w:val="15"/>
                <w:szCs w:val="15"/>
              </w:rPr>
              <w:t>长江水利委员会</w:t>
            </w:r>
          </w:p>
        </w:tc>
      </w:tr>
      <w:tr w14:paraId="044ED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5D5D1EAE">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kern w:val="0"/>
                <w:sz w:val="15"/>
                <w:szCs w:val="15"/>
              </w:rPr>
            </w:pPr>
            <w:r>
              <w:rPr>
                <w:rFonts w:hint="default" w:ascii="Times New Roman" w:hAnsi="Times New Roman" w:cs="Times New Roman"/>
                <w:kern w:val="0"/>
                <w:sz w:val="15"/>
                <w:szCs w:val="15"/>
              </w:rPr>
              <w:t>涉及省（市、区）</w:t>
            </w:r>
          </w:p>
        </w:tc>
        <w:tc>
          <w:tcPr>
            <w:tcW w:w="1617" w:type="dxa"/>
            <w:vAlign w:val="center"/>
          </w:tcPr>
          <w:p w14:paraId="7AEC439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云南省</w:t>
            </w:r>
          </w:p>
        </w:tc>
        <w:tc>
          <w:tcPr>
            <w:tcW w:w="1571" w:type="dxa"/>
            <w:vAlign w:val="center"/>
          </w:tcPr>
          <w:p w14:paraId="58B72EF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涉及市或个数</w:t>
            </w:r>
          </w:p>
        </w:tc>
        <w:tc>
          <w:tcPr>
            <w:tcW w:w="1409" w:type="dxa"/>
            <w:gridSpan w:val="2"/>
            <w:vAlign w:val="center"/>
          </w:tcPr>
          <w:p w14:paraId="6EA4D67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kern w:val="0"/>
                <w:sz w:val="15"/>
                <w:szCs w:val="15"/>
              </w:rPr>
            </w:pPr>
            <w:r>
              <w:rPr>
                <w:rFonts w:hint="default" w:ascii="Times New Roman" w:hAnsi="Times New Roman" w:cs="Times New Roman"/>
                <w:kern w:val="0"/>
                <w:sz w:val="15"/>
                <w:szCs w:val="15"/>
              </w:rPr>
              <w:t>曲靖市</w:t>
            </w:r>
          </w:p>
        </w:tc>
        <w:tc>
          <w:tcPr>
            <w:tcW w:w="1489" w:type="dxa"/>
            <w:gridSpan w:val="3"/>
            <w:vAlign w:val="center"/>
          </w:tcPr>
          <w:p w14:paraId="7F3C4C9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kern w:val="0"/>
                <w:sz w:val="15"/>
                <w:szCs w:val="15"/>
              </w:rPr>
            </w:pPr>
            <w:r>
              <w:rPr>
                <w:rFonts w:hint="default" w:ascii="Times New Roman" w:hAnsi="Times New Roman" w:cs="Times New Roman"/>
                <w:kern w:val="0"/>
                <w:sz w:val="15"/>
                <w:szCs w:val="15"/>
              </w:rPr>
              <w:t>涉及县或个数</w:t>
            </w:r>
          </w:p>
        </w:tc>
        <w:tc>
          <w:tcPr>
            <w:tcW w:w="1667" w:type="dxa"/>
            <w:gridSpan w:val="2"/>
            <w:vAlign w:val="center"/>
          </w:tcPr>
          <w:p w14:paraId="13754B2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bCs/>
                <w:kern w:val="0"/>
                <w:sz w:val="15"/>
                <w:szCs w:val="15"/>
              </w:rPr>
            </w:pPr>
            <w:r>
              <w:rPr>
                <w:rFonts w:hint="default" w:ascii="Times New Roman" w:hAnsi="Times New Roman" w:cs="Times New Roman"/>
                <w:bCs/>
                <w:kern w:val="0"/>
                <w:sz w:val="15"/>
                <w:szCs w:val="15"/>
              </w:rPr>
              <w:t>会泽县</w:t>
            </w:r>
          </w:p>
        </w:tc>
      </w:tr>
      <w:tr w14:paraId="36DC7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Align w:val="center"/>
          </w:tcPr>
          <w:p w14:paraId="4294CAD3">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kern w:val="0"/>
                <w:sz w:val="15"/>
                <w:szCs w:val="15"/>
              </w:rPr>
            </w:pPr>
            <w:r>
              <w:rPr>
                <w:rFonts w:hint="default" w:ascii="Times New Roman" w:hAnsi="Times New Roman" w:cs="Times New Roman"/>
                <w:kern w:val="0"/>
                <w:sz w:val="15"/>
                <w:szCs w:val="15"/>
              </w:rPr>
              <w:t>项目规模</w:t>
            </w:r>
          </w:p>
        </w:tc>
        <w:tc>
          <w:tcPr>
            <w:tcW w:w="5845" w:type="dxa"/>
            <w:gridSpan w:val="6"/>
            <w:vAlign w:val="center"/>
          </w:tcPr>
          <w:p w14:paraId="63B90B3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color w:val="auto"/>
                <w:sz w:val="15"/>
                <w:szCs w:val="15"/>
              </w:rPr>
              <w:t>总用地面积为</w:t>
            </w:r>
            <w:r>
              <w:rPr>
                <w:rFonts w:hint="eastAsia" w:cs="Times New Roman"/>
                <w:color w:val="auto"/>
                <w:sz w:val="15"/>
                <w:szCs w:val="15"/>
                <w:lang w:val="en-US" w:eastAsia="zh-CN"/>
              </w:rPr>
              <w:t>1.51</w:t>
            </w:r>
            <w:r>
              <w:rPr>
                <w:rFonts w:hint="default" w:ascii="Times New Roman" w:hAnsi="Times New Roman" w:cs="Times New Roman"/>
                <w:color w:val="auto"/>
                <w:sz w:val="15"/>
                <w:szCs w:val="15"/>
              </w:rPr>
              <w:t>hm</w:t>
            </w:r>
            <w:r>
              <w:rPr>
                <w:rFonts w:hint="default" w:ascii="Times New Roman" w:hAnsi="Times New Roman" w:cs="Times New Roman"/>
                <w:color w:val="auto"/>
                <w:sz w:val="15"/>
                <w:szCs w:val="15"/>
                <w:vertAlign w:val="superscript"/>
              </w:rPr>
              <w:t>2</w:t>
            </w:r>
            <w:r>
              <w:rPr>
                <w:rFonts w:hint="default" w:ascii="Times New Roman" w:hAnsi="Times New Roman" w:cs="Times New Roman"/>
                <w:color w:val="auto"/>
                <w:sz w:val="15"/>
                <w:szCs w:val="15"/>
              </w:rPr>
              <w:t>，</w:t>
            </w:r>
            <w:r>
              <w:rPr>
                <w:rFonts w:hint="default" w:ascii="Times New Roman" w:hAnsi="Times New Roman" w:cs="Times New Roman"/>
                <w:spacing w:val="33"/>
                <w:sz w:val="15"/>
                <w:szCs w:val="15"/>
              </w:rPr>
              <w:t>总建筑面积为</w:t>
            </w:r>
            <w:r>
              <w:rPr>
                <w:rFonts w:hint="eastAsia" w:cs="Times New Roman"/>
                <w:sz w:val="15"/>
                <w:szCs w:val="15"/>
                <w:lang w:eastAsia="zh-CN"/>
              </w:rPr>
              <w:t>11642.10</w:t>
            </w:r>
            <w:r>
              <w:rPr>
                <w:rFonts w:hint="default" w:ascii="Times New Roman" w:hAnsi="Times New Roman" w:cs="Times New Roman"/>
                <w:sz w:val="15"/>
                <w:szCs w:val="15"/>
              </w:rPr>
              <w:t>m²，建筑占地面积为</w:t>
            </w:r>
            <w:r>
              <w:rPr>
                <w:rFonts w:hint="eastAsia" w:cs="Times New Roman"/>
                <w:sz w:val="15"/>
                <w:szCs w:val="15"/>
                <w:lang w:eastAsia="zh-CN"/>
              </w:rPr>
              <w:t>8762.78</w:t>
            </w:r>
            <w:r>
              <w:rPr>
                <w:rFonts w:hint="default" w:ascii="Times New Roman" w:hAnsi="Times New Roman" w:cs="Times New Roman"/>
                <w:sz w:val="15"/>
                <w:szCs w:val="15"/>
              </w:rPr>
              <w:t>m²，建筑密度</w:t>
            </w:r>
            <w:r>
              <w:rPr>
                <w:rFonts w:hint="eastAsia" w:cs="Times New Roman"/>
                <w:sz w:val="15"/>
                <w:szCs w:val="15"/>
                <w:lang w:val="en-US" w:eastAsia="zh-CN"/>
              </w:rPr>
              <w:t>57.62</w:t>
            </w:r>
            <w:r>
              <w:rPr>
                <w:rFonts w:hint="default" w:ascii="Times New Roman" w:hAnsi="Times New Roman" w:cs="Times New Roman"/>
                <w:sz w:val="15"/>
                <w:szCs w:val="15"/>
              </w:rPr>
              <w:t>%，容积率</w:t>
            </w:r>
            <w:r>
              <w:rPr>
                <w:rFonts w:hint="eastAsia" w:cs="Times New Roman"/>
                <w:sz w:val="15"/>
                <w:szCs w:val="15"/>
                <w:lang w:val="en-US" w:eastAsia="zh-CN"/>
              </w:rPr>
              <w:t>0.77</w:t>
            </w:r>
            <w:r>
              <w:rPr>
                <w:rFonts w:hint="default" w:ascii="Times New Roman" w:hAnsi="Times New Roman" w:cs="Times New Roman"/>
                <w:sz w:val="15"/>
                <w:szCs w:val="15"/>
              </w:rPr>
              <w:t>，绿化面积</w:t>
            </w:r>
            <w:r>
              <w:rPr>
                <w:rFonts w:hint="eastAsia" w:cs="Times New Roman"/>
                <w:sz w:val="15"/>
                <w:szCs w:val="15"/>
                <w:lang w:val="en-US" w:eastAsia="zh-CN"/>
              </w:rPr>
              <w:t>0.23h</w:t>
            </w:r>
            <w:r>
              <w:rPr>
                <w:rFonts w:hint="default" w:ascii="Times New Roman" w:hAnsi="Times New Roman" w:cs="Times New Roman"/>
                <w:sz w:val="15"/>
                <w:szCs w:val="15"/>
              </w:rPr>
              <w:t>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，绿地率</w:t>
            </w:r>
            <w:r>
              <w:rPr>
                <w:rFonts w:hint="eastAsia" w:cs="Times New Roman"/>
                <w:sz w:val="15"/>
                <w:szCs w:val="15"/>
                <w:lang w:val="en-US" w:eastAsia="zh-CN"/>
              </w:rPr>
              <w:t>15.23</w:t>
            </w:r>
            <w:r>
              <w:rPr>
                <w:rFonts w:hint="default" w:ascii="Times New Roman" w:hAnsi="Times New Roman" w:cs="Times New Roman"/>
                <w:sz w:val="15"/>
                <w:szCs w:val="15"/>
              </w:rPr>
              <w:t>%。</w:t>
            </w:r>
          </w:p>
        </w:tc>
        <w:tc>
          <w:tcPr>
            <w:tcW w:w="696" w:type="dxa"/>
            <w:vAlign w:val="center"/>
          </w:tcPr>
          <w:p w14:paraId="4ADDDB3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总投资（万元）</w:t>
            </w:r>
          </w:p>
        </w:tc>
        <w:tc>
          <w:tcPr>
            <w:tcW w:w="793" w:type="dxa"/>
            <w:gridSpan w:val="2"/>
            <w:vAlign w:val="center"/>
          </w:tcPr>
          <w:p w14:paraId="0E918DD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cs="Times New Roman"/>
                <w:sz w:val="15"/>
                <w:szCs w:val="15"/>
                <w:lang w:eastAsia="zh-CN"/>
              </w:rPr>
              <w:t>2203.01</w:t>
            </w:r>
          </w:p>
        </w:tc>
        <w:tc>
          <w:tcPr>
            <w:tcW w:w="805" w:type="dxa"/>
            <w:vAlign w:val="center"/>
          </w:tcPr>
          <w:p w14:paraId="2222B85A">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土建投资（万元）</w:t>
            </w:r>
          </w:p>
        </w:tc>
        <w:tc>
          <w:tcPr>
            <w:tcW w:w="862" w:type="dxa"/>
            <w:vAlign w:val="center"/>
          </w:tcPr>
          <w:p w14:paraId="0CD36E6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cs="Times New Roman"/>
                <w:sz w:val="15"/>
                <w:szCs w:val="15"/>
                <w:lang w:eastAsia="zh-CN"/>
              </w:rPr>
              <w:t>462.63</w:t>
            </w:r>
          </w:p>
        </w:tc>
      </w:tr>
      <w:tr w14:paraId="267AD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5C7B45B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动工时间</w:t>
            </w:r>
          </w:p>
        </w:tc>
        <w:tc>
          <w:tcPr>
            <w:tcW w:w="1617" w:type="dxa"/>
            <w:vAlign w:val="center"/>
          </w:tcPr>
          <w:p w14:paraId="1859081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r>
              <w:rPr>
                <w:rFonts w:hint="eastAsia" w:cs="Times New Roman"/>
                <w:sz w:val="15"/>
                <w:szCs w:val="15"/>
                <w:lang w:eastAsia="zh-CN"/>
              </w:rPr>
              <w:t>2024年4月</w:t>
            </w:r>
          </w:p>
        </w:tc>
        <w:tc>
          <w:tcPr>
            <w:tcW w:w="1571" w:type="dxa"/>
            <w:vAlign w:val="center"/>
          </w:tcPr>
          <w:p w14:paraId="64F1385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完工时间</w:t>
            </w:r>
          </w:p>
        </w:tc>
        <w:tc>
          <w:tcPr>
            <w:tcW w:w="1409" w:type="dxa"/>
            <w:gridSpan w:val="2"/>
            <w:vAlign w:val="center"/>
          </w:tcPr>
          <w:p w14:paraId="1C5CC17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r>
              <w:rPr>
                <w:rFonts w:hint="eastAsia" w:cs="Times New Roman"/>
                <w:sz w:val="15"/>
                <w:szCs w:val="15"/>
                <w:lang w:eastAsia="zh-CN"/>
              </w:rPr>
              <w:t>2025年6月</w:t>
            </w:r>
          </w:p>
        </w:tc>
        <w:tc>
          <w:tcPr>
            <w:tcW w:w="1489" w:type="dxa"/>
            <w:gridSpan w:val="3"/>
            <w:vAlign w:val="center"/>
          </w:tcPr>
          <w:p w14:paraId="7BEFA9D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设计水平年</w:t>
            </w:r>
          </w:p>
        </w:tc>
        <w:tc>
          <w:tcPr>
            <w:tcW w:w="1667" w:type="dxa"/>
            <w:gridSpan w:val="2"/>
            <w:vAlign w:val="center"/>
          </w:tcPr>
          <w:p w14:paraId="2ECED89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2025年</w:t>
            </w:r>
          </w:p>
        </w:tc>
      </w:tr>
      <w:tr w14:paraId="1A068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7BC4A4D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工程占地（hm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w:t>
            </w:r>
          </w:p>
        </w:tc>
        <w:tc>
          <w:tcPr>
            <w:tcW w:w="1617" w:type="dxa"/>
            <w:vAlign w:val="center"/>
          </w:tcPr>
          <w:p w14:paraId="5BF401A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1.51</w:t>
            </w:r>
          </w:p>
        </w:tc>
        <w:tc>
          <w:tcPr>
            <w:tcW w:w="1571" w:type="dxa"/>
            <w:vAlign w:val="center"/>
          </w:tcPr>
          <w:p w14:paraId="5E97E06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永久占地（hm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w:t>
            </w:r>
          </w:p>
        </w:tc>
        <w:tc>
          <w:tcPr>
            <w:tcW w:w="1409" w:type="dxa"/>
            <w:gridSpan w:val="2"/>
            <w:vAlign w:val="center"/>
          </w:tcPr>
          <w:p w14:paraId="5552B28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1.51</w:t>
            </w:r>
          </w:p>
        </w:tc>
        <w:tc>
          <w:tcPr>
            <w:tcW w:w="1489" w:type="dxa"/>
            <w:gridSpan w:val="3"/>
            <w:vAlign w:val="center"/>
          </w:tcPr>
          <w:p w14:paraId="182C65E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临时占地（hm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w:t>
            </w:r>
          </w:p>
        </w:tc>
        <w:tc>
          <w:tcPr>
            <w:tcW w:w="1667" w:type="dxa"/>
            <w:gridSpan w:val="2"/>
            <w:vAlign w:val="center"/>
          </w:tcPr>
          <w:p w14:paraId="47552F4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0</w:t>
            </w:r>
          </w:p>
        </w:tc>
      </w:tr>
      <w:tr w14:paraId="6143E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4851629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项目组成</w:t>
            </w:r>
          </w:p>
        </w:tc>
        <w:tc>
          <w:tcPr>
            <w:tcW w:w="1617" w:type="dxa"/>
            <w:vAlign w:val="center"/>
          </w:tcPr>
          <w:p w14:paraId="2017ADD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面积（hm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w:t>
            </w:r>
          </w:p>
        </w:tc>
        <w:tc>
          <w:tcPr>
            <w:tcW w:w="1571" w:type="dxa"/>
            <w:vAlign w:val="center"/>
          </w:tcPr>
          <w:p w14:paraId="7F328A9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挖方量（m</w:t>
            </w:r>
            <w:r>
              <w:rPr>
                <w:rFonts w:hint="default" w:ascii="Times New Roman" w:hAnsi="Times New Roman" w:cs="Times New Roman"/>
                <w:sz w:val="15"/>
                <w:szCs w:val="15"/>
                <w:vertAlign w:val="superscript"/>
              </w:rPr>
              <w:t>3</w:t>
            </w:r>
            <w:r>
              <w:rPr>
                <w:rFonts w:hint="default" w:ascii="Times New Roman" w:hAnsi="Times New Roman" w:cs="Times New Roman"/>
                <w:sz w:val="15"/>
                <w:szCs w:val="15"/>
              </w:rPr>
              <w:t>）</w:t>
            </w:r>
          </w:p>
        </w:tc>
        <w:tc>
          <w:tcPr>
            <w:tcW w:w="1409" w:type="dxa"/>
            <w:gridSpan w:val="2"/>
            <w:vAlign w:val="center"/>
          </w:tcPr>
          <w:p w14:paraId="59EDAAB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填方量(m</w:t>
            </w:r>
            <w:r>
              <w:rPr>
                <w:rFonts w:hint="default" w:ascii="Times New Roman" w:hAnsi="Times New Roman" w:cs="Times New Roman"/>
                <w:sz w:val="15"/>
                <w:szCs w:val="15"/>
                <w:vertAlign w:val="superscript"/>
              </w:rPr>
              <w:t>3</w:t>
            </w:r>
            <w:r>
              <w:rPr>
                <w:rFonts w:hint="default" w:ascii="Times New Roman" w:hAnsi="Times New Roman" w:cs="Times New Roman"/>
                <w:sz w:val="15"/>
                <w:szCs w:val="15"/>
              </w:rPr>
              <w:t>)</w:t>
            </w:r>
          </w:p>
        </w:tc>
        <w:tc>
          <w:tcPr>
            <w:tcW w:w="1489" w:type="dxa"/>
            <w:gridSpan w:val="3"/>
            <w:vAlign w:val="center"/>
          </w:tcPr>
          <w:p w14:paraId="08CB906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color w:val="000000"/>
                <w:kern w:val="0"/>
                <w:sz w:val="15"/>
                <w:szCs w:val="15"/>
              </w:rPr>
              <w:t>外借</w:t>
            </w:r>
            <w:r>
              <w:rPr>
                <w:rFonts w:hint="default" w:ascii="Times New Roman" w:hAnsi="Times New Roman" w:cs="Times New Roman"/>
                <w:sz w:val="15"/>
                <w:szCs w:val="15"/>
              </w:rPr>
              <w:t>（m</w:t>
            </w:r>
            <w:r>
              <w:rPr>
                <w:rFonts w:hint="default" w:ascii="Times New Roman" w:hAnsi="Times New Roman" w:cs="Times New Roman"/>
                <w:sz w:val="15"/>
                <w:szCs w:val="15"/>
                <w:vertAlign w:val="superscript"/>
              </w:rPr>
              <w:t>3</w:t>
            </w:r>
            <w:r>
              <w:rPr>
                <w:rFonts w:hint="default" w:ascii="Times New Roman" w:hAnsi="Times New Roman" w:cs="Times New Roman"/>
                <w:sz w:val="15"/>
                <w:szCs w:val="15"/>
              </w:rPr>
              <w:t>）</w:t>
            </w:r>
          </w:p>
        </w:tc>
        <w:tc>
          <w:tcPr>
            <w:tcW w:w="1667" w:type="dxa"/>
            <w:gridSpan w:val="2"/>
            <w:vAlign w:val="center"/>
          </w:tcPr>
          <w:p w14:paraId="12B9074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剩余（万m</w:t>
            </w:r>
            <w:r>
              <w:rPr>
                <w:rFonts w:hint="default" w:ascii="Times New Roman" w:hAnsi="Times New Roman" w:cs="Times New Roman"/>
                <w:sz w:val="15"/>
                <w:szCs w:val="15"/>
                <w:vertAlign w:val="superscript"/>
              </w:rPr>
              <w:t>3</w:t>
            </w:r>
            <w:r>
              <w:rPr>
                <w:rFonts w:hint="default" w:ascii="Times New Roman" w:hAnsi="Times New Roman" w:cs="Times New Roman"/>
                <w:sz w:val="15"/>
                <w:szCs w:val="15"/>
              </w:rPr>
              <w:t>）</w:t>
            </w:r>
          </w:p>
        </w:tc>
      </w:tr>
      <w:tr w14:paraId="54277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restart"/>
            <w:shd w:val="clear" w:color="auto" w:fill="auto"/>
            <w:vAlign w:val="center"/>
          </w:tcPr>
          <w:p w14:paraId="6345457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地块一</w:t>
            </w:r>
          </w:p>
        </w:tc>
        <w:tc>
          <w:tcPr>
            <w:tcW w:w="1248" w:type="dxa"/>
            <w:gridSpan w:val="2"/>
            <w:shd w:val="clear" w:color="auto" w:fill="auto"/>
            <w:vAlign w:val="center"/>
          </w:tcPr>
          <w:p w14:paraId="75FD795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ascii="Times New Roman" w:hAnsi="Times New Roman" w:cs="Times New Roman"/>
                <w:color w:val="000000"/>
                <w:kern w:val="0"/>
                <w:sz w:val="15"/>
                <w:szCs w:val="15"/>
                <w:lang w:val="en-US" w:eastAsia="zh-CN"/>
              </w:rPr>
              <w:t>建构筑物区</w:t>
            </w:r>
          </w:p>
        </w:tc>
        <w:tc>
          <w:tcPr>
            <w:tcW w:w="1617" w:type="dxa"/>
            <w:vAlign w:val="center"/>
          </w:tcPr>
          <w:p w14:paraId="410C90AA">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kern w:val="0"/>
                <w:sz w:val="15"/>
                <w:szCs w:val="15"/>
              </w:rPr>
            </w:pPr>
            <w:r>
              <w:rPr>
                <w:rFonts w:hint="eastAsia" w:ascii="Times New Roman" w:hAnsi="Times New Roman" w:cs="Times New Roman"/>
                <w:color w:val="000000"/>
                <w:kern w:val="0"/>
                <w:sz w:val="15"/>
                <w:szCs w:val="15"/>
                <w:lang w:val="en-US" w:eastAsia="zh-CN"/>
              </w:rPr>
              <w:t xml:space="preserve">0.30 </w:t>
            </w:r>
          </w:p>
        </w:tc>
        <w:tc>
          <w:tcPr>
            <w:tcW w:w="1571" w:type="dxa"/>
            <w:vAlign w:val="center"/>
          </w:tcPr>
          <w:p w14:paraId="1C77D6CC">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eastAsia="仿宋_GB2312"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2739.60 </w:t>
            </w:r>
          </w:p>
        </w:tc>
        <w:tc>
          <w:tcPr>
            <w:tcW w:w="1409" w:type="dxa"/>
            <w:gridSpan w:val="2"/>
            <w:vAlign w:val="center"/>
          </w:tcPr>
          <w:p w14:paraId="389255FB">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eastAsia="仿宋_GB2312"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900.00 </w:t>
            </w:r>
          </w:p>
        </w:tc>
        <w:tc>
          <w:tcPr>
            <w:tcW w:w="1489" w:type="dxa"/>
            <w:gridSpan w:val="3"/>
            <w:vAlign w:val="center"/>
          </w:tcPr>
          <w:p w14:paraId="68559FF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67" w:type="dxa"/>
            <w:gridSpan w:val="2"/>
            <w:vAlign w:val="center"/>
          </w:tcPr>
          <w:p w14:paraId="32972A9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21116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shd w:val="clear" w:color="auto" w:fill="auto"/>
            <w:vAlign w:val="center"/>
          </w:tcPr>
          <w:p w14:paraId="5C45326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248" w:type="dxa"/>
            <w:gridSpan w:val="2"/>
            <w:shd w:val="clear" w:color="auto" w:fill="auto"/>
            <w:vAlign w:val="center"/>
          </w:tcPr>
          <w:p w14:paraId="03BECB7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ascii="Times New Roman" w:hAnsi="Times New Roman" w:cs="Times New Roman"/>
                <w:color w:val="000000"/>
                <w:kern w:val="0"/>
                <w:sz w:val="15"/>
                <w:szCs w:val="15"/>
                <w:lang w:val="en-US" w:eastAsia="zh-CN"/>
              </w:rPr>
              <w:t>道路及硬化区</w:t>
            </w:r>
          </w:p>
        </w:tc>
        <w:tc>
          <w:tcPr>
            <w:tcW w:w="1617" w:type="dxa"/>
            <w:vAlign w:val="center"/>
          </w:tcPr>
          <w:p w14:paraId="49B1DE1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kern w:val="0"/>
                <w:sz w:val="15"/>
                <w:szCs w:val="15"/>
              </w:rPr>
            </w:pPr>
            <w:r>
              <w:rPr>
                <w:rFonts w:hint="eastAsia" w:ascii="Times New Roman" w:hAnsi="Times New Roman" w:cs="Times New Roman"/>
                <w:color w:val="000000"/>
                <w:kern w:val="0"/>
                <w:sz w:val="15"/>
                <w:szCs w:val="15"/>
                <w:lang w:val="en-US" w:eastAsia="zh-CN"/>
              </w:rPr>
              <w:t xml:space="preserve">0.21 </w:t>
            </w:r>
          </w:p>
        </w:tc>
        <w:tc>
          <w:tcPr>
            <w:tcW w:w="1571" w:type="dxa"/>
            <w:vAlign w:val="center"/>
          </w:tcPr>
          <w:p w14:paraId="53D780C2">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eastAsia"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1806.00 </w:t>
            </w:r>
          </w:p>
        </w:tc>
        <w:tc>
          <w:tcPr>
            <w:tcW w:w="1409" w:type="dxa"/>
            <w:gridSpan w:val="2"/>
            <w:vAlign w:val="center"/>
          </w:tcPr>
          <w:p w14:paraId="13EE6F46">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3021.00 </w:t>
            </w:r>
          </w:p>
        </w:tc>
        <w:tc>
          <w:tcPr>
            <w:tcW w:w="1489" w:type="dxa"/>
            <w:gridSpan w:val="3"/>
            <w:vAlign w:val="center"/>
          </w:tcPr>
          <w:p w14:paraId="4245863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67" w:type="dxa"/>
            <w:gridSpan w:val="2"/>
            <w:vAlign w:val="center"/>
          </w:tcPr>
          <w:p w14:paraId="7F2924A5">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26359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shd w:val="clear" w:color="auto" w:fill="auto"/>
            <w:vAlign w:val="center"/>
          </w:tcPr>
          <w:p w14:paraId="51170AE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248" w:type="dxa"/>
            <w:gridSpan w:val="2"/>
            <w:shd w:val="clear" w:color="auto" w:fill="auto"/>
            <w:vAlign w:val="center"/>
          </w:tcPr>
          <w:p w14:paraId="0DA0544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ascii="Times New Roman" w:hAnsi="Times New Roman" w:cs="Times New Roman"/>
                <w:color w:val="000000"/>
                <w:kern w:val="0"/>
                <w:sz w:val="15"/>
                <w:szCs w:val="15"/>
                <w:lang w:val="en-US" w:eastAsia="zh-CN"/>
              </w:rPr>
              <w:t>绿化区</w:t>
            </w:r>
          </w:p>
        </w:tc>
        <w:tc>
          <w:tcPr>
            <w:tcW w:w="1617" w:type="dxa"/>
            <w:vAlign w:val="center"/>
          </w:tcPr>
          <w:p w14:paraId="2AA0D18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kern w:val="0"/>
                <w:sz w:val="15"/>
                <w:szCs w:val="15"/>
              </w:rPr>
            </w:pPr>
            <w:r>
              <w:rPr>
                <w:rFonts w:hint="eastAsia" w:ascii="Times New Roman" w:hAnsi="Times New Roman" w:cs="Times New Roman"/>
                <w:color w:val="000000"/>
                <w:kern w:val="0"/>
                <w:sz w:val="15"/>
                <w:szCs w:val="15"/>
                <w:lang w:val="en-US" w:eastAsia="zh-CN"/>
              </w:rPr>
              <w:t xml:space="preserve">0.09 </w:t>
            </w:r>
          </w:p>
        </w:tc>
        <w:tc>
          <w:tcPr>
            <w:tcW w:w="1571" w:type="dxa"/>
            <w:vAlign w:val="center"/>
          </w:tcPr>
          <w:p w14:paraId="6591A0E9">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eastAsia"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324.00 </w:t>
            </w:r>
          </w:p>
        </w:tc>
        <w:tc>
          <w:tcPr>
            <w:tcW w:w="1409" w:type="dxa"/>
            <w:gridSpan w:val="2"/>
            <w:vAlign w:val="center"/>
          </w:tcPr>
          <w:p w14:paraId="41B74226">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1144.90 </w:t>
            </w:r>
          </w:p>
        </w:tc>
        <w:tc>
          <w:tcPr>
            <w:tcW w:w="1489" w:type="dxa"/>
            <w:gridSpan w:val="3"/>
            <w:vAlign w:val="center"/>
          </w:tcPr>
          <w:p w14:paraId="595B4B9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67" w:type="dxa"/>
            <w:gridSpan w:val="2"/>
            <w:vAlign w:val="center"/>
          </w:tcPr>
          <w:p w14:paraId="13CABA7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3ECF19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restart"/>
            <w:shd w:val="clear" w:color="auto" w:fill="auto"/>
            <w:vAlign w:val="center"/>
          </w:tcPr>
          <w:p w14:paraId="0D6C5E6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val="en-US" w:eastAsia="zh-CN"/>
              </w:rPr>
            </w:pPr>
            <w:r>
              <w:rPr>
                <w:rFonts w:hint="eastAsia" w:cs="Times New Roman"/>
                <w:sz w:val="15"/>
                <w:szCs w:val="15"/>
                <w:lang w:val="en-US" w:eastAsia="zh-CN"/>
              </w:rPr>
              <w:t>地块二</w:t>
            </w:r>
          </w:p>
        </w:tc>
        <w:tc>
          <w:tcPr>
            <w:tcW w:w="1248" w:type="dxa"/>
            <w:gridSpan w:val="2"/>
            <w:shd w:val="clear" w:color="auto" w:fill="auto"/>
            <w:vAlign w:val="center"/>
          </w:tcPr>
          <w:p w14:paraId="7750190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ascii="Times New Roman" w:hAnsi="Times New Roman" w:cs="Times New Roman"/>
                <w:color w:val="000000"/>
                <w:kern w:val="0"/>
                <w:sz w:val="15"/>
                <w:szCs w:val="15"/>
                <w:lang w:val="en-US" w:eastAsia="zh-CN"/>
              </w:rPr>
              <w:t>建构筑物区</w:t>
            </w:r>
          </w:p>
        </w:tc>
        <w:tc>
          <w:tcPr>
            <w:tcW w:w="1617" w:type="dxa"/>
            <w:vAlign w:val="center"/>
          </w:tcPr>
          <w:p w14:paraId="4BF18D3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kern w:val="0"/>
                <w:sz w:val="15"/>
                <w:szCs w:val="15"/>
              </w:rPr>
            </w:pPr>
            <w:r>
              <w:rPr>
                <w:rFonts w:hint="eastAsia" w:ascii="Times New Roman" w:hAnsi="Times New Roman" w:cs="Times New Roman"/>
                <w:color w:val="000000"/>
                <w:kern w:val="0"/>
                <w:sz w:val="15"/>
                <w:szCs w:val="15"/>
                <w:lang w:val="en-US" w:eastAsia="zh-CN"/>
              </w:rPr>
              <w:t xml:space="preserve">0.57 </w:t>
            </w:r>
          </w:p>
        </w:tc>
        <w:tc>
          <w:tcPr>
            <w:tcW w:w="1571" w:type="dxa"/>
            <w:vAlign w:val="center"/>
          </w:tcPr>
          <w:p w14:paraId="3BF809F8">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eastAsia"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3252.00 </w:t>
            </w:r>
          </w:p>
        </w:tc>
        <w:tc>
          <w:tcPr>
            <w:tcW w:w="1409" w:type="dxa"/>
            <w:gridSpan w:val="2"/>
            <w:vAlign w:val="center"/>
          </w:tcPr>
          <w:p w14:paraId="359C11AC">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1377.00 </w:t>
            </w:r>
          </w:p>
        </w:tc>
        <w:tc>
          <w:tcPr>
            <w:tcW w:w="1489" w:type="dxa"/>
            <w:gridSpan w:val="3"/>
            <w:vAlign w:val="center"/>
          </w:tcPr>
          <w:p w14:paraId="19F8446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67" w:type="dxa"/>
            <w:gridSpan w:val="2"/>
            <w:vAlign w:val="center"/>
          </w:tcPr>
          <w:p w14:paraId="24CDDCB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332AC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shd w:val="clear" w:color="auto" w:fill="auto"/>
            <w:vAlign w:val="center"/>
          </w:tcPr>
          <w:p w14:paraId="44B79FD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248" w:type="dxa"/>
            <w:gridSpan w:val="2"/>
            <w:shd w:val="clear" w:color="auto" w:fill="auto"/>
            <w:vAlign w:val="center"/>
          </w:tcPr>
          <w:p w14:paraId="6B6843F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ascii="Times New Roman" w:hAnsi="Times New Roman" w:cs="Times New Roman"/>
                <w:color w:val="000000"/>
                <w:kern w:val="0"/>
                <w:sz w:val="15"/>
                <w:szCs w:val="15"/>
                <w:lang w:val="en-US" w:eastAsia="zh-CN"/>
              </w:rPr>
              <w:t>道路及硬化区</w:t>
            </w:r>
          </w:p>
        </w:tc>
        <w:tc>
          <w:tcPr>
            <w:tcW w:w="1617" w:type="dxa"/>
            <w:vAlign w:val="center"/>
          </w:tcPr>
          <w:p w14:paraId="7A9AC84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kern w:val="0"/>
                <w:sz w:val="15"/>
                <w:szCs w:val="15"/>
              </w:rPr>
            </w:pPr>
            <w:r>
              <w:rPr>
                <w:rFonts w:hint="eastAsia" w:ascii="Times New Roman" w:hAnsi="Times New Roman" w:cs="Times New Roman"/>
                <w:color w:val="000000"/>
                <w:kern w:val="0"/>
                <w:sz w:val="15"/>
                <w:szCs w:val="15"/>
                <w:lang w:val="en-US" w:eastAsia="zh-CN"/>
              </w:rPr>
              <w:t xml:space="preserve">0.20 </w:t>
            </w:r>
          </w:p>
        </w:tc>
        <w:tc>
          <w:tcPr>
            <w:tcW w:w="1571" w:type="dxa"/>
            <w:vAlign w:val="center"/>
          </w:tcPr>
          <w:p w14:paraId="3A667B12">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eastAsia"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1420.00 </w:t>
            </w:r>
          </w:p>
        </w:tc>
        <w:tc>
          <w:tcPr>
            <w:tcW w:w="1409" w:type="dxa"/>
            <w:gridSpan w:val="2"/>
            <w:vAlign w:val="center"/>
          </w:tcPr>
          <w:p w14:paraId="5BDD5980">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2140.00 </w:t>
            </w:r>
          </w:p>
        </w:tc>
        <w:tc>
          <w:tcPr>
            <w:tcW w:w="1489" w:type="dxa"/>
            <w:gridSpan w:val="3"/>
            <w:vAlign w:val="center"/>
          </w:tcPr>
          <w:p w14:paraId="0169D22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67" w:type="dxa"/>
            <w:gridSpan w:val="2"/>
            <w:vAlign w:val="center"/>
          </w:tcPr>
          <w:p w14:paraId="4727C39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76C50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shd w:val="clear" w:color="auto" w:fill="auto"/>
            <w:vAlign w:val="center"/>
          </w:tcPr>
          <w:p w14:paraId="061251A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248" w:type="dxa"/>
            <w:gridSpan w:val="2"/>
            <w:shd w:val="clear" w:color="auto" w:fill="auto"/>
            <w:vAlign w:val="center"/>
          </w:tcPr>
          <w:p w14:paraId="5354563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ascii="Times New Roman" w:hAnsi="Times New Roman" w:cs="Times New Roman"/>
                <w:color w:val="000000"/>
                <w:kern w:val="0"/>
                <w:sz w:val="15"/>
                <w:szCs w:val="15"/>
                <w:lang w:val="en-US" w:eastAsia="zh-CN"/>
              </w:rPr>
              <w:t>绿化区</w:t>
            </w:r>
          </w:p>
        </w:tc>
        <w:tc>
          <w:tcPr>
            <w:tcW w:w="1617" w:type="dxa"/>
            <w:vAlign w:val="center"/>
          </w:tcPr>
          <w:p w14:paraId="5D3B965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kern w:val="0"/>
                <w:sz w:val="15"/>
                <w:szCs w:val="15"/>
              </w:rPr>
            </w:pPr>
            <w:r>
              <w:rPr>
                <w:rFonts w:hint="eastAsia" w:ascii="Times New Roman" w:hAnsi="Times New Roman" w:cs="Times New Roman"/>
                <w:color w:val="000000"/>
                <w:kern w:val="0"/>
                <w:sz w:val="15"/>
                <w:szCs w:val="15"/>
                <w:lang w:val="en-US" w:eastAsia="zh-CN"/>
              </w:rPr>
              <w:t xml:space="preserve">0.14 </w:t>
            </w:r>
          </w:p>
        </w:tc>
        <w:tc>
          <w:tcPr>
            <w:tcW w:w="1571" w:type="dxa"/>
            <w:vAlign w:val="center"/>
          </w:tcPr>
          <w:p w14:paraId="425270D5">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eastAsia"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504.00 </w:t>
            </w:r>
          </w:p>
        </w:tc>
        <w:tc>
          <w:tcPr>
            <w:tcW w:w="1409" w:type="dxa"/>
            <w:gridSpan w:val="2"/>
            <w:vAlign w:val="center"/>
          </w:tcPr>
          <w:p w14:paraId="5AC74279">
            <w:pPr>
              <w:keepNext w:val="0"/>
              <w:keepLines w:val="0"/>
              <w:pageBreakBefore w:val="0"/>
              <w:widowControl/>
              <w:suppressLineNumbers w:val="0"/>
              <w:kinsoku/>
              <w:wordWrap/>
              <w:overflowPunct/>
              <w:topLinePunct w:val="0"/>
              <w:autoSpaceDE/>
              <w:autoSpaceDN/>
              <w:bidi w:val="0"/>
              <w:adjustRightInd/>
              <w:snapToGrid/>
              <w:spacing w:line="120" w:lineRule="auto"/>
              <w:ind w:left="0" w:leftChars="0" w:right="0" w:rightChars="0" w:firstLine="0" w:firstLineChars="0"/>
              <w:jc w:val="center"/>
              <w:textAlignment w:val="center"/>
              <w:rPr>
                <w:rFonts w:hint="default" w:ascii="Times New Roman" w:hAnsi="Times New Roman"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 xml:space="preserve">1462.70 </w:t>
            </w:r>
          </w:p>
        </w:tc>
        <w:tc>
          <w:tcPr>
            <w:tcW w:w="1489" w:type="dxa"/>
            <w:gridSpan w:val="3"/>
            <w:vAlign w:val="center"/>
          </w:tcPr>
          <w:p w14:paraId="7D30218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67" w:type="dxa"/>
            <w:gridSpan w:val="2"/>
            <w:vAlign w:val="center"/>
          </w:tcPr>
          <w:p w14:paraId="754B7AD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341B7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shd w:val="clear" w:color="auto" w:fill="auto"/>
            <w:vAlign w:val="center"/>
          </w:tcPr>
          <w:p w14:paraId="4B68034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合计</w:t>
            </w:r>
          </w:p>
        </w:tc>
        <w:tc>
          <w:tcPr>
            <w:tcW w:w="1617" w:type="dxa"/>
            <w:vAlign w:val="center"/>
          </w:tcPr>
          <w:p w14:paraId="56A54F4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1.51</w:t>
            </w:r>
          </w:p>
        </w:tc>
        <w:tc>
          <w:tcPr>
            <w:tcW w:w="1571" w:type="dxa"/>
            <w:vAlign w:val="center"/>
          </w:tcPr>
          <w:p w14:paraId="285D1717">
            <w:pPr>
              <w:keepNext w:val="0"/>
              <w:keepLines w:val="0"/>
              <w:pageBreakBefore w:val="0"/>
              <w:widowControl/>
              <w:kinsoku/>
              <w:wordWrap/>
              <w:overflowPunct/>
              <w:topLinePunct w:val="0"/>
              <w:bidi w:val="0"/>
              <w:snapToGrid/>
              <w:spacing w:line="120" w:lineRule="auto"/>
              <w:ind w:left="0" w:leftChars="0" w:right="0" w:rightChars="0" w:firstLine="0" w:firstLineChars="0"/>
              <w:jc w:val="center"/>
              <w:textAlignment w:val="center"/>
              <w:rPr>
                <w:rFonts w:hint="default" w:ascii="Times New Roman" w:hAnsi="Times New Roman" w:eastAsia="仿宋_GB2312" w:cs="Times New Roman"/>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10045.6</w:t>
            </w:r>
            <w:r>
              <w:rPr>
                <w:rFonts w:hint="eastAsia" w:cs="Times New Roman"/>
                <w:i w:val="0"/>
                <w:iCs w:val="0"/>
                <w:color w:val="000000"/>
                <w:kern w:val="0"/>
                <w:sz w:val="15"/>
                <w:szCs w:val="15"/>
                <w:u w:val="none"/>
                <w:lang w:val="en-US" w:eastAsia="zh-CN" w:bidi="ar"/>
              </w:rPr>
              <w:t>0</w:t>
            </w:r>
          </w:p>
        </w:tc>
        <w:tc>
          <w:tcPr>
            <w:tcW w:w="1409" w:type="dxa"/>
            <w:gridSpan w:val="2"/>
            <w:vAlign w:val="center"/>
          </w:tcPr>
          <w:p w14:paraId="6D1F949F">
            <w:pPr>
              <w:keepNext w:val="0"/>
              <w:keepLines w:val="0"/>
              <w:pageBreakBefore w:val="0"/>
              <w:widowControl/>
              <w:kinsoku/>
              <w:wordWrap/>
              <w:overflowPunct/>
              <w:topLinePunct w:val="0"/>
              <w:bidi w:val="0"/>
              <w:snapToGrid/>
              <w:spacing w:line="120" w:lineRule="auto"/>
              <w:ind w:left="0" w:leftChars="0" w:right="0" w:rightChars="0" w:firstLine="0" w:firstLineChars="0"/>
              <w:jc w:val="center"/>
              <w:textAlignment w:val="center"/>
              <w:rPr>
                <w:rFonts w:hint="default" w:ascii="Times New Roman" w:hAnsi="Times New Roman" w:eastAsia="仿宋_GB2312" w:cs="Times New Roman"/>
                <w:b/>
                <w:bCs/>
                <w:sz w:val="15"/>
                <w:szCs w:val="15"/>
                <w:lang w:val="en-US" w:eastAsia="zh-CN"/>
              </w:rPr>
            </w:pPr>
            <w:r>
              <w:rPr>
                <w:rFonts w:hint="default" w:ascii="Times New Roman" w:hAnsi="Times New Roman" w:eastAsia="仿宋_GB2312" w:cs="Times New Roman"/>
                <w:i w:val="0"/>
                <w:iCs w:val="0"/>
                <w:color w:val="000000"/>
                <w:kern w:val="0"/>
                <w:sz w:val="15"/>
                <w:szCs w:val="15"/>
                <w:u w:val="none"/>
                <w:lang w:val="en-US" w:eastAsia="zh-CN" w:bidi="ar"/>
              </w:rPr>
              <w:t>10045.60</w:t>
            </w:r>
          </w:p>
        </w:tc>
        <w:tc>
          <w:tcPr>
            <w:tcW w:w="1489" w:type="dxa"/>
            <w:gridSpan w:val="3"/>
            <w:vAlign w:val="center"/>
          </w:tcPr>
          <w:p w14:paraId="4ABDA71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kern w:val="0"/>
                <w:sz w:val="15"/>
                <w:szCs w:val="15"/>
              </w:rPr>
            </w:pPr>
          </w:p>
        </w:tc>
        <w:tc>
          <w:tcPr>
            <w:tcW w:w="1667" w:type="dxa"/>
            <w:gridSpan w:val="2"/>
            <w:vAlign w:val="center"/>
          </w:tcPr>
          <w:p w14:paraId="2145BC9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p>
        </w:tc>
      </w:tr>
      <w:tr w14:paraId="66909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244" w:type="dxa"/>
            <w:gridSpan w:val="4"/>
            <w:vAlign w:val="center"/>
          </w:tcPr>
          <w:p w14:paraId="0E84C95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重点防治区名称</w:t>
            </w:r>
          </w:p>
        </w:tc>
        <w:tc>
          <w:tcPr>
            <w:tcW w:w="6136" w:type="dxa"/>
            <w:gridSpan w:val="8"/>
            <w:vAlign w:val="center"/>
          </w:tcPr>
          <w:p w14:paraId="18E02D6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cs="Times New Roman"/>
                <w:sz w:val="15"/>
                <w:szCs w:val="15"/>
                <w:lang w:val="en-US" w:eastAsia="zh-CN"/>
              </w:rPr>
              <w:t>金沙江下游国家级水土流失重点治理区</w:t>
            </w:r>
          </w:p>
        </w:tc>
      </w:tr>
      <w:tr w14:paraId="794CD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244" w:type="dxa"/>
            <w:gridSpan w:val="4"/>
            <w:vAlign w:val="center"/>
          </w:tcPr>
          <w:p w14:paraId="1277BF6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地貌类型</w:t>
            </w:r>
          </w:p>
        </w:tc>
        <w:tc>
          <w:tcPr>
            <w:tcW w:w="1571" w:type="dxa"/>
            <w:vAlign w:val="center"/>
          </w:tcPr>
          <w:p w14:paraId="091D707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r>
              <w:rPr>
                <w:rFonts w:hint="eastAsia" w:cs="Times New Roman"/>
                <w:sz w:val="15"/>
                <w:szCs w:val="15"/>
                <w:lang w:eastAsia="zh-CN"/>
              </w:rPr>
              <w:t>构造侵蚀低中山地貌</w:t>
            </w:r>
          </w:p>
        </w:tc>
        <w:tc>
          <w:tcPr>
            <w:tcW w:w="2418" w:type="dxa"/>
            <w:gridSpan w:val="4"/>
            <w:vAlign w:val="center"/>
          </w:tcPr>
          <w:p w14:paraId="755CA70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水土保持区划</w:t>
            </w:r>
          </w:p>
        </w:tc>
        <w:tc>
          <w:tcPr>
            <w:tcW w:w="2147" w:type="dxa"/>
            <w:gridSpan w:val="3"/>
            <w:vAlign w:val="center"/>
          </w:tcPr>
          <w:p w14:paraId="445F8605">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西南岩溶区</w:t>
            </w:r>
          </w:p>
        </w:tc>
      </w:tr>
      <w:tr w14:paraId="2216E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244" w:type="dxa"/>
            <w:gridSpan w:val="4"/>
            <w:vAlign w:val="center"/>
          </w:tcPr>
          <w:p w14:paraId="24699257">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土壤侵蚀类型</w:t>
            </w:r>
          </w:p>
        </w:tc>
        <w:tc>
          <w:tcPr>
            <w:tcW w:w="1571" w:type="dxa"/>
            <w:vAlign w:val="center"/>
          </w:tcPr>
          <w:p w14:paraId="7FA7538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水力侵蚀</w:t>
            </w:r>
          </w:p>
        </w:tc>
        <w:tc>
          <w:tcPr>
            <w:tcW w:w="2418" w:type="dxa"/>
            <w:gridSpan w:val="4"/>
            <w:vAlign w:val="center"/>
          </w:tcPr>
          <w:p w14:paraId="0BC487A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土壤侵蚀强度（t/km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.a）</w:t>
            </w:r>
          </w:p>
        </w:tc>
        <w:tc>
          <w:tcPr>
            <w:tcW w:w="2147" w:type="dxa"/>
            <w:gridSpan w:val="3"/>
            <w:vAlign w:val="center"/>
          </w:tcPr>
          <w:p w14:paraId="4B690C6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450</w:t>
            </w:r>
          </w:p>
        </w:tc>
      </w:tr>
      <w:tr w14:paraId="42519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244" w:type="dxa"/>
            <w:gridSpan w:val="4"/>
            <w:vAlign w:val="center"/>
          </w:tcPr>
          <w:p w14:paraId="1638DEC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防治责任范围面积（hm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w:t>
            </w:r>
          </w:p>
        </w:tc>
        <w:tc>
          <w:tcPr>
            <w:tcW w:w="1571" w:type="dxa"/>
            <w:vAlign w:val="center"/>
          </w:tcPr>
          <w:p w14:paraId="0FB3E9E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1.51</w:t>
            </w:r>
          </w:p>
        </w:tc>
        <w:tc>
          <w:tcPr>
            <w:tcW w:w="2418" w:type="dxa"/>
            <w:gridSpan w:val="4"/>
            <w:vAlign w:val="center"/>
          </w:tcPr>
          <w:p w14:paraId="51A7F635">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容许土壤流失量（t/km</w:t>
            </w:r>
            <w:r>
              <w:rPr>
                <w:rFonts w:hint="default" w:ascii="Times New Roman" w:hAnsi="Times New Roman" w:cs="Times New Roman"/>
                <w:sz w:val="15"/>
                <w:szCs w:val="15"/>
                <w:vertAlign w:val="superscript"/>
              </w:rPr>
              <w:t>2</w:t>
            </w:r>
            <w:r>
              <w:rPr>
                <w:rFonts w:hint="default" w:ascii="Times New Roman" w:hAnsi="Times New Roman" w:cs="Times New Roman"/>
                <w:sz w:val="15"/>
                <w:szCs w:val="15"/>
              </w:rPr>
              <w:t>.a）</w:t>
            </w:r>
          </w:p>
        </w:tc>
        <w:tc>
          <w:tcPr>
            <w:tcW w:w="2147" w:type="dxa"/>
            <w:gridSpan w:val="3"/>
            <w:vAlign w:val="center"/>
          </w:tcPr>
          <w:p w14:paraId="1B223F5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500</w:t>
            </w:r>
          </w:p>
        </w:tc>
      </w:tr>
      <w:tr w14:paraId="7B1DC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244" w:type="dxa"/>
            <w:gridSpan w:val="4"/>
            <w:vAlign w:val="center"/>
          </w:tcPr>
          <w:p w14:paraId="63ECC55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土壤流失预测总量（t）</w:t>
            </w:r>
          </w:p>
        </w:tc>
        <w:tc>
          <w:tcPr>
            <w:tcW w:w="1571" w:type="dxa"/>
            <w:vAlign w:val="center"/>
          </w:tcPr>
          <w:p w14:paraId="4B3FD70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eastAsia="zh-CN"/>
              </w:rPr>
            </w:pPr>
            <w:r>
              <w:rPr>
                <w:rFonts w:hint="eastAsia" w:cs="Times New Roman"/>
                <w:sz w:val="15"/>
                <w:szCs w:val="15"/>
                <w:lang w:eastAsia="zh-CN"/>
              </w:rPr>
              <w:t>179.33t</w:t>
            </w:r>
          </w:p>
        </w:tc>
        <w:tc>
          <w:tcPr>
            <w:tcW w:w="2418" w:type="dxa"/>
            <w:gridSpan w:val="4"/>
            <w:vAlign w:val="center"/>
          </w:tcPr>
          <w:p w14:paraId="08B4712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新增土壤流失量（t）</w:t>
            </w:r>
          </w:p>
        </w:tc>
        <w:tc>
          <w:tcPr>
            <w:tcW w:w="2147" w:type="dxa"/>
            <w:gridSpan w:val="3"/>
            <w:vAlign w:val="center"/>
          </w:tcPr>
          <w:p w14:paraId="38D3F38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170.59</w:t>
            </w:r>
          </w:p>
        </w:tc>
      </w:tr>
      <w:tr w14:paraId="6DB871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244" w:type="dxa"/>
            <w:gridSpan w:val="4"/>
            <w:vAlign w:val="center"/>
          </w:tcPr>
          <w:p w14:paraId="0844513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水土流失防治标准执行等级</w:t>
            </w:r>
          </w:p>
        </w:tc>
        <w:tc>
          <w:tcPr>
            <w:tcW w:w="6136" w:type="dxa"/>
            <w:gridSpan w:val="8"/>
            <w:vAlign w:val="center"/>
          </w:tcPr>
          <w:p w14:paraId="4A659935">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西南岩溶区一级标准</w:t>
            </w:r>
          </w:p>
        </w:tc>
      </w:tr>
      <w:tr w14:paraId="584CA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Merge w:val="restart"/>
            <w:vAlign w:val="center"/>
          </w:tcPr>
          <w:p w14:paraId="3E10AA5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防治</w:t>
            </w:r>
          </w:p>
          <w:p w14:paraId="53148CC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目标</w:t>
            </w:r>
          </w:p>
        </w:tc>
        <w:tc>
          <w:tcPr>
            <w:tcW w:w="1617" w:type="dxa"/>
            <w:vAlign w:val="center"/>
          </w:tcPr>
          <w:p w14:paraId="0C9C72B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水土流失治理度（%）</w:t>
            </w:r>
          </w:p>
        </w:tc>
        <w:tc>
          <w:tcPr>
            <w:tcW w:w="1571" w:type="dxa"/>
            <w:vAlign w:val="center"/>
          </w:tcPr>
          <w:p w14:paraId="496B4BF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97</w:t>
            </w:r>
          </w:p>
        </w:tc>
        <w:tc>
          <w:tcPr>
            <w:tcW w:w="2418" w:type="dxa"/>
            <w:gridSpan w:val="4"/>
            <w:vAlign w:val="center"/>
          </w:tcPr>
          <w:p w14:paraId="3E75180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土壤流失控制比</w:t>
            </w:r>
          </w:p>
        </w:tc>
        <w:tc>
          <w:tcPr>
            <w:tcW w:w="2147" w:type="dxa"/>
            <w:gridSpan w:val="3"/>
            <w:vAlign w:val="center"/>
          </w:tcPr>
          <w:p w14:paraId="5124640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1.0</w:t>
            </w:r>
          </w:p>
        </w:tc>
      </w:tr>
      <w:tr w14:paraId="2346A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Merge w:val="continue"/>
            <w:vAlign w:val="center"/>
          </w:tcPr>
          <w:p w14:paraId="3B760DA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17" w:type="dxa"/>
            <w:vAlign w:val="center"/>
          </w:tcPr>
          <w:p w14:paraId="1EDDABB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渣土防护率（%）</w:t>
            </w:r>
          </w:p>
        </w:tc>
        <w:tc>
          <w:tcPr>
            <w:tcW w:w="1571" w:type="dxa"/>
            <w:vAlign w:val="center"/>
          </w:tcPr>
          <w:p w14:paraId="360DD59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eastAsia" w:ascii="Times New Roman" w:hAnsi="Times New Roman" w:eastAsia="仿宋_GB2312" w:cs="Times New Roman"/>
                <w:sz w:val="15"/>
                <w:szCs w:val="15"/>
                <w:lang w:val="en-US" w:eastAsia="zh-CN"/>
              </w:rPr>
            </w:pPr>
            <w:r>
              <w:rPr>
                <w:rFonts w:hint="default" w:ascii="Times New Roman" w:hAnsi="Times New Roman" w:cs="Times New Roman"/>
                <w:sz w:val="15"/>
                <w:szCs w:val="15"/>
              </w:rPr>
              <w:t>9</w:t>
            </w:r>
            <w:r>
              <w:rPr>
                <w:rFonts w:hint="eastAsia" w:cs="Times New Roman"/>
                <w:sz w:val="15"/>
                <w:szCs w:val="15"/>
                <w:lang w:val="en-US" w:eastAsia="zh-CN"/>
              </w:rPr>
              <w:t>2</w:t>
            </w:r>
          </w:p>
        </w:tc>
        <w:tc>
          <w:tcPr>
            <w:tcW w:w="2418" w:type="dxa"/>
            <w:gridSpan w:val="4"/>
            <w:vAlign w:val="center"/>
          </w:tcPr>
          <w:p w14:paraId="2FD7E78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表土保护率（%）</w:t>
            </w:r>
          </w:p>
        </w:tc>
        <w:tc>
          <w:tcPr>
            <w:tcW w:w="2147" w:type="dxa"/>
            <w:gridSpan w:val="3"/>
            <w:vAlign w:val="center"/>
          </w:tcPr>
          <w:p w14:paraId="63EB74D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95</w:t>
            </w:r>
          </w:p>
        </w:tc>
      </w:tr>
      <w:tr w14:paraId="7E9B9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Merge w:val="continue"/>
            <w:vAlign w:val="center"/>
          </w:tcPr>
          <w:p w14:paraId="6CA6D2E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1617" w:type="dxa"/>
            <w:vAlign w:val="center"/>
          </w:tcPr>
          <w:p w14:paraId="6BE5C070">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林草植被恢复率（%）</w:t>
            </w:r>
          </w:p>
        </w:tc>
        <w:tc>
          <w:tcPr>
            <w:tcW w:w="1571" w:type="dxa"/>
            <w:vAlign w:val="center"/>
          </w:tcPr>
          <w:p w14:paraId="44644EC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96</w:t>
            </w:r>
          </w:p>
        </w:tc>
        <w:tc>
          <w:tcPr>
            <w:tcW w:w="2418" w:type="dxa"/>
            <w:gridSpan w:val="4"/>
            <w:vAlign w:val="center"/>
          </w:tcPr>
          <w:p w14:paraId="0E37C66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林草覆盖率（%）</w:t>
            </w:r>
          </w:p>
        </w:tc>
        <w:tc>
          <w:tcPr>
            <w:tcW w:w="2147" w:type="dxa"/>
            <w:gridSpan w:val="3"/>
            <w:vAlign w:val="center"/>
          </w:tcPr>
          <w:p w14:paraId="795EF4E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lang w:val="en-US" w:eastAsia="zh-CN"/>
              </w:rPr>
            </w:pPr>
            <w:r>
              <w:rPr>
                <w:rFonts w:hint="eastAsia" w:cs="Times New Roman"/>
                <w:sz w:val="15"/>
                <w:szCs w:val="15"/>
                <w:lang w:val="en-US" w:eastAsia="zh-CN"/>
              </w:rPr>
              <w:t>15</w:t>
            </w:r>
          </w:p>
        </w:tc>
      </w:tr>
      <w:tr w14:paraId="1FCB6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restart"/>
            <w:vAlign w:val="center"/>
          </w:tcPr>
          <w:p w14:paraId="4C4EE8FF">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防治措施及工程量</w:t>
            </w:r>
          </w:p>
        </w:tc>
        <w:tc>
          <w:tcPr>
            <w:tcW w:w="1248" w:type="dxa"/>
            <w:gridSpan w:val="2"/>
            <w:vAlign w:val="center"/>
          </w:tcPr>
          <w:p w14:paraId="39E1370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防治分区</w:t>
            </w:r>
          </w:p>
        </w:tc>
        <w:tc>
          <w:tcPr>
            <w:tcW w:w="1617" w:type="dxa"/>
            <w:vAlign w:val="center"/>
          </w:tcPr>
          <w:p w14:paraId="18FA0D2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工程措施</w:t>
            </w:r>
          </w:p>
        </w:tc>
        <w:tc>
          <w:tcPr>
            <w:tcW w:w="1571" w:type="dxa"/>
            <w:vAlign w:val="center"/>
          </w:tcPr>
          <w:p w14:paraId="46845E3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植物措施</w:t>
            </w:r>
          </w:p>
        </w:tc>
        <w:tc>
          <w:tcPr>
            <w:tcW w:w="4565" w:type="dxa"/>
            <w:gridSpan w:val="7"/>
            <w:vAlign w:val="center"/>
          </w:tcPr>
          <w:p w14:paraId="0C15CCA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临时措施</w:t>
            </w:r>
          </w:p>
        </w:tc>
      </w:tr>
      <w:tr w14:paraId="7F0BB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vAlign w:val="center"/>
          </w:tcPr>
          <w:p w14:paraId="7B3C7E28">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340" w:type="dxa"/>
            <w:vMerge w:val="restart"/>
            <w:shd w:val="clear" w:color="auto" w:fill="auto"/>
            <w:vAlign w:val="center"/>
          </w:tcPr>
          <w:p w14:paraId="237EECA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cs="Times New Roman"/>
                <w:sz w:val="15"/>
                <w:szCs w:val="15"/>
                <w:lang w:val="en-US" w:eastAsia="zh-CN"/>
              </w:rPr>
              <w:t>地块一</w:t>
            </w:r>
          </w:p>
        </w:tc>
        <w:tc>
          <w:tcPr>
            <w:tcW w:w="908" w:type="dxa"/>
            <w:shd w:val="clear" w:color="auto" w:fill="auto"/>
            <w:vAlign w:val="center"/>
          </w:tcPr>
          <w:p w14:paraId="755CD972">
            <w:pPr>
              <w:keepNext w:val="0"/>
              <w:keepLines w:val="0"/>
              <w:pageBreakBefore w:val="0"/>
              <w:widowControl/>
              <w:kinsoku/>
              <w:wordWrap/>
              <w:overflowPunct/>
              <w:topLinePunct w:val="0"/>
              <w:autoSpaceDE/>
              <w:autoSpaceDN/>
              <w:bidi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color w:val="000000"/>
                <w:spacing w:val="-6"/>
                <w:kern w:val="0"/>
                <w:sz w:val="15"/>
                <w:szCs w:val="15"/>
                <w:lang w:val="en-US" w:eastAsia="zh-CN"/>
              </w:rPr>
              <w:t>建构筑物区</w:t>
            </w:r>
          </w:p>
        </w:tc>
        <w:tc>
          <w:tcPr>
            <w:tcW w:w="1617" w:type="dxa"/>
            <w:vAlign w:val="center"/>
          </w:tcPr>
          <w:p w14:paraId="2FCA443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rPr>
                <w:rFonts w:hint="eastAsia" w:ascii="Times New Roman" w:hAnsi="Times New Roman" w:eastAsia="仿宋_GB2312" w:cs="Times New Roman"/>
                <w:spacing w:val="-6"/>
                <w:sz w:val="15"/>
                <w:szCs w:val="15"/>
                <w:lang w:eastAsia="zh-CN"/>
              </w:rPr>
            </w:pPr>
            <w:r>
              <w:rPr>
                <w:rFonts w:hint="default" w:ascii="Times New Roman" w:hAnsi="Times New Roman" w:cs="Times New Roman"/>
                <w:spacing w:val="-6"/>
                <w:sz w:val="15"/>
                <w:szCs w:val="15"/>
              </w:rPr>
              <w:t>主体设计：表土剥离</w:t>
            </w:r>
            <w:r>
              <w:rPr>
                <w:rFonts w:hint="eastAsia" w:cs="Times New Roman"/>
                <w:spacing w:val="-6"/>
                <w:sz w:val="15"/>
                <w:szCs w:val="15"/>
                <w:lang w:val="en-US" w:eastAsia="zh-CN"/>
              </w:rPr>
              <w:t>105</w:t>
            </w:r>
            <w:r>
              <w:rPr>
                <w:rFonts w:hint="default"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3</w:t>
            </w:r>
            <w:r>
              <w:rPr>
                <w:rFonts w:hint="eastAsia" w:cs="Times New Roman"/>
                <w:spacing w:val="-6"/>
                <w:sz w:val="15"/>
                <w:szCs w:val="15"/>
                <w:lang w:eastAsia="zh-CN"/>
              </w:rPr>
              <w:t>；</w:t>
            </w:r>
          </w:p>
        </w:tc>
        <w:tc>
          <w:tcPr>
            <w:tcW w:w="1571" w:type="dxa"/>
            <w:shd w:val="clear" w:color="auto" w:fill="auto"/>
            <w:vAlign w:val="center"/>
          </w:tcPr>
          <w:p w14:paraId="2BF57F09">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p>
        </w:tc>
        <w:tc>
          <w:tcPr>
            <w:tcW w:w="4565" w:type="dxa"/>
            <w:gridSpan w:val="7"/>
            <w:vAlign w:val="center"/>
          </w:tcPr>
          <w:p w14:paraId="42EC48D3">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方案新增：临时彩条布苫盖</w:t>
            </w:r>
            <w:r>
              <w:rPr>
                <w:rFonts w:hint="eastAsia" w:ascii="Times New Roman" w:hAnsi="Times New Roman" w:cs="Times New Roman"/>
                <w:spacing w:val="-6"/>
                <w:sz w:val="15"/>
                <w:szCs w:val="15"/>
                <w:lang w:val="en-US" w:eastAsia="zh-CN"/>
              </w:rPr>
              <w:t>180.00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p>
        </w:tc>
      </w:tr>
      <w:tr w14:paraId="679B36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vAlign w:val="center"/>
          </w:tcPr>
          <w:p w14:paraId="69B159BF">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340" w:type="dxa"/>
            <w:vMerge w:val="continue"/>
            <w:shd w:val="clear" w:color="auto" w:fill="auto"/>
            <w:vAlign w:val="center"/>
          </w:tcPr>
          <w:p w14:paraId="23822316">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908" w:type="dxa"/>
            <w:shd w:val="clear" w:color="auto" w:fill="auto"/>
            <w:vAlign w:val="center"/>
          </w:tcPr>
          <w:p w14:paraId="3AFAC60E">
            <w:pPr>
              <w:keepNext w:val="0"/>
              <w:keepLines w:val="0"/>
              <w:pageBreakBefore w:val="0"/>
              <w:widowControl/>
              <w:kinsoku/>
              <w:wordWrap/>
              <w:overflowPunct/>
              <w:topLinePunct w:val="0"/>
              <w:autoSpaceDE/>
              <w:autoSpaceDN/>
              <w:bidi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color w:val="000000"/>
                <w:spacing w:val="-6"/>
                <w:kern w:val="0"/>
                <w:sz w:val="15"/>
                <w:szCs w:val="15"/>
                <w:lang w:val="en-US" w:eastAsia="zh-CN"/>
              </w:rPr>
              <w:t>道路及硬化区</w:t>
            </w:r>
          </w:p>
        </w:tc>
        <w:tc>
          <w:tcPr>
            <w:tcW w:w="1617" w:type="dxa"/>
            <w:vAlign w:val="center"/>
          </w:tcPr>
          <w:p w14:paraId="57A8FBEA">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主体设计：表土剥离</w:t>
            </w:r>
            <w:r>
              <w:rPr>
                <w:rFonts w:hint="eastAsia" w:cs="Times New Roman"/>
                <w:spacing w:val="-6"/>
                <w:sz w:val="15"/>
                <w:szCs w:val="15"/>
                <w:lang w:val="en-US" w:eastAsia="zh-CN"/>
              </w:rPr>
              <w:t>315</w:t>
            </w:r>
            <w:r>
              <w:rPr>
                <w:rFonts w:hint="default"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3</w:t>
            </w:r>
            <w:r>
              <w:rPr>
                <w:rFonts w:hint="eastAsia" w:cs="Times New Roman"/>
                <w:spacing w:val="-6"/>
                <w:sz w:val="15"/>
                <w:szCs w:val="15"/>
                <w:lang w:eastAsia="zh-CN"/>
              </w:rPr>
              <w:t>，</w:t>
            </w:r>
            <w:r>
              <w:rPr>
                <w:rFonts w:hint="default" w:ascii="Times New Roman" w:hAnsi="Times New Roman" w:cs="Times New Roman"/>
                <w:spacing w:val="-6"/>
                <w:sz w:val="15"/>
                <w:szCs w:val="15"/>
              </w:rPr>
              <w:t>雨水管网</w:t>
            </w:r>
            <w:r>
              <w:rPr>
                <w:rFonts w:hint="eastAsia" w:cs="Times New Roman"/>
                <w:spacing w:val="-6"/>
                <w:sz w:val="15"/>
                <w:szCs w:val="15"/>
                <w:lang w:val="en-US" w:eastAsia="zh-CN"/>
              </w:rPr>
              <w:t>200</w:t>
            </w:r>
            <w:r>
              <w:rPr>
                <w:rFonts w:hint="default" w:ascii="Times New Roman" w:hAnsi="Times New Roman" w:cs="Times New Roman"/>
                <w:spacing w:val="-6"/>
                <w:sz w:val="15"/>
                <w:szCs w:val="15"/>
              </w:rPr>
              <w:t>m</w:t>
            </w:r>
          </w:p>
        </w:tc>
        <w:tc>
          <w:tcPr>
            <w:tcW w:w="1571" w:type="dxa"/>
            <w:shd w:val="clear" w:color="auto" w:fill="auto"/>
            <w:vAlign w:val="center"/>
          </w:tcPr>
          <w:p w14:paraId="4DDDE402">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p>
        </w:tc>
        <w:tc>
          <w:tcPr>
            <w:tcW w:w="4565" w:type="dxa"/>
            <w:gridSpan w:val="7"/>
            <w:vAlign w:val="center"/>
          </w:tcPr>
          <w:p w14:paraId="5D6B0F07">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方案新增：临时彩条布苫盖</w:t>
            </w:r>
            <w:r>
              <w:rPr>
                <w:rFonts w:hint="eastAsia" w:ascii="Times New Roman" w:hAnsi="Times New Roman" w:cs="Times New Roman"/>
                <w:spacing w:val="-6"/>
                <w:sz w:val="15"/>
                <w:szCs w:val="15"/>
                <w:lang w:val="en-US" w:eastAsia="zh-CN"/>
              </w:rPr>
              <w:t>231.00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r>
              <w:rPr>
                <w:rFonts w:hint="default" w:ascii="Times New Roman" w:hAnsi="Times New Roman" w:cs="Times New Roman"/>
                <w:spacing w:val="-6"/>
                <w:sz w:val="15"/>
                <w:szCs w:val="15"/>
              </w:rPr>
              <w:t>，临时沉砂池</w:t>
            </w:r>
            <w:r>
              <w:rPr>
                <w:rFonts w:hint="eastAsia" w:cs="Times New Roman"/>
                <w:spacing w:val="-6"/>
                <w:sz w:val="15"/>
                <w:szCs w:val="15"/>
                <w:lang w:val="en-US" w:eastAsia="zh-CN"/>
              </w:rPr>
              <w:t>2</w:t>
            </w:r>
            <w:r>
              <w:rPr>
                <w:rFonts w:hint="default" w:ascii="Times New Roman" w:hAnsi="Times New Roman" w:cs="Times New Roman"/>
                <w:spacing w:val="-6"/>
                <w:sz w:val="15"/>
                <w:szCs w:val="15"/>
              </w:rPr>
              <w:t>座，车辆清</w:t>
            </w:r>
            <w:r>
              <w:rPr>
                <w:rFonts w:hint="default" w:ascii="Times New Roman" w:hAnsi="Times New Roman" w:cs="Times New Roman"/>
                <w:spacing w:val="-6"/>
                <w:sz w:val="15"/>
                <w:szCs w:val="15"/>
                <w:lang w:val="en-US" w:eastAsia="zh-CN"/>
              </w:rPr>
              <w:t>洗</w:t>
            </w:r>
            <w:r>
              <w:rPr>
                <w:rFonts w:hint="eastAsia" w:cs="Times New Roman"/>
                <w:spacing w:val="-6"/>
                <w:sz w:val="15"/>
                <w:szCs w:val="15"/>
                <w:lang w:val="en-US" w:eastAsia="zh-CN"/>
              </w:rPr>
              <w:t>池1座，车辆冲洗设备</w:t>
            </w:r>
            <w:r>
              <w:rPr>
                <w:rFonts w:hint="default" w:ascii="Times New Roman" w:hAnsi="Times New Roman" w:cs="Times New Roman"/>
                <w:spacing w:val="-6"/>
                <w:sz w:val="15"/>
                <w:szCs w:val="15"/>
              </w:rPr>
              <w:t>1</w:t>
            </w:r>
            <w:r>
              <w:rPr>
                <w:rFonts w:hint="eastAsia" w:cs="Times New Roman"/>
                <w:spacing w:val="-6"/>
                <w:sz w:val="15"/>
                <w:szCs w:val="15"/>
                <w:lang w:val="en-US" w:eastAsia="zh-CN"/>
              </w:rPr>
              <w:t>套</w:t>
            </w:r>
            <w:r>
              <w:rPr>
                <w:rFonts w:hint="default" w:ascii="Times New Roman" w:hAnsi="Times New Roman" w:cs="Times New Roman"/>
                <w:spacing w:val="-6"/>
                <w:sz w:val="15"/>
                <w:szCs w:val="15"/>
              </w:rPr>
              <w:t>；</w:t>
            </w:r>
          </w:p>
        </w:tc>
      </w:tr>
      <w:tr w14:paraId="4DDDD3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vAlign w:val="center"/>
          </w:tcPr>
          <w:p w14:paraId="2F9290F8">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340" w:type="dxa"/>
            <w:vMerge w:val="continue"/>
            <w:shd w:val="clear" w:color="auto" w:fill="auto"/>
            <w:vAlign w:val="center"/>
          </w:tcPr>
          <w:p w14:paraId="49C0AD0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908" w:type="dxa"/>
            <w:shd w:val="clear" w:color="auto" w:fill="auto"/>
            <w:vAlign w:val="center"/>
          </w:tcPr>
          <w:p w14:paraId="006EA63D">
            <w:pPr>
              <w:keepNext w:val="0"/>
              <w:keepLines w:val="0"/>
              <w:pageBreakBefore w:val="0"/>
              <w:widowControl/>
              <w:kinsoku/>
              <w:wordWrap/>
              <w:overflowPunct/>
              <w:topLinePunct w:val="0"/>
              <w:autoSpaceDE/>
              <w:autoSpaceDN/>
              <w:bidi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color w:val="000000"/>
                <w:spacing w:val="-6"/>
                <w:kern w:val="0"/>
                <w:sz w:val="15"/>
                <w:szCs w:val="15"/>
                <w:lang w:val="en-US" w:eastAsia="zh-CN"/>
              </w:rPr>
              <w:t>绿化区</w:t>
            </w:r>
          </w:p>
        </w:tc>
        <w:tc>
          <w:tcPr>
            <w:tcW w:w="1617" w:type="dxa"/>
            <w:vAlign w:val="center"/>
          </w:tcPr>
          <w:p w14:paraId="574AFF2D">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主体设计：表土剥离</w:t>
            </w:r>
            <w:r>
              <w:rPr>
                <w:rFonts w:hint="eastAsia" w:cs="Times New Roman"/>
                <w:spacing w:val="-6"/>
                <w:sz w:val="15"/>
                <w:szCs w:val="15"/>
                <w:lang w:val="en-US" w:eastAsia="zh-CN"/>
              </w:rPr>
              <w:t>135</w:t>
            </w:r>
            <w:r>
              <w:rPr>
                <w:rFonts w:hint="default"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3</w:t>
            </w:r>
            <w:r>
              <w:rPr>
                <w:rFonts w:hint="eastAsia" w:cs="Times New Roman"/>
                <w:spacing w:val="-6"/>
                <w:sz w:val="15"/>
                <w:szCs w:val="15"/>
                <w:lang w:eastAsia="zh-CN"/>
              </w:rPr>
              <w:t>，</w:t>
            </w:r>
          </w:p>
        </w:tc>
        <w:tc>
          <w:tcPr>
            <w:tcW w:w="1571" w:type="dxa"/>
            <w:shd w:val="clear" w:color="auto" w:fill="auto"/>
            <w:vAlign w:val="center"/>
          </w:tcPr>
          <w:p w14:paraId="11B4C31B">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主体设计：绿化</w:t>
            </w:r>
            <w:r>
              <w:rPr>
                <w:rFonts w:hint="eastAsia" w:cs="Times New Roman"/>
                <w:spacing w:val="-6"/>
                <w:sz w:val="15"/>
                <w:szCs w:val="15"/>
                <w:lang w:val="en-US" w:eastAsia="zh-CN"/>
              </w:rPr>
              <w:t>0.09h</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p>
        </w:tc>
        <w:tc>
          <w:tcPr>
            <w:tcW w:w="4565" w:type="dxa"/>
            <w:gridSpan w:val="7"/>
            <w:vAlign w:val="center"/>
          </w:tcPr>
          <w:p w14:paraId="6D8C79F4">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方案新增：临时无纺布苫盖</w:t>
            </w:r>
            <w:r>
              <w:rPr>
                <w:rFonts w:hint="eastAsia" w:ascii="Times New Roman" w:hAnsi="Times New Roman" w:cs="Times New Roman"/>
                <w:spacing w:val="-6"/>
                <w:sz w:val="15"/>
                <w:szCs w:val="15"/>
                <w:lang w:val="en-US" w:eastAsia="zh-CN"/>
              </w:rPr>
              <w:t>9</w:t>
            </w:r>
            <w:r>
              <w:rPr>
                <w:rFonts w:hint="default" w:ascii="Times New Roman" w:hAnsi="Times New Roman" w:cs="Times New Roman"/>
                <w:spacing w:val="-6"/>
                <w:sz w:val="15"/>
                <w:szCs w:val="15"/>
                <w:lang w:val="en-US" w:eastAsia="zh-CN"/>
              </w:rPr>
              <w:t>00.00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r>
              <w:rPr>
                <w:rFonts w:hint="default" w:ascii="Times New Roman" w:hAnsi="Times New Roman" w:cs="Times New Roman"/>
                <w:spacing w:val="-6"/>
                <w:sz w:val="15"/>
                <w:szCs w:val="15"/>
              </w:rPr>
              <w:t>，</w:t>
            </w:r>
            <w:r>
              <w:rPr>
                <w:rFonts w:hint="eastAsia" w:ascii="Times New Roman" w:hAnsi="Times New Roman" w:cs="Times New Roman"/>
                <w:spacing w:val="-6"/>
                <w:sz w:val="15"/>
                <w:szCs w:val="15"/>
                <w:lang w:val="en-US" w:eastAsia="zh-CN"/>
              </w:rPr>
              <w:t>编织袋挡墙82m</w:t>
            </w:r>
            <w:r>
              <w:rPr>
                <w:rFonts w:hint="eastAsia" w:ascii="Times New Roman" w:hAnsi="Times New Roman" w:cs="Times New Roman"/>
                <w:spacing w:val="-6"/>
                <w:sz w:val="15"/>
                <w:szCs w:val="15"/>
                <w:lang w:eastAsia="zh-CN"/>
              </w:rPr>
              <w:t>，</w:t>
            </w:r>
            <w:r>
              <w:rPr>
                <w:rFonts w:hint="default" w:ascii="Times New Roman" w:hAnsi="Times New Roman" w:cs="Times New Roman"/>
                <w:spacing w:val="-6"/>
                <w:sz w:val="15"/>
                <w:szCs w:val="15"/>
              </w:rPr>
              <w:t>临时彩条布苫盖</w:t>
            </w:r>
            <w:r>
              <w:rPr>
                <w:rFonts w:hint="eastAsia" w:ascii="Times New Roman" w:hAnsi="Times New Roman" w:cs="Times New Roman"/>
                <w:spacing w:val="-6"/>
                <w:sz w:val="15"/>
                <w:szCs w:val="15"/>
                <w:lang w:val="en-US" w:eastAsia="zh-CN"/>
              </w:rPr>
              <w:t>470.40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r>
              <w:rPr>
                <w:rFonts w:hint="default" w:ascii="Times New Roman" w:hAnsi="Times New Roman" w:cs="Times New Roman"/>
                <w:spacing w:val="-6"/>
                <w:sz w:val="15"/>
                <w:szCs w:val="15"/>
              </w:rPr>
              <w:t>。</w:t>
            </w:r>
          </w:p>
        </w:tc>
      </w:tr>
      <w:tr w14:paraId="03B1B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vAlign w:val="center"/>
          </w:tcPr>
          <w:p w14:paraId="7C797DF5">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340" w:type="dxa"/>
            <w:vMerge w:val="restart"/>
            <w:shd w:val="clear" w:color="auto" w:fill="auto"/>
            <w:vAlign w:val="center"/>
          </w:tcPr>
          <w:p w14:paraId="1C20BA4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eastAsia" w:cs="Times New Roman"/>
                <w:sz w:val="15"/>
                <w:szCs w:val="15"/>
                <w:lang w:val="en-US" w:eastAsia="zh-CN"/>
              </w:rPr>
              <w:t>地块二</w:t>
            </w:r>
          </w:p>
        </w:tc>
        <w:tc>
          <w:tcPr>
            <w:tcW w:w="908" w:type="dxa"/>
            <w:shd w:val="clear" w:color="auto" w:fill="auto"/>
            <w:vAlign w:val="center"/>
          </w:tcPr>
          <w:p w14:paraId="0FBFA31C">
            <w:pPr>
              <w:keepNext w:val="0"/>
              <w:keepLines w:val="0"/>
              <w:pageBreakBefore w:val="0"/>
              <w:widowControl/>
              <w:kinsoku/>
              <w:wordWrap/>
              <w:overflowPunct/>
              <w:topLinePunct w:val="0"/>
              <w:autoSpaceDE/>
              <w:autoSpaceDN/>
              <w:bidi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color w:val="000000"/>
                <w:spacing w:val="-6"/>
                <w:kern w:val="0"/>
                <w:sz w:val="15"/>
                <w:szCs w:val="15"/>
                <w:lang w:val="en-US" w:eastAsia="zh-CN"/>
              </w:rPr>
              <w:t>建构筑物区</w:t>
            </w:r>
          </w:p>
        </w:tc>
        <w:tc>
          <w:tcPr>
            <w:tcW w:w="1617" w:type="dxa"/>
            <w:vAlign w:val="center"/>
          </w:tcPr>
          <w:p w14:paraId="71EE6BA1">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主体设计：表土剥离</w:t>
            </w:r>
            <w:r>
              <w:rPr>
                <w:rFonts w:hint="eastAsia" w:cs="Times New Roman"/>
                <w:spacing w:val="-6"/>
                <w:sz w:val="15"/>
                <w:szCs w:val="15"/>
                <w:lang w:val="en-US" w:eastAsia="zh-CN"/>
              </w:rPr>
              <w:t>855</w:t>
            </w:r>
            <w:r>
              <w:rPr>
                <w:rFonts w:hint="default"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3</w:t>
            </w:r>
            <w:r>
              <w:rPr>
                <w:rFonts w:hint="eastAsia" w:cs="Times New Roman"/>
                <w:spacing w:val="-6"/>
                <w:sz w:val="15"/>
                <w:szCs w:val="15"/>
                <w:lang w:eastAsia="zh-CN"/>
              </w:rPr>
              <w:t>；</w:t>
            </w:r>
          </w:p>
        </w:tc>
        <w:tc>
          <w:tcPr>
            <w:tcW w:w="1571" w:type="dxa"/>
            <w:shd w:val="clear" w:color="auto" w:fill="auto"/>
            <w:vAlign w:val="center"/>
          </w:tcPr>
          <w:p w14:paraId="793ADDAD">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p>
        </w:tc>
        <w:tc>
          <w:tcPr>
            <w:tcW w:w="4565" w:type="dxa"/>
            <w:gridSpan w:val="7"/>
            <w:vAlign w:val="center"/>
          </w:tcPr>
          <w:p w14:paraId="4D6AB28F">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方案新增：临时彩条布苫盖</w:t>
            </w:r>
            <w:r>
              <w:rPr>
                <w:rFonts w:hint="eastAsia" w:cs="Times New Roman"/>
                <w:spacing w:val="-6"/>
                <w:sz w:val="15"/>
                <w:szCs w:val="15"/>
                <w:lang w:val="en-US" w:eastAsia="zh-CN"/>
              </w:rPr>
              <w:t>342</w:t>
            </w:r>
            <w:r>
              <w:rPr>
                <w:rFonts w:hint="eastAsia"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p>
        </w:tc>
      </w:tr>
      <w:tr w14:paraId="626F4C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vAlign w:val="center"/>
          </w:tcPr>
          <w:p w14:paraId="1AC4BF54">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340" w:type="dxa"/>
            <w:vMerge w:val="continue"/>
            <w:shd w:val="clear" w:color="auto" w:fill="auto"/>
            <w:vAlign w:val="center"/>
          </w:tcPr>
          <w:p w14:paraId="2FD4916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908" w:type="dxa"/>
            <w:shd w:val="clear" w:color="auto" w:fill="auto"/>
            <w:vAlign w:val="center"/>
          </w:tcPr>
          <w:p w14:paraId="3EA3AC9A">
            <w:pPr>
              <w:keepNext w:val="0"/>
              <w:keepLines w:val="0"/>
              <w:pageBreakBefore w:val="0"/>
              <w:widowControl/>
              <w:kinsoku/>
              <w:wordWrap/>
              <w:overflowPunct/>
              <w:topLinePunct w:val="0"/>
              <w:autoSpaceDE/>
              <w:autoSpaceDN/>
              <w:bidi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color w:val="000000"/>
                <w:spacing w:val="-6"/>
                <w:kern w:val="0"/>
                <w:sz w:val="15"/>
                <w:szCs w:val="15"/>
                <w:lang w:val="en-US" w:eastAsia="zh-CN"/>
              </w:rPr>
              <w:t>道路及硬化区</w:t>
            </w:r>
          </w:p>
        </w:tc>
        <w:tc>
          <w:tcPr>
            <w:tcW w:w="1617" w:type="dxa"/>
            <w:vAlign w:val="center"/>
          </w:tcPr>
          <w:p w14:paraId="2FADC666">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主体设计：表土剥离</w:t>
            </w:r>
            <w:r>
              <w:rPr>
                <w:rFonts w:hint="eastAsia" w:cs="Times New Roman"/>
                <w:spacing w:val="-6"/>
                <w:sz w:val="15"/>
                <w:szCs w:val="15"/>
                <w:lang w:val="en-US" w:eastAsia="zh-CN"/>
              </w:rPr>
              <w:t>300</w:t>
            </w:r>
            <w:r>
              <w:rPr>
                <w:rFonts w:hint="default"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3</w:t>
            </w:r>
            <w:r>
              <w:rPr>
                <w:rFonts w:hint="eastAsia" w:cs="Times New Roman"/>
                <w:spacing w:val="-6"/>
                <w:sz w:val="15"/>
                <w:szCs w:val="15"/>
                <w:lang w:eastAsia="zh-CN"/>
              </w:rPr>
              <w:t>，</w:t>
            </w:r>
            <w:r>
              <w:rPr>
                <w:rFonts w:hint="default" w:ascii="Times New Roman" w:hAnsi="Times New Roman" w:cs="Times New Roman"/>
                <w:spacing w:val="-6"/>
                <w:sz w:val="15"/>
                <w:szCs w:val="15"/>
              </w:rPr>
              <w:t>雨水管网</w:t>
            </w:r>
            <w:r>
              <w:rPr>
                <w:rFonts w:hint="eastAsia" w:cs="Times New Roman"/>
                <w:spacing w:val="-6"/>
                <w:sz w:val="15"/>
                <w:szCs w:val="15"/>
                <w:lang w:val="en-US" w:eastAsia="zh-CN"/>
              </w:rPr>
              <w:t>245</w:t>
            </w:r>
            <w:r>
              <w:rPr>
                <w:rFonts w:hint="default" w:ascii="Times New Roman" w:hAnsi="Times New Roman" w:cs="Times New Roman"/>
                <w:spacing w:val="-6"/>
                <w:sz w:val="15"/>
                <w:szCs w:val="15"/>
              </w:rPr>
              <w:t>m</w:t>
            </w:r>
          </w:p>
        </w:tc>
        <w:tc>
          <w:tcPr>
            <w:tcW w:w="1571" w:type="dxa"/>
            <w:shd w:val="clear" w:color="auto" w:fill="auto"/>
            <w:vAlign w:val="center"/>
          </w:tcPr>
          <w:p w14:paraId="6FEB901B">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p>
        </w:tc>
        <w:tc>
          <w:tcPr>
            <w:tcW w:w="4565" w:type="dxa"/>
            <w:gridSpan w:val="7"/>
            <w:vAlign w:val="center"/>
          </w:tcPr>
          <w:p w14:paraId="427C012E">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方案新增：临时彩条布苫盖</w:t>
            </w:r>
            <w:r>
              <w:rPr>
                <w:rFonts w:hint="eastAsia" w:cs="Times New Roman"/>
                <w:spacing w:val="-6"/>
                <w:sz w:val="15"/>
                <w:szCs w:val="15"/>
                <w:lang w:val="en-US" w:eastAsia="zh-CN"/>
              </w:rPr>
              <w:t>220</w:t>
            </w:r>
            <w:r>
              <w:rPr>
                <w:rFonts w:hint="eastAsia"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r>
              <w:rPr>
                <w:rFonts w:hint="default" w:ascii="Times New Roman" w:hAnsi="Times New Roman" w:cs="Times New Roman"/>
                <w:spacing w:val="-6"/>
                <w:sz w:val="15"/>
                <w:szCs w:val="15"/>
              </w:rPr>
              <w:t>，临时沉砂池</w:t>
            </w:r>
            <w:r>
              <w:rPr>
                <w:rFonts w:hint="eastAsia" w:cs="Times New Roman"/>
                <w:spacing w:val="-6"/>
                <w:sz w:val="15"/>
                <w:szCs w:val="15"/>
                <w:lang w:val="en-US" w:eastAsia="zh-CN"/>
              </w:rPr>
              <w:t>2</w:t>
            </w:r>
            <w:r>
              <w:rPr>
                <w:rFonts w:hint="default" w:ascii="Times New Roman" w:hAnsi="Times New Roman" w:cs="Times New Roman"/>
                <w:spacing w:val="-6"/>
                <w:sz w:val="15"/>
                <w:szCs w:val="15"/>
              </w:rPr>
              <w:t>座，车辆清</w:t>
            </w:r>
            <w:r>
              <w:rPr>
                <w:rFonts w:hint="default" w:ascii="Times New Roman" w:hAnsi="Times New Roman" w:cs="Times New Roman"/>
                <w:spacing w:val="-6"/>
                <w:sz w:val="15"/>
                <w:szCs w:val="15"/>
                <w:lang w:val="en-US" w:eastAsia="zh-CN"/>
              </w:rPr>
              <w:t>洗</w:t>
            </w:r>
            <w:r>
              <w:rPr>
                <w:rFonts w:hint="eastAsia" w:cs="Times New Roman"/>
                <w:spacing w:val="-6"/>
                <w:sz w:val="15"/>
                <w:szCs w:val="15"/>
                <w:lang w:val="en-US" w:eastAsia="zh-CN"/>
              </w:rPr>
              <w:t>池1座，车辆冲洗设备</w:t>
            </w:r>
            <w:r>
              <w:rPr>
                <w:rFonts w:hint="default" w:ascii="Times New Roman" w:hAnsi="Times New Roman" w:cs="Times New Roman"/>
                <w:spacing w:val="-6"/>
                <w:sz w:val="15"/>
                <w:szCs w:val="15"/>
              </w:rPr>
              <w:t>1</w:t>
            </w:r>
            <w:r>
              <w:rPr>
                <w:rFonts w:hint="eastAsia" w:cs="Times New Roman"/>
                <w:spacing w:val="-6"/>
                <w:sz w:val="15"/>
                <w:szCs w:val="15"/>
                <w:lang w:val="en-US" w:eastAsia="zh-CN"/>
              </w:rPr>
              <w:t>套</w:t>
            </w:r>
            <w:r>
              <w:rPr>
                <w:rFonts w:hint="default" w:ascii="Times New Roman" w:hAnsi="Times New Roman" w:cs="Times New Roman"/>
                <w:spacing w:val="-6"/>
                <w:sz w:val="15"/>
                <w:szCs w:val="15"/>
              </w:rPr>
              <w:t>；</w:t>
            </w:r>
          </w:p>
        </w:tc>
      </w:tr>
      <w:tr w14:paraId="59BBC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379" w:type="dxa"/>
            <w:vMerge w:val="continue"/>
            <w:tcBorders>
              <w:bottom w:val="single" w:color="auto" w:sz="4" w:space="0"/>
            </w:tcBorders>
            <w:vAlign w:val="center"/>
          </w:tcPr>
          <w:p w14:paraId="54F216BA">
            <w:pPr>
              <w:keepNext w:val="0"/>
              <w:keepLines w:val="0"/>
              <w:pageBreakBefore w:val="0"/>
              <w:widowControl/>
              <w:kinsoku/>
              <w:wordWrap/>
              <w:overflowPunct/>
              <w:topLinePunct w:val="0"/>
              <w:bidi w:val="0"/>
              <w:adjustRightInd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340" w:type="dxa"/>
            <w:vMerge w:val="continue"/>
            <w:tcBorders>
              <w:bottom w:val="single" w:color="auto" w:sz="4" w:space="0"/>
            </w:tcBorders>
            <w:shd w:val="clear" w:color="auto" w:fill="auto"/>
            <w:vAlign w:val="center"/>
          </w:tcPr>
          <w:p w14:paraId="08ADDFD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p>
        </w:tc>
        <w:tc>
          <w:tcPr>
            <w:tcW w:w="908" w:type="dxa"/>
            <w:tcBorders>
              <w:bottom w:val="single" w:color="auto" w:sz="4" w:space="0"/>
            </w:tcBorders>
            <w:shd w:val="clear" w:color="auto" w:fill="auto"/>
            <w:vAlign w:val="center"/>
          </w:tcPr>
          <w:p w14:paraId="0B8EF984">
            <w:pPr>
              <w:keepNext w:val="0"/>
              <w:keepLines w:val="0"/>
              <w:pageBreakBefore w:val="0"/>
              <w:widowControl/>
              <w:kinsoku/>
              <w:wordWrap/>
              <w:overflowPunct/>
              <w:topLinePunct w:val="0"/>
              <w:autoSpaceDE/>
              <w:autoSpaceDN/>
              <w:bidi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color w:val="000000"/>
                <w:spacing w:val="-6"/>
                <w:kern w:val="0"/>
                <w:sz w:val="15"/>
                <w:szCs w:val="15"/>
                <w:lang w:val="en-US" w:eastAsia="zh-CN"/>
              </w:rPr>
              <w:t>绿化区</w:t>
            </w:r>
          </w:p>
        </w:tc>
        <w:tc>
          <w:tcPr>
            <w:tcW w:w="1617" w:type="dxa"/>
            <w:tcBorders>
              <w:bottom w:val="single" w:color="auto" w:sz="4" w:space="0"/>
            </w:tcBorders>
            <w:vAlign w:val="center"/>
          </w:tcPr>
          <w:p w14:paraId="4D8C40E9">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主体设计：表土剥离</w:t>
            </w:r>
            <w:r>
              <w:rPr>
                <w:rFonts w:hint="eastAsia" w:cs="Times New Roman"/>
                <w:spacing w:val="-6"/>
                <w:sz w:val="15"/>
                <w:szCs w:val="15"/>
                <w:lang w:val="en-US" w:eastAsia="zh-CN"/>
              </w:rPr>
              <w:t>210</w:t>
            </w:r>
            <w:r>
              <w:rPr>
                <w:rFonts w:hint="default" w:ascii="Times New Roman" w:hAnsi="Times New Roman" w:cs="Times New Roman"/>
                <w:spacing w:val="-6"/>
                <w:sz w:val="15"/>
                <w:szCs w:val="15"/>
                <w:lang w:val="en-US" w:eastAsia="zh-CN"/>
              </w:rPr>
              <w:t>.00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3</w:t>
            </w:r>
            <w:r>
              <w:rPr>
                <w:rFonts w:hint="eastAsia" w:cs="Times New Roman"/>
                <w:spacing w:val="-6"/>
                <w:sz w:val="15"/>
                <w:szCs w:val="15"/>
                <w:lang w:eastAsia="zh-CN"/>
              </w:rPr>
              <w:t>，</w:t>
            </w:r>
          </w:p>
        </w:tc>
        <w:tc>
          <w:tcPr>
            <w:tcW w:w="1571" w:type="dxa"/>
            <w:shd w:val="clear" w:color="auto" w:fill="auto"/>
            <w:vAlign w:val="center"/>
          </w:tcPr>
          <w:p w14:paraId="62687586">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主体设计：绿化</w:t>
            </w:r>
            <w:r>
              <w:rPr>
                <w:rFonts w:hint="eastAsia" w:cs="Times New Roman"/>
                <w:spacing w:val="-6"/>
                <w:sz w:val="15"/>
                <w:szCs w:val="15"/>
                <w:lang w:val="en-US" w:eastAsia="zh-CN"/>
              </w:rPr>
              <w:t>0.14h</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p>
        </w:tc>
        <w:tc>
          <w:tcPr>
            <w:tcW w:w="4565" w:type="dxa"/>
            <w:gridSpan w:val="7"/>
            <w:vAlign w:val="center"/>
          </w:tcPr>
          <w:p w14:paraId="0E64626F">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default" w:ascii="Times New Roman" w:hAnsi="Times New Roman" w:cs="Times New Roman"/>
                <w:spacing w:val="-6"/>
                <w:sz w:val="15"/>
                <w:szCs w:val="15"/>
              </w:rPr>
              <w:t>方案新增：临时无纺布苫盖</w:t>
            </w:r>
            <w:r>
              <w:rPr>
                <w:rFonts w:hint="eastAsia" w:cs="Times New Roman"/>
                <w:spacing w:val="-6"/>
                <w:sz w:val="15"/>
                <w:szCs w:val="15"/>
                <w:lang w:val="en-US" w:eastAsia="zh-CN"/>
              </w:rPr>
              <w:t>14</w:t>
            </w:r>
            <w:r>
              <w:rPr>
                <w:rFonts w:hint="default" w:ascii="Times New Roman" w:hAnsi="Times New Roman" w:cs="Times New Roman"/>
                <w:spacing w:val="-6"/>
                <w:sz w:val="15"/>
                <w:szCs w:val="15"/>
                <w:lang w:val="en-US" w:eastAsia="zh-CN"/>
              </w:rPr>
              <w:t>00.00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r>
              <w:rPr>
                <w:rFonts w:hint="default" w:ascii="Times New Roman" w:hAnsi="Times New Roman" w:cs="Times New Roman"/>
                <w:spacing w:val="-6"/>
                <w:sz w:val="15"/>
                <w:szCs w:val="15"/>
              </w:rPr>
              <w:t>，</w:t>
            </w:r>
            <w:r>
              <w:rPr>
                <w:rFonts w:hint="eastAsia" w:ascii="Times New Roman" w:hAnsi="Times New Roman" w:cs="Times New Roman"/>
                <w:spacing w:val="-6"/>
                <w:sz w:val="15"/>
                <w:szCs w:val="15"/>
                <w:lang w:val="en-US" w:eastAsia="zh-CN"/>
              </w:rPr>
              <w:t>编织袋挡墙</w:t>
            </w:r>
            <w:r>
              <w:rPr>
                <w:rFonts w:hint="eastAsia" w:cs="Times New Roman"/>
                <w:spacing w:val="-6"/>
                <w:sz w:val="15"/>
                <w:szCs w:val="15"/>
                <w:lang w:val="en-US" w:eastAsia="zh-CN"/>
              </w:rPr>
              <w:t>283</w:t>
            </w:r>
            <w:r>
              <w:rPr>
                <w:rFonts w:hint="eastAsia" w:ascii="Times New Roman" w:hAnsi="Times New Roman" w:cs="Times New Roman"/>
                <w:spacing w:val="-6"/>
                <w:sz w:val="15"/>
                <w:szCs w:val="15"/>
                <w:lang w:val="en-US" w:eastAsia="zh-CN"/>
              </w:rPr>
              <w:t>m</w:t>
            </w:r>
            <w:r>
              <w:rPr>
                <w:rFonts w:hint="eastAsia" w:ascii="Times New Roman" w:hAnsi="Times New Roman" w:cs="Times New Roman"/>
                <w:spacing w:val="-6"/>
                <w:sz w:val="15"/>
                <w:szCs w:val="15"/>
                <w:lang w:eastAsia="zh-CN"/>
              </w:rPr>
              <w:t>，</w:t>
            </w:r>
            <w:r>
              <w:rPr>
                <w:rFonts w:hint="default" w:ascii="Times New Roman" w:hAnsi="Times New Roman" w:cs="Times New Roman"/>
                <w:spacing w:val="-6"/>
                <w:sz w:val="15"/>
                <w:szCs w:val="15"/>
              </w:rPr>
              <w:t>临时彩条布苫盖</w:t>
            </w:r>
            <w:r>
              <w:rPr>
                <w:rFonts w:hint="eastAsia" w:cs="Times New Roman"/>
                <w:spacing w:val="-6"/>
                <w:sz w:val="15"/>
                <w:szCs w:val="15"/>
                <w:lang w:val="en-US" w:eastAsia="zh-CN"/>
              </w:rPr>
              <w:t>739.20</w:t>
            </w:r>
            <w:r>
              <w:rPr>
                <w:rFonts w:hint="default" w:ascii="Times New Roman" w:hAnsi="Times New Roman" w:cs="Times New Roman"/>
                <w:spacing w:val="-6"/>
                <w:sz w:val="15"/>
                <w:szCs w:val="15"/>
              </w:rPr>
              <w:t>m</w:t>
            </w:r>
            <w:r>
              <w:rPr>
                <w:rFonts w:hint="default" w:ascii="Times New Roman" w:hAnsi="Times New Roman" w:cs="Times New Roman"/>
                <w:spacing w:val="-6"/>
                <w:sz w:val="15"/>
                <w:szCs w:val="15"/>
                <w:vertAlign w:val="superscript"/>
              </w:rPr>
              <w:t>2</w:t>
            </w:r>
            <w:r>
              <w:rPr>
                <w:rFonts w:hint="default" w:ascii="Times New Roman" w:hAnsi="Times New Roman" w:cs="Times New Roman"/>
                <w:spacing w:val="-6"/>
                <w:sz w:val="15"/>
                <w:szCs w:val="15"/>
              </w:rPr>
              <w:t>。</w:t>
            </w:r>
          </w:p>
        </w:tc>
      </w:tr>
      <w:tr w14:paraId="29DEF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shd w:val="clear" w:color="auto" w:fill="auto"/>
            <w:vAlign w:val="center"/>
          </w:tcPr>
          <w:p w14:paraId="4E85499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投资（万元）</w:t>
            </w:r>
          </w:p>
        </w:tc>
        <w:tc>
          <w:tcPr>
            <w:tcW w:w="1617" w:type="dxa"/>
            <w:shd w:val="clear" w:color="auto" w:fill="auto"/>
            <w:vAlign w:val="center"/>
          </w:tcPr>
          <w:p w14:paraId="71B1AC75">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highlight w:val="none"/>
                <w:lang w:val="en-US" w:eastAsia="zh-CN"/>
              </w:rPr>
            </w:pPr>
            <w:r>
              <w:rPr>
                <w:rFonts w:hint="eastAsia" w:cs="Times New Roman"/>
                <w:sz w:val="15"/>
                <w:szCs w:val="15"/>
                <w:highlight w:val="none"/>
                <w:lang w:val="en-US" w:eastAsia="zh-CN"/>
              </w:rPr>
              <w:t>10.94</w:t>
            </w:r>
          </w:p>
        </w:tc>
        <w:tc>
          <w:tcPr>
            <w:tcW w:w="1571" w:type="dxa"/>
            <w:shd w:val="clear" w:color="auto" w:fill="auto"/>
            <w:vAlign w:val="center"/>
          </w:tcPr>
          <w:p w14:paraId="1317B66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kern w:val="0"/>
                <w:sz w:val="15"/>
                <w:szCs w:val="15"/>
                <w:highlight w:val="none"/>
                <w:lang w:val="en-US" w:eastAsia="zh-CN"/>
              </w:rPr>
            </w:pPr>
            <w:r>
              <w:rPr>
                <w:rFonts w:hint="eastAsia" w:cs="Times New Roman"/>
                <w:kern w:val="0"/>
                <w:sz w:val="15"/>
                <w:szCs w:val="15"/>
                <w:highlight w:val="none"/>
                <w:lang w:val="en-US" w:eastAsia="zh-CN"/>
              </w:rPr>
              <w:t>27.60</w:t>
            </w:r>
          </w:p>
        </w:tc>
        <w:tc>
          <w:tcPr>
            <w:tcW w:w="4565" w:type="dxa"/>
            <w:gridSpan w:val="7"/>
            <w:shd w:val="clear" w:color="auto" w:fill="auto"/>
            <w:vAlign w:val="center"/>
          </w:tcPr>
          <w:p w14:paraId="06FB187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kern w:val="0"/>
                <w:sz w:val="15"/>
                <w:szCs w:val="15"/>
                <w:highlight w:val="none"/>
                <w:lang w:val="en-US" w:eastAsia="zh-CN"/>
              </w:rPr>
            </w:pPr>
            <w:r>
              <w:rPr>
                <w:rFonts w:hint="eastAsia" w:cs="Times New Roman"/>
                <w:kern w:val="0"/>
                <w:sz w:val="15"/>
                <w:szCs w:val="15"/>
                <w:highlight w:val="none"/>
                <w:lang w:val="en-US" w:eastAsia="zh-CN"/>
              </w:rPr>
              <w:t>9.39</w:t>
            </w:r>
          </w:p>
        </w:tc>
      </w:tr>
      <w:tr w14:paraId="4C7E7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shd w:val="clear" w:color="auto" w:fill="auto"/>
            <w:vAlign w:val="center"/>
          </w:tcPr>
          <w:p w14:paraId="0D378F8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水土保持总投资（万元）</w:t>
            </w:r>
          </w:p>
        </w:tc>
        <w:tc>
          <w:tcPr>
            <w:tcW w:w="3188" w:type="dxa"/>
            <w:gridSpan w:val="2"/>
            <w:shd w:val="clear" w:color="auto" w:fill="auto"/>
            <w:vAlign w:val="center"/>
          </w:tcPr>
          <w:p w14:paraId="2426FFD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highlight w:val="none"/>
                <w:lang w:val="en-US" w:eastAsia="zh-CN"/>
              </w:rPr>
            </w:pPr>
            <w:r>
              <w:rPr>
                <w:rFonts w:hint="eastAsia" w:cs="Times New Roman"/>
                <w:sz w:val="15"/>
                <w:szCs w:val="15"/>
                <w:highlight w:val="none"/>
                <w:lang w:val="en-US" w:eastAsia="zh-CN"/>
              </w:rPr>
              <w:t>62.47</w:t>
            </w:r>
          </w:p>
        </w:tc>
        <w:tc>
          <w:tcPr>
            <w:tcW w:w="1409" w:type="dxa"/>
            <w:gridSpan w:val="2"/>
            <w:shd w:val="clear" w:color="auto" w:fill="auto"/>
            <w:vAlign w:val="center"/>
          </w:tcPr>
          <w:p w14:paraId="347CB9AA">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highlight w:val="none"/>
              </w:rPr>
            </w:pPr>
            <w:r>
              <w:rPr>
                <w:rFonts w:hint="default" w:ascii="Times New Roman" w:hAnsi="Times New Roman" w:cs="Times New Roman"/>
                <w:sz w:val="15"/>
                <w:szCs w:val="15"/>
                <w:highlight w:val="none"/>
              </w:rPr>
              <w:t>独立费用（万元）</w:t>
            </w:r>
          </w:p>
        </w:tc>
        <w:tc>
          <w:tcPr>
            <w:tcW w:w="3156" w:type="dxa"/>
            <w:gridSpan w:val="5"/>
            <w:shd w:val="clear" w:color="auto" w:fill="auto"/>
            <w:vAlign w:val="center"/>
          </w:tcPr>
          <w:p w14:paraId="54D99A4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highlight w:val="none"/>
                <w:lang w:val="en-US" w:eastAsia="zh-CN"/>
              </w:rPr>
            </w:pPr>
            <w:r>
              <w:rPr>
                <w:rFonts w:hint="eastAsia" w:cs="Times New Roman"/>
                <w:sz w:val="15"/>
                <w:szCs w:val="15"/>
                <w:highlight w:val="none"/>
                <w:lang w:val="en-US" w:eastAsia="zh-CN"/>
              </w:rPr>
              <w:t>12.19</w:t>
            </w:r>
          </w:p>
        </w:tc>
      </w:tr>
      <w:tr w14:paraId="00250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shd w:val="clear" w:color="auto" w:fill="auto"/>
            <w:vAlign w:val="center"/>
          </w:tcPr>
          <w:p w14:paraId="026BC6B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rPr>
            </w:pPr>
            <w:r>
              <w:rPr>
                <w:rFonts w:hint="default" w:ascii="Times New Roman" w:hAnsi="Times New Roman" w:cs="Times New Roman"/>
                <w:sz w:val="15"/>
                <w:szCs w:val="15"/>
              </w:rPr>
              <w:t>监理费（万元）</w:t>
            </w:r>
          </w:p>
        </w:tc>
        <w:tc>
          <w:tcPr>
            <w:tcW w:w="1617" w:type="dxa"/>
            <w:shd w:val="clear" w:color="auto" w:fill="auto"/>
            <w:vAlign w:val="center"/>
          </w:tcPr>
          <w:p w14:paraId="3BE1B74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highlight w:val="none"/>
              </w:rPr>
            </w:pPr>
            <w:r>
              <w:rPr>
                <w:rFonts w:hint="eastAsia" w:cs="Times New Roman"/>
                <w:sz w:val="15"/>
                <w:szCs w:val="15"/>
                <w:highlight w:val="none"/>
                <w:lang w:val="en-US" w:eastAsia="zh-CN"/>
              </w:rPr>
              <w:t>4</w:t>
            </w:r>
            <w:r>
              <w:rPr>
                <w:rFonts w:hint="default" w:ascii="Times New Roman" w:hAnsi="Times New Roman" w:cs="Times New Roman"/>
                <w:sz w:val="15"/>
                <w:szCs w:val="15"/>
                <w:highlight w:val="none"/>
              </w:rPr>
              <w:t>.00</w:t>
            </w:r>
          </w:p>
        </w:tc>
        <w:tc>
          <w:tcPr>
            <w:tcW w:w="1571" w:type="dxa"/>
            <w:shd w:val="clear" w:color="auto" w:fill="auto"/>
            <w:vAlign w:val="center"/>
          </w:tcPr>
          <w:p w14:paraId="56A6191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highlight w:val="none"/>
              </w:rPr>
            </w:pPr>
            <w:r>
              <w:rPr>
                <w:rFonts w:hint="default" w:ascii="Times New Roman" w:hAnsi="Times New Roman" w:cs="Times New Roman"/>
                <w:sz w:val="15"/>
                <w:szCs w:val="15"/>
                <w:highlight w:val="none"/>
              </w:rPr>
              <w:t>监测费（万元）</w:t>
            </w:r>
          </w:p>
        </w:tc>
        <w:tc>
          <w:tcPr>
            <w:tcW w:w="1409" w:type="dxa"/>
            <w:gridSpan w:val="2"/>
            <w:shd w:val="clear" w:color="auto" w:fill="auto"/>
            <w:vAlign w:val="center"/>
          </w:tcPr>
          <w:p w14:paraId="794E042E">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highlight w:val="none"/>
                <w:lang w:val="en-US" w:eastAsia="zh-CN"/>
              </w:rPr>
            </w:pPr>
            <w:r>
              <w:rPr>
                <w:rFonts w:hint="eastAsia" w:cs="Times New Roman"/>
                <w:sz w:val="15"/>
                <w:szCs w:val="15"/>
                <w:highlight w:val="none"/>
                <w:lang w:val="en-US" w:eastAsia="zh-CN"/>
              </w:rPr>
              <w:t>2.00</w:t>
            </w:r>
          </w:p>
        </w:tc>
        <w:tc>
          <w:tcPr>
            <w:tcW w:w="1489" w:type="dxa"/>
            <w:gridSpan w:val="3"/>
            <w:shd w:val="clear" w:color="auto" w:fill="auto"/>
            <w:vAlign w:val="center"/>
          </w:tcPr>
          <w:p w14:paraId="52275E1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sz w:val="15"/>
                <w:szCs w:val="15"/>
                <w:highlight w:val="none"/>
              </w:rPr>
            </w:pPr>
            <w:r>
              <w:rPr>
                <w:rFonts w:hint="default" w:ascii="Times New Roman" w:hAnsi="Times New Roman" w:cs="Times New Roman"/>
                <w:sz w:val="15"/>
                <w:szCs w:val="15"/>
                <w:highlight w:val="none"/>
              </w:rPr>
              <w:t>补偿费（万元）</w:t>
            </w:r>
          </w:p>
        </w:tc>
        <w:tc>
          <w:tcPr>
            <w:tcW w:w="1667" w:type="dxa"/>
            <w:gridSpan w:val="2"/>
            <w:shd w:val="clear" w:color="auto" w:fill="auto"/>
            <w:vAlign w:val="center"/>
          </w:tcPr>
          <w:p w14:paraId="41F017D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sz w:val="15"/>
                <w:szCs w:val="15"/>
                <w:highlight w:val="none"/>
                <w:lang w:val="en-US" w:eastAsia="zh-CN"/>
              </w:rPr>
            </w:pPr>
            <w:r>
              <w:rPr>
                <w:rFonts w:hint="eastAsia" w:cs="Times New Roman"/>
                <w:sz w:val="15"/>
                <w:szCs w:val="15"/>
                <w:highlight w:val="none"/>
                <w:lang w:val="en-US" w:eastAsia="zh-CN"/>
              </w:rPr>
              <w:t>1.06</w:t>
            </w:r>
          </w:p>
        </w:tc>
      </w:tr>
      <w:tr w14:paraId="40FB2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0431A9D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方案编制单位</w:t>
            </w:r>
          </w:p>
        </w:tc>
        <w:tc>
          <w:tcPr>
            <w:tcW w:w="3188" w:type="dxa"/>
            <w:gridSpan w:val="2"/>
            <w:vAlign w:val="center"/>
          </w:tcPr>
          <w:p w14:paraId="06A7D98B">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eastAsia="仿宋_GB2312" w:cs="Times New Roman"/>
                <w:color w:val="000000" w:themeColor="text1"/>
                <w:sz w:val="15"/>
                <w:szCs w:val="15"/>
                <w:highlight w:val="none"/>
                <w:lang w:eastAsia="zh-CN"/>
              </w:rPr>
            </w:pPr>
            <w:r>
              <w:rPr>
                <w:rFonts w:hint="default" w:ascii="Times New Roman" w:hAnsi="Times New Roman" w:cs="Times New Roman"/>
                <w:color w:val="000000" w:themeColor="text1"/>
                <w:kern w:val="0"/>
                <w:sz w:val="15"/>
                <w:szCs w:val="15"/>
                <w:highlight w:val="none"/>
                <w:lang w:val="en-US" w:eastAsia="zh-CN"/>
              </w:rPr>
              <w:t>云南环沃工程咨询有限公司</w:t>
            </w:r>
          </w:p>
        </w:tc>
        <w:tc>
          <w:tcPr>
            <w:tcW w:w="1105" w:type="dxa"/>
            <w:vAlign w:val="center"/>
          </w:tcPr>
          <w:p w14:paraId="0A3BB7FC">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lang w:val="zh-CN"/>
              </w:rPr>
            </w:pPr>
            <w:r>
              <w:rPr>
                <w:rFonts w:hint="default" w:ascii="Times New Roman" w:hAnsi="Times New Roman" w:cs="Times New Roman"/>
                <w:color w:val="000000" w:themeColor="text1"/>
                <w:sz w:val="15"/>
                <w:szCs w:val="15"/>
                <w:highlight w:val="none"/>
                <w:lang w:val="zh-CN"/>
              </w:rPr>
              <w:t>建设单位</w:t>
            </w:r>
          </w:p>
        </w:tc>
        <w:tc>
          <w:tcPr>
            <w:tcW w:w="3460" w:type="dxa"/>
            <w:gridSpan w:val="6"/>
            <w:vAlign w:val="center"/>
          </w:tcPr>
          <w:p w14:paraId="6EC819C6">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eastAsia" w:ascii="Times New Roman" w:hAnsi="Times New Roman" w:cs="Times New Roman"/>
                <w:spacing w:val="-6"/>
                <w:sz w:val="15"/>
                <w:szCs w:val="15"/>
                <w:lang w:eastAsia="zh-CN"/>
              </w:rPr>
            </w:pPr>
            <w:r>
              <w:rPr>
                <w:rFonts w:hint="eastAsia" w:ascii="Times New Roman" w:hAnsi="Times New Roman" w:cs="Times New Roman"/>
                <w:spacing w:val="-6"/>
                <w:sz w:val="15"/>
                <w:szCs w:val="15"/>
                <w:lang w:val="en-US" w:eastAsia="zh-CN"/>
              </w:rPr>
              <w:t>会泽县待补镇人民政府</w:t>
            </w:r>
          </w:p>
        </w:tc>
      </w:tr>
      <w:tr w14:paraId="2E542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680C678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法定代表人</w:t>
            </w:r>
          </w:p>
        </w:tc>
        <w:tc>
          <w:tcPr>
            <w:tcW w:w="3188" w:type="dxa"/>
            <w:gridSpan w:val="2"/>
            <w:vAlign w:val="center"/>
          </w:tcPr>
          <w:p w14:paraId="0456553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kern w:val="0"/>
                <w:sz w:val="15"/>
                <w:szCs w:val="15"/>
                <w:highlight w:val="none"/>
                <w:lang w:val="en-US" w:eastAsia="zh-CN"/>
              </w:rPr>
              <w:t>高顺全</w:t>
            </w:r>
          </w:p>
        </w:tc>
        <w:tc>
          <w:tcPr>
            <w:tcW w:w="1105" w:type="dxa"/>
            <w:vAlign w:val="center"/>
          </w:tcPr>
          <w:p w14:paraId="5C13BE3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lang w:val="zh-CN"/>
              </w:rPr>
            </w:pPr>
            <w:r>
              <w:rPr>
                <w:rFonts w:hint="default" w:ascii="Times New Roman" w:hAnsi="Times New Roman" w:cs="Times New Roman"/>
                <w:color w:val="000000" w:themeColor="text1"/>
                <w:sz w:val="15"/>
                <w:szCs w:val="15"/>
                <w:highlight w:val="none"/>
              </w:rPr>
              <w:t>法定代表人</w:t>
            </w:r>
          </w:p>
        </w:tc>
        <w:tc>
          <w:tcPr>
            <w:tcW w:w="3460" w:type="dxa"/>
            <w:gridSpan w:val="6"/>
            <w:vAlign w:val="center"/>
          </w:tcPr>
          <w:p w14:paraId="616AC793">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spacing w:val="-6"/>
                <w:sz w:val="15"/>
                <w:szCs w:val="15"/>
                <w:lang w:val="en-US" w:eastAsia="zh-CN"/>
              </w:rPr>
              <w:t>张毕恩</w:t>
            </w:r>
          </w:p>
        </w:tc>
      </w:tr>
      <w:tr w14:paraId="32276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2AF7218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地址</w:t>
            </w:r>
          </w:p>
        </w:tc>
        <w:tc>
          <w:tcPr>
            <w:tcW w:w="3188" w:type="dxa"/>
            <w:gridSpan w:val="2"/>
            <w:vAlign w:val="center"/>
          </w:tcPr>
          <w:p w14:paraId="3834134B">
            <w:pPr>
              <w:keepNext w:val="0"/>
              <w:keepLines w:val="0"/>
              <w:pageBreakBefore w:val="0"/>
              <w:widowControl/>
              <w:kinsoku/>
              <w:wordWrap/>
              <w:overflowPunct/>
              <w:topLinePunct w:val="0"/>
              <w:autoSpaceDE w:val="0"/>
              <w:autoSpaceDN w:val="0"/>
              <w:bidi w:val="0"/>
              <w:adjustRightInd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kern w:val="0"/>
                <w:sz w:val="15"/>
                <w:szCs w:val="15"/>
                <w:highlight w:val="none"/>
                <w:lang w:val="en-US" w:eastAsia="zh-CN"/>
              </w:rPr>
              <w:t>云南省曲靖市会泽县古城街道办事处翠屏社区翠屏直街66号</w:t>
            </w:r>
          </w:p>
        </w:tc>
        <w:tc>
          <w:tcPr>
            <w:tcW w:w="1105" w:type="dxa"/>
            <w:vAlign w:val="center"/>
          </w:tcPr>
          <w:p w14:paraId="4F38A7D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kern w:val="0"/>
                <w:sz w:val="15"/>
                <w:szCs w:val="15"/>
                <w:highlight w:val="none"/>
                <w:lang w:val="zh-CN"/>
              </w:rPr>
            </w:pPr>
            <w:r>
              <w:rPr>
                <w:rFonts w:hint="default" w:ascii="Times New Roman" w:hAnsi="Times New Roman" w:cs="Times New Roman"/>
                <w:color w:val="000000" w:themeColor="text1"/>
                <w:kern w:val="0"/>
                <w:sz w:val="15"/>
                <w:szCs w:val="15"/>
                <w:highlight w:val="none"/>
                <w:lang w:val="zh-CN"/>
              </w:rPr>
              <w:t>地址</w:t>
            </w:r>
          </w:p>
        </w:tc>
        <w:tc>
          <w:tcPr>
            <w:tcW w:w="3460" w:type="dxa"/>
            <w:gridSpan w:val="6"/>
            <w:vAlign w:val="center"/>
          </w:tcPr>
          <w:p w14:paraId="5B13F266">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r>
              <w:rPr>
                <w:rFonts w:hint="eastAsia" w:ascii="Times New Roman" w:hAnsi="Times New Roman" w:cs="Times New Roman"/>
                <w:spacing w:val="-6"/>
                <w:sz w:val="15"/>
                <w:szCs w:val="15"/>
                <w:lang w:val="en-US" w:eastAsia="zh-CN"/>
              </w:rPr>
              <w:t>云南省曲靖</w:t>
            </w:r>
            <w:r>
              <w:rPr>
                <w:rFonts w:hint="default" w:ascii="Times New Roman" w:hAnsi="Times New Roman" w:cs="Times New Roman"/>
                <w:spacing w:val="-6"/>
                <w:sz w:val="15"/>
                <w:szCs w:val="15"/>
                <w:lang w:val="en-US" w:eastAsia="zh-CN"/>
              </w:rPr>
              <w:t>市会泽县待补镇鸡鸣山大道</w:t>
            </w:r>
          </w:p>
        </w:tc>
      </w:tr>
      <w:tr w14:paraId="10F8DF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55375B1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邮编</w:t>
            </w:r>
          </w:p>
        </w:tc>
        <w:tc>
          <w:tcPr>
            <w:tcW w:w="3188" w:type="dxa"/>
            <w:gridSpan w:val="2"/>
            <w:vAlign w:val="center"/>
          </w:tcPr>
          <w:p w14:paraId="0E0342E5">
            <w:pPr>
              <w:keepNext w:val="0"/>
              <w:keepLines w:val="0"/>
              <w:pageBreakBefore w:val="0"/>
              <w:widowControl/>
              <w:kinsoku/>
              <w:wordWrap/>
              <w:overflowPunct/>
              <w:topLinePunct w:val="0"/>
              <w:autoSpaceDE w:val="0"/>
              <w:autoSpaceDN w:val="0"/>
              <w:bidi w:val="0"/>
              <w:adjustRightInd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p>
        </w:tc>
        <w:tc>
          <w:tcPr>
            <w:tcW w:w="1105" w:type="dxa"/>
            <w:vAlign w:val="center"/>
          </w:tcPr>
          <w:p w14:paraId="4A48996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lang w:val="zh-CN"/>
              </w:rPr>
              <w:t>邮编</w:t>
            </w:r>
          </w:p>
        </w:tc>
        <w:tc>
          <w:tcPr>
            <w:tcW w:w="3460" w:type="dxa"/>
            <w:gridSpan w:val="6"/>
            <w:vAlign w:val="center"/>
          </w:tcPr>
          <w:p w14:paraId="3BA6CB23">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p>
        </w:tc>
      </w:tr>
      <w:tr w14:paraId="0679A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6F4B4E77">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联系人及电话</w:t>
            </w:r>
          </w:p>
        </w:tc>
        <w:tc>
          <w:tcPr>
            <w:tcW w:w="3188" w:type="dxa"/>
            <w:gridSpan w:val="2"/>
            <w:vAlign w:val="center"/>
          </w:tcPr>
          <w:p w14:paraId="35F74202">
            <w:pPr>
              <w:keepNext w:val="0"/>
              <w:keepLines w:val="0"/>
              <w:pageBreakBefore w:val="0"/>
              <w:widowControl/>
              <w:kinsoku/>
              <w:wordWrap/>
              <w:overflowPunct/>
              <w:topLinePunct w:val="0"/>
              <w:autoSpaceDE w:val="0"/>
              <w:autoSpaceDN w:val="0"/>
              <w:bidi w:val="0"/>
              <w:adjustRightInd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p>
        </w:tc>
        <w:tc>
          <w:tcPr>
            <w:tcW w:w="1105" w:type="dxa"/>
            <w:vAlign w:val="center"/>
          </w:tcPr>
          <w:p w14:paraId="0BBDA2A2">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联系人及电话</w:t>
            </w:r>
          </w:p>
        </w:tc>
        <w:tc>
          <w:tcPr>
            <w:tcW w:w="3460" w:type="dxa"/>
            <w:gridSpan w:val="6"/>
            <w:vAlign w:val="center"/>
          </w:tcPr>
          <w:p w14:paraId="4D5F434B">
            <w:pPr>
              <w:keepNext w:val="0"/>
              <w:keepLines w:val="0"/>
              <w:pageBreakBefore w:val="0"/>
              <w:widowControl/>
              <w:kinsoku/>
              <w:wordWrap/>
              <w:overflowPunct/>
              <w:topLinePunct w:val="0"/>
              <w:autoSpaceDE/>
              <w:autoSpaceDN/>
              <w:bidi w:val="0"/>
              <w:adjustRightInd w:val="0"/>
              <w:snapToGrid/>
              <w:spacing w:line="72" w:lineRule="auto"/>
              <w:ind w:left="0" w:leftChars="0" w:right="0" w:rightChars="0" w:firstLine="0" w:firstLineChars="0"/>
              <w:jc w:val="center"/>
              <w:textAlignment w:val="auto"/>
              <w:rPr>
                <w:rFonts w:hint="default" w:ascii="Times New Roman" w:hAnsi="Times New Roman" w:cs="Times New Roman"/>
                <w:spacing w:val="-6"/>
                <w:sz w:val="15"/>
                <w:szCs w:val="15"/>
              </w:rPr>
            </w:pPr>
          </w:p>
        </w:tc>
      </w:tr>
      <w:tr w14:paraId="66B5B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45CA47E3">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传真</w:t>
            </w:r>
          </w:p>
        </w:tc>
        <w:tc>
          <w:tcPr>
            <w:tcW w:w="3188" w:type="dxa"/>
            <w:gridSpan w:val="2"/>
            <w:vAlign w:val="center"/>
          </w:tcPr>
          <w:p w14:paraId="1F134248">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p>
        </w:tc>
        <w:tc>
          <w:tcPr>
            <w:tcW w:w="1105" w:type="dxa"/>
            <w:vAlign w:val="center"/>
          </w:tcPr>
          <w:p w14:paraId="328A1805">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传真</w:t>
            </w:r>
          </w:p>
        </w:tc>
        <w:tc>
          <w:tcPr>
            <w:tcW w:w="3460" w:type="dxa"/>
            <w:gridSpan w:val="6"/>
            <w:vAlign w:val="center"/>
          </w:tcPr>
          <w:p w14:paraId="26BE09CD">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bCs/>
                <w:color w:val="000000" w:themeColor="text1"/>
                <w:kern w:val="0"/>
                <w:sz w:val="15"/>
                <w:szCs w:val="15"/>
                <w:highlight w:val="none"/>
              </w:rPr>
            </w:pPr>
          </w:p>
        </w:tc>
      </w:tr>
      <w:tr w14:paraId="0F667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 w:hRule="atLeast"/>
          <w:jc w:val="center"/>
        </w:trPr>
        <w:tc>
          <w:tcPr>
            <w:tcW w:w="1627" w:type="dxa"/>
            <w:gridSpan w:val="3"/>
            <w:vAlign w:val="center"/>
          </w:tcPr>
          <w:p w14:paraId="71AEDB39">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电子信箱</w:t>
            </w:r>
          </w:p>
        </w:tc>
        <w:tc>
          <w:tcPr>
            <w:tcW w:w="3188" w:type="dxa"/>
            <w:gridSpan w:val="2"/>
            <w:vAlign w:val="center"/>
          </w:tcPr>
          <w:p w14:paraId="190A08EF">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p>
        </w:tc>
        <w:tc>
          <w:tcPr>
            <w:tcW w:w="1105" w:type="dxa"/>
            <w:vAlign w:val="center"/>
          </w:tcPr>
          <w:p w14:paraId="0AE17A24">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sz w:val="15"/>
                <w:szCs w:val="15"/>
                <w:highlight w:val="none"/>
              </w:rPr>
            </w:pPr>
            <w:r>
              <w:rPr>
                <w:rFonts w:hint="default" w:ascii="Times New Roman" w:hAnsi="Times New Roman" w:cs="Times New Roman"/>
                <w:color w:val="000000" w:themeColor="text1"/>
                <w:sz w:val="15"/>
                <w:szCs w:val="15"/>
                <w:highlight w:val="none"/>
              </w:rPr>
              <w:t>电子信箱</w:t>
            </w:r>
          </w:p>
        </w:tc>
        <w:tc>
          <w:tcPr>
            <w:tcW w:w="3460" w:type="dxa"/>
            <w:gridSpan w:val="6"/>
            <w:vAlign w:val="center"/>
          </w:tcPr>
          <w:p w14:paraId="731DDB31">
            <w:pPr>
              <w:keepNext w:val="0"/>
              <w:keepLines w:val="0"/>
              <w:pageBreakBefore w:val="0"/>
              <w:widowControl/>
              <w:kinsoku/>
              <w:wordWrap/>
              <w:overflowPunct/>
              <w:topLinePunct w:val="0"/>
              <w:bidi w:val="0"/>
              <w:snapToGrid/>
              <w:spacing w:line="120" w:lineRule="auto"/>
              <w:ind w:left="0" w:leftChars="0" w:right="0" w:rightChars="0" w:firstLine="0" w:firstLineChars="0"/>
              <w:jc w:val="center"/>
              <w:rPr>
                <w:rFonts w:hint="default" w:ascii="Times New Roman" w:hAnsi="Times New Roman" w:cs="Times New Roman"/>
                <w:color w:val="000000" w:themeColor="text1"/>
                <w:kern w:val="0"/>
                <w:sz w:val="15"/>
                <w:szCs w:val="15"/>
                <w:highlight w:val="none"/>
              </w:rPr>
            </w:pPr>
            <w:r>
              <w:rPr>
                <w:rFonts w:hint="default" w:ascii="Times New Roman" w:hAnsi="Times New Roman" w:cs="Times New Roman"/>
                <w:bCs/>
                <w:color w:val="000000" w:themeColor="text1"/>
                <w:kern w:val="0"/>
                <w:sz w:val="15"/>
                <w:szCs w:val="15"/>
                <w:highlight w:val="none"/>
              </w:rPr>
              <w:t>---</w:t>
            </w:r>
          </w:p>
        </w:tc>
      </w:tr>
    </w:tbl>
    <w:p w14:paraId="3C18F7E6">
      <w:pPr>
        <w:ind w:firstLine="480"/>
        <w:rPr>
          <w:rFonts w:hint="default" w:ascii="Times New Roman" w:hAnsi="Times New Roman" w:cs="Times New Roman"/>
        </w:rPr>
        <w:sectPr>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B0DE24">
      <w:pPr>
        <w:pStyle w:val="2"/>
        <w:jc w:val="center"/>
        <w:rPr>
          <w:rFonts w:hint="default" w:ascii="Times New Roman" w:hAnsi="Times New Roman" w:cs="Times New Roman"/>
        </w:rPr>
      </w:pPr>
      <w:r>
        <w:rPr>
          <w:rFonts w:hint="default" w:ascii="Times New Roman" w:hAnsi="Times New Roman" w:cs="Times New Roman"/>
        </w:rPr>
        <w:t xml:space="preserve"> </w:t>
      </w:r>
      <w:bookmarkStart w:id="26" w:name="_Toc165223563"/>
      <w:r>
        <w:rPr>
          <w:rFonts w:hint="default" w:ascii="Times New Roman" w:hAnsi="Times New Roman" w:cs="Times New Roman"/>
        </w:rPr>
        <w:t>项目概况</w:t>
      </w:r>
      <w:bookmarkEnd w:id="26"/>
    </w:p>
    <w:p w14:paraId="39DF1785">
      <w:pPr>
        <w:pStyle w:val="3"/>
        <w:rPr>
          <w:rFonts w:hint="default" w:ascii="Times New Roman" w:hAnsi="Times New Roman" w:cs="Times New Roman"/>
        </w:rPr>
      </w:pPr>
      <w:bookmarkStart w:id="27" w:name="_Toc165223564"/>
      <w:bookmarkStart w:id="28" w:name="_Hlk82424672"/>
      <w:r>
        <w:rPr>
          <w:rFonts w:hint="default" w:ascii="Times New Roman" w:hAnsi="Times New Roman" w:cs="Times New Roman"/>
        </w:rPr>
        <w:t>项目组成及工程布置</w:t>
      </w:r>
      <w:bookmarkEnd w:id="27"/>
    </w:p>
    <w:p w14:paraId="36B46CEE">
      <w:pPr>
        <w:pStyle w:val="4"/>
        <w:rPr>
          <w:rFonts w:hint="default" w:ascii="Times New Roman" w:hAnsi="Times New Roman" w:cs="Times New Roman"/>
        </w:rPr>
      </w:pPr>
      <w:r>
        <w:rPr>
          <w:rFonts w:hint="default" w:ascii="Times New Roman" w:hAnsi="Times New Roman" w:cs="Times New Roman"/>
        </w:rPr>
        <w:t>项目名称及工程性质</w:t>
      </w:r>
    </w:p>
    <w:p w14:paraId="1716FF2A">
      <w:pPr>
        <w:ind w:firstLine="480"/>
        <w:jc w:val="left"/>
        <w:rPr>
          <w:rFonts w:hint="default" w:ascii="Times New Roman" w:hAnsi="Times New Roman" w:cs="Times New Roman"/>
        </w:rPr>
      </w:pPr>
      <w:r>
        <w:rPr>
          <w:rFonts w:hint="default" w:ascii="Times New Roman" w:hAnsi="Times New Roman" w:cs="Times New Roman"/>
        </w:rPr>
        <w:t>项目名称：</w:t>
      </w:r>
      <w:r>
        <w:rPr>
          <w:rFonts w:hint="eastAsia" w:cs="Times New Roman"/>
          <w:lang w:eastAsia="zh-CN"/>
        </w:rPr>
        <w:t>待补镇安康安置点帮扶车间建设项目</w:t>
      </w:r>
      <w:r>
        <w:rPr>
          <w:rFonts w:hint="default" w:ascii="Times New Roman" w:hAnsi="Times New Roman" w:cs="Times New Roman"/>
        </w:rPr>
        <w:t>；</w:t>
      </w:r>
    </w:p>
    <w:p w14:paraId="1F430D0C">
      <w:pPr>
        <w:ind w:firstLine="480"/>
        <w:jc w:val="left"/>
        <w:rPr>
          <w:rFonts w:hint="default" w:ascii="Times New Roman" w:hAnsi="Times New Roman" w:cs="Times New Roman"/>
        </w:rPr>
      </w:pPr>
      <w:r>
        <w:rPr>
          <w:rFonts w:hint="default" w:ascii="Times New Roman" w:hAnsi="Times New Roman" w:cs="Times New Roman"/>
        </w:rPr>
        <w:t>建设单位：</w:t>
      </w:r>
      <w:r>
        <w:rPr>
          <w:rFonts w:hint="eastAsia" w:cs="Times New Roman"/>
          <w:lang w:eastAsia="zh-CN"/>
        </w:rPr>
        <w:t>会泽县待补镇人民政府</w:t>
      </w:r>
      <w:r>
        <w:rPr>
          <w:rFonts w:hint="default" w:ascii="Times New Roman" w:hAnsi="Times New Roman" w:cs="Times New Roman"/>
        </w:rPr>
        <w:t>；</w:t>
      </w:r>
    </w:p>
    <w:p w14:paraId="345620DE">
      <w:pPr>
        <w:ind w:firstLine="480"/>
        <w:jc w:val="left"/>
        <w:rPr>
          <w:rFonts w:hint="default" w:ascii="Times New Roman" w:hAnsi="Times New Roman" w:cs="Times New Roman"/>
        </w:rPr>
      </w:pPr>
      <w:r>
        <w:rPr>
          <w:rFonts w:hint="default" w:ascii="Times New Roman" w:hAnsi="Times New Roman" w:cs="Times New Roman"/>
        </w:rPr>
        <w:t>建设地点：会泽县</w:t>
      </w:r>
      <w:r>
        <w:rPr>
          <w:rFonts w:hint="eastAsia" w:cs="Times New Roman"/>
          <w:lang w:eastAsia="zh-CN"/>
        </w:rPr>
        <w:t>待补镇</w:t>
      </w:r>
      <w:r>
        <w:rPr>
          <w:rFonts w:hint="default" w:ascii="Times New Roman" w:hAnsi="Times New Roman" w:cs="Times New Roman"/>
        </w:rPr>
        <w:t>；</w:t>
      </w:r>
    </w:p>
    <w:bookmarkEnd w:id="28"/>
    <w:p w14:paraId="3936BCFB">
      <w:pPr>
        <w:ind w:firstLine="480"/>
        <w:rPr>
          <w:rFonts w:hint="default" w:ascii="Times New Roman" w:hAnsi="Times New Roman" w:cs="Times New Roman"/>
        </w:rPr>
      </w:pPr>
      <w:r>
        <w:rPr>
          <w:rFonts w:hint="default" w:ascii="Times New Roman" w:hAnsi="Times New Roman" w:cs="Times New Roman"/>
        </w:rPr>
        <w:t>建设性质：新建建设类项目；</w:t>
      </w:r>
    </w:p>
    <w:p w14:paraId="4751993A">
      <w:pPr>
        <w:ind w:firstLine="480"/>
        <w:rPr>
          <w:rFonts w:hint="default" w:ascii="Times New Roman" w:hAnsi="Times New Roman" w:cs="Times New Roman"/>
          <w:lang w:val="en-US" w:eastAsia="zh-CN"/>
        </w:rPr>
      </w:pPr>
      <w:r>
        <w:rPr>
          <w:rFonts w:hint="default" w:ascii="Times New Roman" w:hAnsi="Times New Roman" w:cs="Times New Roman"/>
        </w:rPr>
        <w:t>建设内容及规模：主要建设内容包括</w:t>
      </w:r>
      <w:r>
        <w:rPr>
          <w:rFonts w:hint="eastAsia" w:ascii="Times New Roman" w:hAnsi="Times New Roman" w:cs="Times New Roman"/>
          <w:lang w:val="en-US" w:eastAsia="zh-CN"/>
        </w:rPr>
        <w:t>深加工车间、包装车间、低温仓储、常温仓储、设备用房及</w:t>
      </w:r>
      <w:r>
        <w:rPr>
          <w:rFonts w:hint="default" w:ascii="Times New Roman" w:hAnsi="Times New Roman" w:cs="Times New Roman"/>
        </w:rPr>
        <w:t>附属设施</w:t>
      </w:r>
      <w:r>
        <w:rPr>
          <w:rFonts w:hint="eastAsia" w:ascii="Times New Roman" w:hAnsi="Times New Roman" w:cs="Times New Roman"/>
          <w:lang w:eastAsia="zh-CN"/>
        </w:rPr>
        <w:t>（</w:t>
      </w:r>
      <w:r>
        <w:rPr>
          <w:rFonts w:hint="default" w:ascii="Times New Roman" w:hAnsi="Times New Roman" w:cs="Times New Roman"/>
        </w:rPr>
        <w:t>室外</w:t>
      </w:r>
      <w:r>
        <w:rPr>
          <w:rFonts w:hint="eastAsia" w:cs="Times New Roman"/>
          <w:lang w:val="en-US" w:eastAsia="zh-CN"/>
        </w:rPr>
        <w:t>污水处理工程、给排水管网工程、供电照明工程</w:t>
      </w:r>
      <w:r>
        <w:rPr>
          <w:rFonts w:hint="eastAsia" w:ascii="Times New Roman" w:hAnsi="Times New Roman" w:cs="Times New Roman"/>
          <w:lang w:eastAsia="zh-CN"/>
        </w:rPr>
        <w:t>）</w:t>
      </w:r>
      <w:r>
        <w:rPr>
          <w:rFonts w:hint="eastAsia" w:cs="Times New Roman"/>
          <w:lang w:eastAsia="zh-CN"/>
        </w:rPr>
        <w:t>，</w:t>
      </w:r>
      <w:r>
        <w:rPr>
          <w:rFonts w:hint="eastAsia" w:cs="Times New Roman"/>
          <w:lang w:val="en-US" w:eastAsia="zh-CN"/>
        </w:rPr>
        <w:t>配套场内道路及硬化、景观绿化等配套设施；</w:t>
      </w:r>
    </w:p>
    <w:p w14:paraId="61885A66">
      <w:pPr>
        <w:ind w:firstLine="480"/>
        <w:rPr>
          <w:rFonts w:hint="default" w:ascii="Times New Roman" w:hAnsi="Times New Roman" w:eastAsia="宋体" w:cs="Times New Roman"/>
          <w:sz w:val="28"/>
          <w:szCs w:val="28"/>
        </w:rPr>
      </w:pPr>
      <w:r>
        <w:rPr>
          <w:rFonts w:hint="eastAsia" w:cs="Times New Roman"/>
          <w:lang w:val="en-US" w:eastAsia="zh-CN"/>
        </w:rPr>
        <w:t>项目用地：本项目规划用地面积为1.51hm</w:t>
      </w:r>
      <w:r>
        <w:rPr>
          <w:rFonts w:hint="eastAsia" w:cs="Times New Roman"/>
          <w:vertAlign w:val="superscript"/>
          <w:lang w:val="en-US" w:eastAsia="zh-CN"/>
        </w:rPr>
        <w:t>2</w:t>
      </w:r>
      <w:r>
        <w:rPr>
          <w:rFonts w:hint="eastAsia" w:cs="Times New Roman"/>
          <w:lang w:val="en-US" w:eastAsia="zh-CN"/>
        </w:rPr>
        <w:t>，总建筑面积为11642.10m</w:t>
      </w:r>
      <w:r>
        <w:rPr>
          <w:rFonts w:hint="eastAsia" w:cs="Times New Roman"/>
          <w:vertAlign w:val="superscript"/>
          <w:lang w:val="en-US" w:eastAsia="zh-CN"/>
        </w:rPr>
        <w:t>2</w:t>
      </w:r>
      <w:r>
        <w:rPr>
          <w:rFonts w:hint="eastAsia" w:cs="Times New Roman"/>
          <w:lang w:val="en-US" w:eastAsia="zh-CN"/>
        </w:rPr>
        <w:t>，建筑占地面积为8762.78m</w:t>
      </w:r>
      <w:r>
        <w:rPr>
          <w:rFonts w:hint="eastAsia" w:cs="Times New Roman"/>
          <w:vertAlign w:val="superscript"/>
          <w:lang w:val="en-US" w:eastAsia="zh-CN"/>
        </w:rPr>
        <w:t>2</w:t>
      </w:r>
      <w:r>
        <w:rPr>
          <w:rFonts w:hint="eastAsia" w:cs="Times New Roman"/>
          <w:lang w:val="en-US" w:eastAsia="zh-CN"/>
        </w:rPr>
        <w:t>，</w:t>
      </w:r>
      <w:r>
        <w:rPr>
          <w:rFonts w:hint="default" w:ascii="Times New Roman" w:hAnsi="Times New Roman" w:cs="Times New Roman"/>
        </w:rPr>
        <w:t>建筑密度</w:t>
      </w:r>
      <w:r>
        <w:rPr>
          <w:rFonts w:hint="eastAsia" w:cs="Times New Roman"/>
          <w:lang w:val="en-US" w:eastAsia="zh-CN"/>
        </w:rPr>
        <w:t>57.62</w:t>
      </w:r>
      <w:r>
        <w:rPr>
          <w:rFonts w:hint="default" w:ascii="Times New Roman" w:hAnsi="Times New Roman" w:cs="Times New Roman"/>
        </w:rPr>
        <w:t>%，容积率</w:t>
      </w:r>
      <w:r>
        <w:rPr>
          <w:rFonts w:hint="eastAsia" w:cs="Times New Roman"/>
          <w:lang w:val="en-US" w:eastAsia="zh-CN"/>
        </w:rPr>
        <w:t>0.77</w:t>
      </w:r>
      <w:r>
        <w:rPr>
          <w:rFonts w:hint="default" w:ascii="Times New Roman" w:hAnsi="Times New Roman" w:cs="Times New Roman"/>
        </w:rPr>
        <w:t>，绿化面积</w:t>
      </w:r>
      <w:r>
        <w:rPr>
          <w:rFonts w:hint="eastAsia" w:cs="Times New Roman"/>
          <w:lang w:val="en-US" w:eastAsia="zh-CN"/>
        </w:rPr>
        <w:t>0.23h</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，绿地率</w:t>
      </w:r>
      <w:r>
        <w:rPr>
          <w:rFonts w:hint="eastAsia" w:cs="Times New Roman"/>
          <w:lang w:val="en-US" w:eastAsia="zh-CN"/>
        </w:rPr>
        <w:t>15.23</w:t>
      </w:r>
      <w:r>
        <w:rPr>
          <w:rFonts w:hint="default" w:ascii="Times New Roman" w:hAnsi="Times New Roman" w:cs="Times New Roman"/>
        </w:rPr>
        <w:t>%；</w:t>
      </w:r>
    </w:p>
    <w:p w14:paraId="0468B7F2">
      <w:pPr>
        <w:ind w:firstLine="480"/>
        <w:rPr>
          <w:rFonts w:hint="default" w:ascii="Times New Roman" w:hAnsi="Times New Roman" w:cs="Times New Roman"/>
        </w:rPr>
      </w:pPr>
      <w:r>
        <w:rPr>
          <w:rFonts w:hint="default" w:ascii="Times New Roman" w:hAnsi="Times New Roman" w:cs="Times New Roman"/>
        </w:rPr>
        <w:t>建设工期：已于</w:t>
      </w:r>
      <w:r>
        <w:rPr>
          <w:rFonts w:hint="eastAsia" w:cs="Times New Roman"/>
          <w:lang w:eastAsia="zh-CN"/>
        </w:rPr>
        <w:t>2024年4月</w:t>
      </w:r>
      <w:r>
        <w:rPr>
          <w:rFonts w:hint="default" w:ascii="Times New Roman" w:hAnsi="Times New Roman" w:cs="Times New Roman"/>
        </w:rPr>
        <w:t>开工建设，计划</w:t>
      </w:r>
      <w:r>
        <w:rPr>
          <w:rFonts w:hint="eastAsia" w:cs="Times New Roman"/>
          <w:lang w:eastAsia="zh-CN"/>
        </w:rPr>
        <w:t>2025年6月</w:t>
      </w:r>
      <w:r>
        <w:rPr>
          <w:rFonts w:hint="default" w:ascii="Times New Roman" w:hAnsi="Times New Roman" w:cs="Times New Roman"/>
        </w:rPr>
        <w:t>完工，总工期</w:t>
      </w:r>
      <w:r>
        <w:rPr>
          <w:rFonts w:hint="eastAsia" w:cs="Times New Roman"/>
          <w:lang w:eastAsia="zh-CN"/>
        </w:rPr>
        <w:t>15个月</w:t>
      </w:r>
      <w:r>
        <w:rPr>
          <w:rFonts w:hint="default" w:ascii="Times New Roman" w:hAnsi="Times New Roman" w:cs="Times New Roman"/>
        </w:rPr>
        <w:t>；</w:t>
      </w:r>
    </w:p>
    <w:p w14:paraId="7E1FB5F3">
      <w:pPr>
        <w:ind w:firstLine="480"/>
        <w:rPr>
          <w:rFonts w:hint="default" w:ascii="Times New Roman" w:hAnsi="Times New Roman" w:cs="Times New Roman"/>
        </w:rPr>
      </w:pPr>
      <w:r>
        <w:rPr>
          <w:rFonts w:hint="default" w:ascii="Times New Roman" w:hAnsi="Times New Roman" w:cs="Times New Roman"/>
        </w:rPr>
        <w:t>项目总投资：总投资</w:t>
      </w:r>
      <w:r>
        <w:rPr>
          <w:rFonts w:hint="eastAsia" w:cs="Times New Roman"/>
          <w:lang w:eastAsia="zh-CN"/>
        </w:rPr>
        <w:t>2203.01万元</w:t>
      </w:r>
      <w:r>
        <w:rPr>
          <w:rFonts w:hint="default" w:ascii="Times New Roman" w:hAnsi="Times New Roman" w:cs="Times New Roman"/>
        </w:rPr>
        <w:t>，其中土建投资</w:t>
      </w:r>
      <w:r>
        <w:rPr>
          <w:rFonts w:hint="eastAsia" w:cs="Times New Roman"/>
          <w:lang w:eastAsia="zh-CN"/>
        </w:rPr>
        <w:t>462.63万元</w:t>
      </w:r>
      <w:r>
        <w:rPr>
          <w:rFonts w:hint="default" w:ascii="Times New Roman" w:hAnsi="Times New Roman" w:cs="Times New Roman"/>
        </w:rPr>
        <w:t>。</w:t>
      </w:r>
    </w:p>
    <w:p w14:paraId="6C16E0E9">
      <w:pPr>
        <w:pStyle w:val="4"/>
        <w:rPr>
          <w:rFonts w:hint="default" w:ascii="Times New Roman" w:hAnsi="Times New Roman" w:cs="Times New Roman"/>
        </w:rPr>
      </w:pPr>
      <w:r>
        <w:rPr>
          <w:rFonts w:hint="default" w:ascii="Times New Roman" w:hAnsi="Times New Roman" w:cs="Times New Roman"/>
        </w:rPr>
        <w:t>地理位置及交通条件</w:t>
      </w:r>
    </w:p>
    <w:p w14:paraId="3764FCE3">
      <w:pPr>
        <w:adjustRightInd w:val="0"/>
        <w:snapToGrid w:val="0"/>
        <w:ind w:firstLine="480"/>
        <w:rPr>
          <w:rFonts w:hint="default" w:ascii="Times New Roman" w:hAnsi="Times New Roman" w:cs="Times New Roman"/>
        </w:rPr>
      </w:pPr>
      <w:r>
        <w:rPr>
          <w:rFonts w:hint="default" w:ascii="Times New Roman" w:hAnsi="Times New Roman" w:cs="Times New Roman"/>
        </w:rPr>
        <w:t>本项目位于会泽县</w:t>
      </w:r>
      <w:r>
        <w:rPr>
          <w:rFonts w:hint="eastAsia" w:ascii="Times New Roman" w:hAnsi="Times New Roman" w:cs="Times New Roman"/>
          <w:lang w:eastAsia="zh-CN"/>
        </w:rPr>
        <w:t>待补镇</w:t>
      </w:r>
      <w:r>
        <w:rPr>
          <w:rFonts w:hint="default" w:ascii="Times New Roman" w:hAnsi="Times New Roman" w:cs="Times New Roman"/>
        </w:rPr>
        <w:t>中心位置，由</w:t>
      </w:r>
      <w:r>
        <w:rPr>
          <w:rFonts w:hint="eastAsia" w:cs="Times New Roman"/>
          <w:lang w:val="en-US" w:eastAsia="zh-CN"/>
        </w:rPr>
        <w:t>两个地块组成，两个地块由已有市政道路分割，地块二在地块一的西侧，两个地块由</w:t>
      </w:r>
      <w:r>
        <w:rPr>
          <w:rFonts w:hint="default" w:ascii="Times New Roman" w:hAnsi="Times New Roman" w:cs="Times New Roman"/>
        </w:rPr>
        <w:t>鸡鸣山大道、雄鸡路、国道213线（骏宝路）所围合，行政隶属云南省曲靖市会泽县</w:t>
      </w:r>
      <w:r>
        <w:rPr>
          <w:rFonts w:hint="eastAsia" w:ascii="Times New Roman" w:hAnsi="Times New Roman" w:cs="Times New Roman"/>
          <w:lang w:eastAsia="zh-CN"/>
        </w:rPr>
        <w:t>待补镇</w:t>
      </w:r>
      <w:r>
        <w:rPr>
          <w:rFonts w:hint="default" w:ascii="Times New Roman" w:hAnsi="Times New Roman" w:cs="Times New Roman"/>
        </w:rPr>
        <w:t>管辖，</w:t>
      </w:r>
      <w:r>
        <w:rPr>
          <w:rFonts w:hint="eastAsia" w:cs="Times New Roman"/>
          <w:lang w:val="en-US" w:eastAsia="zh-CN"/>
        </w:rPr>
        <w:t>地块一</w:t>
      </w:r>
      <w:r>
        <w:rPr>
          <w:rFonts w:hint="eastAsia" w:ascii="Times New Roman" w:hAnsi="Times New Roman" w:cs="Times New Roman"/>
          <w:lang w:eastAsia="zh-CN"/>
        </w:rPr>
        <w:t>中心地理位置为：东经103°24'38.89"，北纬26°11'42.23"</w:t>
      </w:r>
      <w:r>
        <w:rPr>
          <w:rFonts w:hint="eastAsia" w:cs="Times New Roman"/>
          <w:lang w:eastAsia="zh-CN"/>
        </w:rPr>
        <w:t>；</w:t>
      </w:r>
      <w:r>
        <w:rPr>
          <w:rFonts w:hint="eastAsia" w:cs="Times New Roman"/>
          <w:lang w:val="en-US" w:eastAsia="zh-CN"/>
        </w:rPr>
        <w:t>地块二</w:t>
      </w:r>
      <w:r>
        <w:rPr>
          <w:rFonts w:hint="eastAsia" w:ascii="Times New Roman" w:hAnsi="Times New Roman" w:cs="Times New Roman"/>
          <w:lang w:eastAsia="zh-CN"/>
        </w:rPr>
        <w:t>中心地理位置为：东经103°24'33.25"，北纬26°11'41.64"</w:t>
      </w:r>
      <w:r>
        <w:rPr>
          <w:rFonts w:hint="eastAsia" w:cs="Times New Roman"/>
          <w:lang w:eastAsia="zh-CN"/>
        </w:rPr>
        <w:t>。</w:t>
      </w:r>
      <w:r>
        <w:rPr>
          <w:rFonts w:hint="default" w:ascii="Times New Roman" w:hAnsi="Times New Roman" w:cs="Times New Roman"/>
        </w:rPr>
        <w:t>项目区紧邻待补镇旅游服务接待中心，</w:t>
      </w:r>
      <w:r>
        <w:rPr>
          <w:rFonts w:hint="eastAsia" w:cs="Times New Roman"/>
          <w:lang w:val="en-US" w:eastAsia="zh-CN"/>
        </w:rPr>
        <w:t>地块一北侧为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西侧为两个地块中间的已有市政道路；地块二北侧为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w:t>
      </w:r>
      <w:r>
        <w:rPr>
          <w:rFonts w:hint="default" w:ascii="Times New Roman" w:hAnsi="Times New Roman" w:cs="Times New Roman"/>
        </w:rPr>
        <w:t>雄鸡路</w:t>
      </w:r>
      <w:r>
        <w:rPr>
          <w:rFonts w:hint="eastAsia" w:cs="Times New Roman"/>
          <w:lang w:eastAsia="zh-CN"/>
        </w:rPr>
        <w:t>，</w:t>
      </w:r>
      <w:r>
        <w:rPr>
          <w:rFonts w:hint="eastAsia" w:cs="Times New Roman"/>
          <w:lang w:val="en-US" w:eastAsia="zh-CN"/>
        </w:rPr>
        <w:t>东侧为两个地块中间的已有市政道路。通过项目区周边已有市政道路</w:t>
      </w:r>
      <w:r>
        <w:rPr>
          <w:rFonts w:hint="default" w:ascii="Times New Roman" w:hAnsi="Times New Roman" w:cs="Times New Roman"/>
        </w:rPr>
        <w:t>可达周边高速公路</w:t>
      </w:r>
      <w:r>
        <w:rPr>
          <w:rFonts w:hint="eastAsia" w:cs="Times New Roman"/>
          <w:lang w:eastAsia="zh-CN"/>
        </w:rPr>
        <w:t>，</w:t>
      </w:r>
      <w:r>
        <w:rPr>
          <w:rFonts w:hint="eastAsia" w:ascii="Times New Roman" w:hAnsi="Times New Roman" w:cs="Times New Roman"/>
          <w:lang w:val="en-US" w:eastAsia="zh-CN"/>
        </w:rPr>
        <w:t>项目区距离</w:t>
      </w:r>
      <w:r>
        <w:rPr>
          <w:rFonts w:hint="eastAsia" w:cs="Times New Roman"/>
          <w:lang w:val="en-US" w:eastAsia="zh-CN"/>
        </w:rPr>
        <w:t>待补</w:t>
      </w:r>
      <w:r>
        <w:rPr>
          <w:rFonts w:hint="default" w:ascii="Times New Roman" w:hAnsi="Times New Roman" w:cs="Times New Roman"/>
        </w:rPr>
        <w:t>镇政府约1公里，</w:t>
      </w:r>
      <w:r>
        <w:rPr>
          <w:rFonts w:hint="eastAsia" w:cs="Times New Roman"/>
          <w:lang w:val="en-US" w:eastAsia="zh-CN"/>
        </w:rPr>
        <w:t>距离会泽县41km</w:t>
      </w:r>
      <w:r>
        <w:rPr>
          <w:rFonts w:hint="default" w:ascii="Times New Roman" w:hAnsi="Times New Roman" w:cs="Times New Roman"/>
        </w:rPr>
        <w:t>。项目建设过程中可直接利用周边现有道路，能满足项目施工交通运输需求，本项目交通较为便利。</w:t>
      </w:r>
    </w:p>
    <w:p w14:paraId="4BCB152D">
      <w:pPr>
        <w:ind w:firstLine="480"/>
        <w:rPr>
          <w:rFonts w:hint="default" w:ascii="Times New Roman" w:hAnsi="Times New Roman" w:cs="Times New Roman"/>
        </w:rPr>
      </w:pPr>
      <w:r>
        <w:rPr>
          <w:rFonts w:hint="default" w:ascii="Times New Roman" w:hAnsi="Times New Roman" w:cs="Times New Roman"/>
        </w:rPr>
        <w:t>项目具体地理位置详见附图1。</w:t>
      </w:r>
    </w:p>
    <w:p w14:paraId="14EECCA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pict>
          <v:shape id="_x0000_s2064" o:spid="_x0000_s2064" o:spt="63" type="#_x0000_t63" style="position:absolute;left:0pt;margin-left:107.2pt;margin-top:16.1pt;height:27.35pt;width:82.9pt;z-index:251664384;mso-width-relative:page;mso-height-relative:page;" fillcolor="#FFFF00" filled="t" stroked="f" coordsize="21600,21600" adj="15972,61680">
            <v:path/>
            <v:fill on="t" focussize="0,0"/>
            <v:stroke on="f"/>
            <v:imagedata o:title=""/>
            <o:lock v:ext="edit" aspectratio="f"/>
            <v:textbox>
              <w:txbxContent>
                <w:p w14:paraId="3B832B6E">
                  <w:pPr>
                    <w:ind w:firstLine="0" w:firstLineChars="0"/>
                    <w:rPr>
                      <w:rFonts w:hint="default" w:eastAsia="仿宋_GB2312"/>
                      <w:b/>
                      <w:bCs/>
                      <w:color w:val="FF0000"/>
                      <w:lang w:val="en-US" w:eastAsia="zh-CN"/>
                    </w:rPr>
                  </w:pPr>
                  <w:r>
                    <w:rPr>
                      <w:rFonts w:hint="eastAsia"/>
                      <w:b/>
                      <w:bCs/>
                      <w:color w:val="FF0000"/>
                      <w:lang w:val="en-US" w:eastAsia="zh-CN"/>
                    </w:rPr>
                    <w:t>地块二</w:t>
                  </w:r>
                </w:p>
              </w:txbxContent>
            </v:textbox>
          </v:shape>
        </w:pict>
      </w:r>
      <w:r>
        <w:rPr>
          <w:rFonts w:hint="default" w:ascii="Times New Roman" w:hAnsi="Times New Roman" w:cs="Times New Roman"/>
        </w:rPr>
        <w:pict>
          <v:shape id="_x0000_s2063" o:spid="_x0000_s2063" o:spt="63" type="#_x0000_t63" style="position:absolute;left:0pt;margin-left:200.7pt;margin-top:126.1pt;height:27.35pt;width:82.9pt;z-index:251663360;mso-width-relative:page;mso-height-relative:page;" fillcolor="#FFFF00" filled="t" stroked="f" coordsize="21600,21600" adj="3869,-24758">
            <v:path/>
            <v:fill on="t" color2="#FFFFFF" focussize="0,0"/>
            <v:stroke on="f" joinstyle="miter"/>
            <v:imagedata o:title=""/>
            <o:lock v:ext="edit" aspectratio="f"/>
            <v:textbox>
              <w:txbxContent>
                <w:p w14:paraId="49A971C3">
                  <w:pPr>
                    <w:ind w:firstLine="0" w:firstLineChars="0"/>
                    <w:rPr>
                      <w:rFonts w:hint="default" w:eastAsia="仿宋_GB2312"/>
                      <w:b/>
                      <w:bCs/>
                      <w:color w:val="FF0000"/>
                      <w:lang w:val="en-US" w:eastAsia="zh-CN"/>
                    </w:rPr>
                  </w:pPr>
                  <w:r>
                    <w:rPr>
                      <w:rFonts w:hint="eastAsia"/>
                      <w:b/>
                      <w:bCs/>
                      <w:color w:val="FF0000"/>
                      <w:lang w:val="en-US" w:eastAsia="zh-CN"/>
                    </w:rPr>
                    <w:t>地块一</w:t>
                  </w:r>
                </w:p>
              </w:txbxContent>
            </v:textbox>
          </v:shape>
        </w:pict>
      </w:r>
      <w:r>
        <w:drawing>
          <wp:inline distT="0" distB="0" distL="114300" distR="114300">
            <wp:extent cx="5682615" cy="2751455"/>
            <wp:effectExtent l="0" t="0" r="13335"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a:stretch>
                      <a:fillRect/>
                    </a:stretch>
                  </pic:blipFill>
                  <pic:spPr>
                    <a:xfrm>
                      <a:off x="0" y="0"/>
                      <a:ext cx="5682615" cy="2751455"/>
                    </a:xfrm>
                    <a:prstGeom prst="rect">
                      <a:avLst/>
                    </a:prstGeom>
                    <a:noFill/>
                    <a:ln>
                      <a:noFill/>
                    </a:ln>
                  </pic:spPr>
                </pic:pic>
              </a:graphicData>
            </a:graphic>
          </wp:inline>
        </w:drawing>
      </w:r>
    </w:p>
    <w:p w14:paraId="0238A916">
      <w:pPr>
        <w:pStyle w:val="12"/>
        <w:ind w:firstLine="482"/>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图 \* ARABIC \s 1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项目区地理位置及周边交通情况图</w:t>
      </w:r>
    </w:p>
    <w:p w14:paraId="7AF1A81C">
      <w:pPr>
        <w:pStyle w:val="4"/>
        <w:rPr>
          <w:rFonts w:hint="default" w:ascii="Times New Roman" w:hAnsi="Times New Roman" w:cs="Times New Roman"/>
        </w:rPr>
      </w:pPr>
      <w:r>
        <w:rPr>
          <w:rFonts w:hint="default" w:ascii="Times New Roman" w:hAnsi="Times New Roman" w:cs="Times New Roman"/>
        </w:rPr>
        <w:t>项目规模及特性</w:t>
      </w:r>
    </w:p>
    <w:p w14:paraId="1E8D57CE">
      <w:pPr>
        <w:pStyle w:val="93"/>
        <w:rPr>
          <w:rFonts w:hint="default" w:ascii="Times New Roman" w:hAnsi="Times New Roman" w:eastAsia="宋体" w:cs="Times New Roman"/>
          <w:sz w:val="28"/>
          <w:szCs w:val="28"/>
        </w:rPr>
      </w:pPr>
      <w:r>
        <w:rPr>
          <w:rFonts w:hint="eastAsia" w:cs="Times New Roman"/>
          <w:lang w:eastAsia="zh-CN"/>
        </w:rPr>
        <w:t>待补镇安康安置点帮扶车间建设项目</w:t>
      </w:r>
      <w:r>
        <w:rPr>
          <w:rFonts w:hint="default" w:ascii="Times New Roman" w:hAnsi="Times New Roman" w:cs="Times New Roman"/>
          <w:color w:val="auto"/>
        </w:rPr>
        <w:t>总用地面积为</w:t>
      </w:r>
      <w:r>
        <w:rPr>
          <w:rFonts w:hint="eastAsia" w:cs="Times New Roman"/>
          <w:color w:val="auto"/>
          <w:lang w:val="en-US" w:eastAsia="zh-CN"/>
        </w:rPr>
        <w:t>1.51</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default" w:ascii="Times New Roman" w:hAnsi="Times New Roman" w:cs="Times New Roman"/>
          <w:spacing w:val="33"/>
        </w:rPr>
        <w:t>总建筑面积为</w:t>
      </w:r>
      <w:r>
        <w:rPr>
          <w:rFonts w:hint="eastAsia" w:cs="Times New Roman"/>
          <w:lang w:eastAsia="zh-CN"/>
        </w:rPr>
        <w:t>11642.10</w:t>
      </w:r>
      <w:r>
        <w:rPr>
          <w:rFonts w:hint="default" w:ascii="Times New Roman" w:hAnsi="Times New Roman" w:cs="Times New Roman"/>
        </w:rPr>
        <w:t>m²，建筑占地面积为</w:t>
      </w:r>
      <w:r>
        <w:rPr>
          <w:rFonts w:hint="eastAsia" w:cs="Times New Roman"/>
          <w:lang w:eastAsia="zh-CN"/>
        </w:rPr>
        <w:t>8762.78</w:t>
      </w:r>
      <w:r>
        <w:rPr>
          <w:rFonts w:hint="default" w:ascii="Times New Roman" w:hAnsi="Times New Roman" w:cs="Times New Roman"/>
        </w:rPr>
        <w:t>m²，建筑密度</w:t>
      </w:r>
      <w:r>
        <w:rPr>
          <w:rFonts w:hint="eastAsia" w:cs="Times New Roman"/>
          <w:lang w:val="en-US" w:eastAsia="zh-CN"/>
        </w:rPr>
        <w:t>57.62</w:t>
      </w:r>
      <w:r>
        <w:rPr>
          <w:rFonts w:hint="default" w:ascii="Times New Roman" w:hAnsi="Times New Roman" w:cs="Times New Roman"/>
        </w:rPr>
        <w:t>%，容积率</w:t>
      </w:r>
      <w:r>
        <w:rPr>
          <w:rFonts w:hint="eastAsia" w:cs="Times New Roman"/>
          <w:lang w:val="en-US" w:eastAsia="zh-CN"/>
        </w:rPr>
        <w:t>0.77</w:t>
      </w:r>
      <w:r>
        <w:rPr>
          <w:rFonts w:hint="default" w:ascii="Times New Roman" w:hAnsi="Times New Roman" w:cs="Times New Roman"/>
        </w:rPr>
        <w:t>，绿化面积</w:t>
      </w:r>
      <w:r>
        <w:rPr>
          <w:rFonts w:hint="eastAsia" w:cs="Times New Roman"/>
          <w:lang w:val="en-US" w:eastAsia="zh-CN"/>
        </w:rPr>
        <w:t>0.23h</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，绿地率</w:t>
      </w:r>
      <w:r>
        <w:rPr>
          <w:rFonts w:hint="eastAsia" w:cs="Times New Roman"/>
          <w:lang w:val="en-US" w:eastAsia="zh-CN"/>
        </w:rPr>
        <w:t>15.23</w:t>
      </w:r>
      <w:r>
        <w:rPr>
          <w:rFonts w:hint="default" w:ascii="Times New Roman" w:hAnsi="Times New Roman" w:cs="Times New Roman"/>
        </w:rPr>
        <w:t>%。主要建设内容包括</w:t>
      </w:r>
      <w:r>
        <w:rPr>
          <w:rFonts w:hint="eastAsia" w:ascii="Times New Roman" w:hAnsi="Times New Roman" w:cs="Times New Roman"/>
          <w:lang w:val="en-US" w:eastAsia="zh-CN"/>
        </w:rPr>
        <w:t>深加工车间、包装车间、低温仓储、常温仓储、设备用房及</w:t>
      </w:r>
      <w:r>
        <w:rPr>
          <w:rFonts w:hint="default" w:ascii="Times New Roman" w:hAnsi="Times New Roman" w:cs="Times New Roman"/>
        </w:rPr>
        <w:t>附属设施</w:t>
      </w:r>
      <w:r>
        <w:rPr>
          <w:rFonts w:hint="eastAsia" w:ascii="Times New Roman" w:hAnsi="Times New Roman" w:cs="Times New Roman"/>
          <w:lang w:eastAsia="zh-CN"/>
        </w:rPr>
        <w:t>（</w:t>
      </w:r>
      <w:r>
        <w:rPr>
          <w:rFonts w:hint="default" w:ascii="Times New Roman" w:hAnsi="Times New Roman" w:cs="Times New Roman"/>
        </w:rPr>
        <w:t>室外</w:t>
      </w:r>
      <w:r>
        <w:rPr>
          <w:rFonts w:hint="eastAsia" w:cs="Times New Roman"/>
          <w:lang w:val="en-US" w:eastAsia="zh-CN"/>
        </w:rPr>
        <w:t>污水处理工程、给排水管网工程、供电照明工程</w:t>
      </w:r>
      <w:r>
        <w:rPr>
          <w:rFonts w:hint="eastAsia" w:ascii="Times New Roman" w:hAnsi="Times New Roman" w:cs="Times New Roman"/>
          <w:lang w:eastAsia="zh-CN"/>
        </w:rPr>
        <w:t>）</w:t>
      </w:r>
      <w:r>
        <w:rPr>
          <w:rFonts w:hint="eastAsia" w:cs="Times New Roman"/>
          <w:lang w:eastAsia="zh-CN"/>
        </w:rPr>
        <w:t>，</w:t>
      </w:r>
      <w:r>
        <w:rPr>
          <w:rFonts w:hint="eastAsia" w:cs="Times New Roman"/>
          <w:lang w:val="en-US" w:eastAsia="zh-CN"/>
        </w:rPr>
        <w:t>配套场内道路、硬化场地、景观绿化等配套设施。</w:t>
      </w:r>
      <w:r>
        <w:rPr>
          <w:rFonts w:hint="default" w:ascii="Times New Roman" w:hAnsi="Times New Roman" w:cs="Times New Roman"/>
          <w:color w:val="auto"/>
        </w:rPr>
        <w:t>项目</w:t>
      </w:r>
      <w:r>
        <w:rPr>
          <w:rFonts w:hint="default" w:ascii="Times New Roman" w:hAnsi="Times New Roman" w:cs="Times New Roman"/>
        </w:rPr>
        <w:t>总投资</w:t>
      </w:r>
      <w:r>
        <w:rPr>
          <w:rFonts w:hint="eastAsia" w:cs="Times New Roman"/>
          <w:lang w:eastAsia="zh-CN"/>
        </w:rPr>
        <w:t>2203.01万元</w:t>
      </w:r>
      <w:r>
        <w:rPr>
          <w:rFonts w:hint="default" w:ascii="Times New Roman" w:hAnsi="Times New Roman" w:cs="Times New Roman"/>
          <w:color w:val="auto"/>
        </w:rPr>
        <w:t>，其中</w:t>
      </w:r>
      <w:r>
        <w:rPr>
          <w:rFonts w:hint="default" w:ascii="Times New Roman" w:hAnsi="Times New Roman" w:cs="Times New Roman"/>
        </w:rPr>
        <w:t>土建投资</w:t>
      </w:r>
      <w:r>
        <w:rPr>
          <w:rFonts w:hint="eastAsia" w:cs="Times New Roman"/>
          <w:lang w:eastAsia="zh-CN"/>
        </w:rPr>
        <w:t>462.63万元</w:t>
      </w:r>
      <w:r>
        <w:rPr>
          <w:rFonts w:hint="default" w:ascii="Times New Roman" w:hAnsi="Times New Roman" w:cs="Times New Roman"/>
          <w:color w:val="auto"/>
        </w:rPr>
        <w:t>，项目建设工期为</w:t>
      </w:r>
      <w:r>
        <w:rPr>
          <w:rFonts w:hint="eastAsia" w:cs="Times New Roman"/>
          <w:color w:val="auto"/>
          <w:lang w:eastAsia="zh-CN"/>
        </w:rPr>
        <w:t>15个月</w:t>
      </w:r>
      <w:r>
        <w:rPr>
          <w:rFonts w:hint="default" w:ascii="Times New Roman" w:hAnsi="Times New Roman" w:cs="Times New Roman"/>
          <w:color w:val="auto"/>
        </w:rPr>
        <w:t>，计划于</w:t>
      </w:r>
      <w:r>
        <w:rPr>
          <w:rFonts w:hint="eastAsia" w:cs="Times New Roman"/>
          <w:lang w:eastAsia="zh-CN"/>
        </w:rPr>
        <w:t>2024年4月</w:t>
      </w:r>
      <w:r>
        <w:rPr>
          <w:rFonts w:hint="default" w:ascii="Times New Roman" w:hAnsi="Times New Roman" w:cs="Times New Roman"/>
          <w:color w:val="auto"/>
        </w:rPr>
        <w:t>开工，于</w:t>
      </w:r>
      <w:r>
        <w:rPr>
          <w:rFonts w:hint="eastAsia" w:cs="Times New Roman"/>
          <w:lang w:eastAsia="zh-CN"/>
        </w:rPr>
        <w:t>2025年6月</w:t>
      </w:r>
      <w:r>
        <w:rPr>
          <w:rFonts w:hint="default" w:ascii="Times New Roman" w:hAnsi="Times New Roman" w:cs="Times New Roman"/>
          <w:color w:val="auto"/>
        </w:rPr>
        <w:t>完工。项目主要技术经济指标见</w:t>
      </w:r>
      <w:r>
        <w:rPr>
          <w:rFonts w:hint="default" w:ascii="Times New Roman" w:hAnsi="Times New Roman" w:cs="Times New Roman"/>
        </w:rPr>
        <w:fldChar w:fldCharType="begin"/>
      </w:r>
      <w:r>
        <w:rPr>
          <w:rFonts w:hint="default" w:ascii="Times New Roman" w:hAnsi="Times New Roman" w:cs="Times New Roman"/>
          <w:color w:val="auto"/>
        </w:rPr>
        <w:instrText xml:space="preserve"> REF _Ref82194113 \h  \* MERGEFORMAT </w:instrText>
      </w:r>
      <w:r>
        <w:rPr>
          <w:rFonts w:hint="default" w:ascii="Times New Roman" w:hAnsi="Times New Roman" w:cs="Times New Roman"/>
        </w:rPr>
        <w:fldChar w:fldCharType="separate"/>
      </w:r>
      <w:r>
        <w:rPr>
          <w:rFonts w:hint="default" w:ascii="Times New Roman" w:hAnsi="Times New Roman" w:cs="Times New Roman"/>
          <w:color w:val="auto"/>
        </w:rPr>
        <w:t>表2</w:t>
      </w:r>
      <w:r>
        <w:rPr>
          <w:rFonts w:hint="default" w:ascii="Times New Roman" w:hAnsi="Times New Roman" w:cs="Times New Roman"/>
          <w:color w:val="auto"/>
        </w:rPr>
        <w:noBreakHyphen/>
      </w:r>
      <w:r>
        <w:rPr>
          <w:rFonts w:hint="default" w:ascii="Times New Roman" w:hAnsi="Times New Roman" w:cs="Times New Roman"/>
          <w:color w:val="auto"/>
        </w:rPr>
        <w:t>1</w:t>
      </w:r>
      <w:r>
        <w:rPr>
          <w:rFonts w:hint="default" w:ascii="Times New Roman" w:hAnsi="Times New Roman" w:cs="Times New Roman"/>
        </w:rPr>
        <w:fldChar w:fldCharType="end"/>
      </w:r>
      <w:r>
        <w:rPr>
          <w:rFonts w:hint="default" w:ascii="Times New Roman" w:hAnsi="Times New Roman" w:cs="Times New Roman"/>
          <w:color w:val="auto"/>
        </w:rPr>
        <w:t>。</w:t>
      </w:r>
    </w:p>
    <w:p w14:paraId="466C596D">
      <w:pPr>
        <w:pStyle w:val="12"/>
        <w:ind w:firstLine="0" w:firstLineChars="0"/>
        <w:rPr>
          <w:rFonts w:hint="default" w:ascii="Times New Roman" w:hAnsi="Times New Roman" w:cs="Times New Roman"/>
        </w:rPr>
      </w:pPr>
      <w:bookmarkStart w:id="29" w:name="_Ref82194113"/>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1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29"/>
      <w:r>
        <w:rPr>
          <w:rFonts w:hint="default" w:ascii="Times New Roman" w:hAnsi="Times New Roman" w:cs="Times New Roman"/>
        </w:rPr>
        <w:t xml:space="preserve">                        项目主要经济技术指标表</w:t>
      </w:r>
    </w:p>
    <w:tbl>
      <w:tblPr>
        <w:tblStyle w:val="27"/>
        <w:tblW w:w="89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00"/>
        <w:gridCol w:w="1934"/>
        <w:gridCol w:w="2425"/>
        <w:gridCol w:w="1747"/>
        <w:gridCol w:w="1477"/>
      </w:tblGrid>
      <w:tr w14:paraId="24694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tblHeader/>
          <w:jc w:val="center"/>
        </w:trPr>
        <w:tc>
          <w:tcPr>
            <w:tcW w:w="1400" w:type="dxa"/>
            <w:tcBorders>
              <w:top w:val="single" w:color="000000" w:sz="12" w:space="0"/>
              <w:left w:val="single" w:color="000000" w:sz="12" w:space="0"/>
              <w:bottom w:val="single" w:color="000000" w:sz="4" w:space="0"/>
              <w:right w:val="single" w:color="000000" w:sz="4" w:space="0"/>
            </w:tcBorders>
            <w:shd w:val="clear" w:color="auto" w:fill="auto"/>
            <w:vAlign w:val="center"/>
          </w:tcPr>
          <w:p w14:paraId="18BACD8A">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序号</w:t>
            </w:r>
          </w:p>
        </w:tc>
        <w:tc>
          <w:tcPr>
            <w:tcW w:w="1934"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43518289">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指标及工程名称</w:t>
            </w:r>
          </w:p>
        </w:tc>
        <w:tc>
          <w:tcPr>
            <w:tcW w:w="2425"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70F3E4B1">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单位</w:t>
            </w:r>
          </w:p>
        </w:tc>
        <w:tc>
          <w:tcPr>
            <w:tcW w:w="1747"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14:paraId="06DA2017">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数值</w:t>
            </w:r>
          </w:p>
        </w:tc>
        <w:tc>
          <w:tcPr>
            <w:tcW w:w="1477" w:type="dxa"/>
            <w:tcBorders>
              <w:top w:val="single" w:color="000000" w:sz="12" w:space="0"/>
              <w:left w:val="single" w:color="000000" w:sz="4" w:space="0"/>
              <w:bottom w:val="single" w:color="000000" w:sz="4" w:space="0"/>
              <w:right w:val="single" w:color="000000" w:sz="12" w:space="0"/>
            </w:tcBorders>
            <w:shd w:val="clear" w:color="auto" w:fill="auto"/>
            <w:vAlign w:val="center"/>
          </w:tcPr>
          <w:p w14:paraId="564BE016">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备注</w:t>
            </w:r>
          </w:p>
        </w:tc>
      </w:tr>
      <w:tr w14:paraId="71645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938FA17">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1</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A09D8">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总用地面积</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087B8">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DB8C">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1.51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4D3913DC">
            <w:pPr>
              <w:pStyle w:val="104"/>
              <w:adjustRightInd w:val="0"/>
              <w:snapToGrid w:val="0"/>
              <w:spacing w:line="240" w:lineRule="auto"/>
              <w:ind w:firstLine="0" w:firstLineChars="0"/>
              <w:rPr>
                <w:rFonts w:hint="default" w:ascii="Times New Roman" w:hAnsi="Times New Roman" w:cs="Times New Roman"/>
              </w:rPr>
            </w:pPr>
          </w:p>
        </w:tc>
      </w:tr>
      <w:tr w14:paraId="4E698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8FDC705">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2</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10D4">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建设用地面积</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5E3C">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E499">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1.51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07F78D4">
            <w:pPr>
              <w:pStyle w:val="104"/>
              <w:adjustRightInd w:val="0"/>
              <w:snapToGrid w:val="0"/>
              <w:spacing w:line="240" w:lineRule="auto"/>
              <w:ind w:firstLine="0" w:firstLineChars="0"/>
              <w:rPr>
                <w:rFonts w:hint="default" w:ascii="Times New Roman" w:hAnsi="Times New Roman" w:cs="Times New Roman"/>
              </w:rPr>
            </w:pPr>
          </w:p>
        </w:tc>
      </w:tr>
      <w:tr w14:paraId="4686E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14:paraId="58D1ED69">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地块一</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C86B0">
            <w:pPr>
              <w:pStyle w:val="104"/>
              <w:adjustRightInd w:val="0"/>
              <w:snapToGrid w:val="0"/>
              <w:spacing w:line="240" w:lineRule="auto"/>
              <w:ind w:firstLine="0" w:firstLineChars="0"/>
              <w:rPr>
                <w:rFonts w:hint="default" w:ascii="Times New Roman" w:hAnsi="Times New Roman" w:cs="Times New Roman"/>
              </w:rPr>
            </w:pPr>
            <w:r>
              <w:rPr>
                <w:rFonts w:hint="eastAsia" w:ascii="Times New Roman" w:hAnsi="Times New Roman" w:cs="Times New Roman"/>
                <w:lang w:val="en-US" w:eastAsia="zh-CN"/>
              </w:rPr>
              <w:t>建构筑物区</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871B">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A46F3">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0.30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9AE1E73">
            <w:pPr>
              <w:pStyle w:val="104"/>
              <w:adjustRightInd w:val="0"/>
              <w:snapToGrid w:val="0"/>
              <w:spacing w:line="240" w:lineRule="auto"/>
              <w:ind w:firstLine="0" w:firstLineChars="0"/>
              <w:rPr>
                <w:rFonts w:hint="default" w:ascii="Times New Roman" w:hAnsi="Times New Roman" w:cs="Times New Roman"/>
              </w:rPr>
            </w:pPr>
          </w:p>
        </w:tc>
      </w:tr>
      <w:tr w14:paraId="6B0D9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400"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05596B96">
            <w:pPr>
              <w:pStyle w:val="104"/>
              <w:adjustRightInd w:val="0"/>
              <w:snapToGrid w:val="0"/>
              <w:spacing w:line="240" w:lineRule="auto"/>
              <w:ind w:firstLine="0" w:firstLineChars="0"/>
              <w:rPr>
                <w:rFonts w:hint="eastAsia" w:ascii="Times New Roman" w:hAnsi="Times New Roman" w:cs="Times New Roman"/>
              </w:rPr>
            </w:pP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2909">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道路及硬化区</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2746">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3978">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0.21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4224428">
            <w:pPr>
              <w:pStyle w:val="104"/>
              <w:adjustRightInd w:val="0"/>
              <w:snapToGrid w:val="0"/>
              <w:spacing w:line="240" w:lineRule="auto"/>
              <w:ind w:firstLine="0" w:firstLineChars="0"/>
              <w:rPr>
                <w:rFonts w:hint="default" w:ascii="Times New Roman" w:hAnsi="Times New Roman" w:cs="Times New Roman"/>
              </w:rPr>
            </w:pPr>
          </w:p>
        </w:tc>
      </w:tr>
      <w:tr w14:paraId="494BC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01FE1D68">
            <w:pPr>
              <w:pStyle w:val="104"/>
              <w:adjustRightInd w:val="0"/>
              <w:snapToGrid w:val="0"/>
              <w:spacing w:line="240" w:lineRule="auto"/>
              <w:ind w:firstLine="0" w:firstLineChars="0"/>
              <w:rPr>
                <w:rFonts w:hint="eastAsia" w:ascii="Times New Roman" w:hAnsi="Times New Roman" w:cs="Times New Roman"/>
              </w:rPr>
            </w:pP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ED72">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绿化区</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09D0">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0221">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0.09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C0D2E51">
            <w:pPr>
              <w:pStyle w:val="104"/>
              <w:adjustRightInd w:val="0"/>
              <w:snapToGrid w:val="0"/>
              <w:spacing w:line="240" w:lineRule="auto"/>
              <w:ind w:firstLine="0" w:firstLineChars="0"/>
              <w:rPr>
                <w:rFonts w:hint="default" w:ascii="Times New Roman" w:hAnsi="Times New Roman" w:cs="Times New Roman"/>
              </w:rPr>
            </w:pPr>
          </w:p>
        </w:tc>
      </w:tr>
      <w:tr w14:paraId="03A8E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14:paraId="53229F82">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地块二</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479F">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建构筑物区</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9A787">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8A12">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0.57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BDD7643">
            <w:pPr>
              <w:pStyle w:val="104"/>
              <w:adjustRightInd w:val="0"/>
              <w:snapToGrid w:val="0"/>
              <w:spacing w:line="240" w:lineRule="auto"/>
              <w:ind w:firstLine="0" w:firstLineChars="0"/>
              <w:rPr>
                <w:rFonts w:hint="default" w:ascii="Times New Roman" w:hAnsi="Times New Roman" w:cs="Times New Roman"/>
              </w:rPr>
            </w:pPr>
          </w:p>
        </w:tc>
      </w:tr>
      <w:tr w14:paraId="51218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400"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1573A7B6">
            <w:pPr>
              <w:pStyle w:val="104"/>
              <w:adjustRightInd w:val="0"/>
              <w:snapToGrid w:val="0"/>
              <w:spacing w:line="240" w:lineRule="auto"/>
              <w:ind w:firstLine="0" w:firstLineChars="0"/>
              <w:rPr>
                <w:rFonts w:hint="eastAsia" w:ascii="Times New Roman" w:hAnsi="Times New Roman" w:cs="Times New Roman"/>
              </w:rPr>
            </w:pP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FE1C7">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道路及硬化区</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23F0">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FF77">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0.20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34136B2B">
            <w:pPr>
              <w:pStyle w:val="104"/>
              <w:adjustRightInd w:val="0"/>
              <w:snapToGrid w:val="0"/>
              <w:spacing w:line="240" w:lineRule="auto"/>
              <w:ind w:firstLine="0" w:firstLineChars="0"/>
              <w:rPr>
                <w:rFonts w:hint="default" w:ascii="Times New Roman" w:hAnsi="Times New Roman" w:cs="Times New Roman"/>
              </w:rPr>
            </w:pPr>
          </w:p>
        </w:tc>
      </w:tr>
      <w:tr w14:paraId="27C6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14:paraId="2362085B">
            <w:pPr>
              <w:pStyle w:val="104"/>
              <w:adjustRightInd w:val="0"/>
              <w:snapToGrid w:val="0"/>
              <w:spacing w:line="240" w:lineRule="auto"/>
              <w:ind w:firstLine="0" w:firstLineChars="0"/>
              <w:rPr>
                <w:rFonts w:hint="eastAsia" w:ascii="Times New Roman" w:hAnsi="Times New Roman" w:cs="Times New Roman"/>
              </w:rPr>
            </w:pP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7A3DB">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绿化区</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FF8AB">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2D46">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0.14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2150D854">
            <w:pPr>
              <w:pStyle w:val="104"/>
              <w:adjustRightInd w:val="0"/>
              <w:snapToGrid w:val="0"/>
              <w:spacing w:line="240" w:lineRule="auto"/>
              <w:ind w:firstLine="0" w:firstLineChars="0"/>
              <w:rPr>
                <w:rFonts w:hint="default" w:ascii="Times New Roman" w:hAnsi="Times New Roman" w:cs="Times New Roman"/>
              </w:rPr>
            </w:pPr>
          </w:p>
        </w:tc>
      </w:tr>
      <w:tr w14:paraId="528E2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20F31004">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4</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6B36">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总建筑面积</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EE8CF">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060B">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11642.10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9025833">
            <w:pPr>
              <w:pStyle w:val="104"/>
              <w:adjustRightInd w:val="0"/>
              <w:snapToGrid w:val="0"/>
              <w:spacing w:line="240" w:lineRule="auto"/>
              <w:ind w:firstLine="0" w:firstLineChars="0"/>
              <w:rPr>
                <w:rFonts w:hint="eastAsia" w:ascii="Times New Roman" w:hAnsi="Times New Roman" w:cs="Times New Roman"/>
              </w:rPr>
            </w:pPr>
          </w:p>
        </w:tc>
      </w:tr>
      <w:tr w14:paraId="29073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5948FC90">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5</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4598">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建筑占地面积</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71B9E">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168C">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8762.78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70BA329D">
            <w:pPr>
              <w:pStyle w:val="104"/>
              <w:adjustRightInd w:val="0"/>
              <w:snapToGrid w:val="0"/>
              <w:spacing w:line="240" w:lineRule="auto"/>
              <w:ind w:firstLine="0" w:firstLineChars="0"/>
              <w:rPr>
                <w:rFonts w:hint="default" w:ascii="Times New Roman" w:hAnsi="Times New Roman" w:cs="Times New Roman"/>
              </w:rPr>
            </w:pPr>
          </w:p>
        </w:tc>
      </w:tr>
      <w:tr w14:paraId="5B450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6F2E0B2">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6</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D3A8">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绿地面积</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02C21">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hm</w:t>
            </w:r>
            <w:r>
              <w:rPr>
                <w:rFonts w:hint="default" w:ascii="Times New Roman" w:hAnsi="Times New Roman" w:cs="Times New Roman"/>
                <w:vertAlign w:val="superscript"/>
                <w:lang w:val="en-US" w:eastAsia="zh-CN"/>
              </w:rPr>
              <w:t>2</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9C85">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0.23</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825F316">
            <w:pPr>
              <w:pStyle w:val="104"/>
              <w:adjustRightInd w:val="0"/>
              <w:snapToGrid w:val="0"/>
              <w:spacing w:line="240" w:lineRule="auto"/>
              <w:ind w:firstLine="0" w:firstLineChars="0"/>
              <w:rPr>
                <w:rFonts w:hint="default" w:ascii="Times New Roman" w:hAnsi="Times New Roman" w:cs="Times New Roman"/>
              </w:rPr>
            </w:pPr>
          </w:p>
        </w:tc>
      </w:tr>
      <w:tr w14:paraId="6F204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34EC85EC">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7</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3B94">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建筑密度</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8EF5">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E6530">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57.62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2AC3EF4">
            <w:pPr>
              <w:pStyle w:val="104"/>
              <w:adjustRightInd w:val="0"/>
              <w:snapToGrid w:val="0"/>
              <w:spacing w:line="240" w:lineRule="auto"/>
              <w:ind w:firstLine="0" w:firstLineChars="0"/>
              <w:rPr>
                <w:rFonts w:hint="default" w:ascii="Times New Roman" w:hAnsi="Times New Roman" w:cs="Times New Roman"/>
              </w:rPr>
            </w:pPr>
          </w:p>
        </w:tc>
      </w:tr>
      <w:tr w14:paraId="347E3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2C14D0B">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8</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C377">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容积率</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E775">
            <w:pPr>
              <w:pStyle w:val="104"/>
              <w:adjustRightInd w:val="0"/>
              <w:snapToGrid w:val="0"/>
              <w:spacing w:line="240" w:lineRule="auto"/>
              <w:ind w:firstLine="0" w:firstLineChars="0"/>
              <w:rPr>
                <w:rFonts w:hint="default" w:ascii="Times New Roman" w:hAnsi="Times New Roman" w:cs="Times New Roman"/>
              </w:rPr>
            </w:pP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5149">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0.77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40CBE6E">
            <w:pPr>
              <w:pStyle w:val="104"/>
              <w:adjustRightInd w:val="0"/>
              <w:snapToGrid w:val="0"/>
              <w:spacing w:line="240" w:lineRule="auto"/>
              <w:ind w:firstLine="0" w:firstLineChars="0"/>
              <w:rPr>
                <w:rFonts w:hint="default" w:ascii="Times New Roman" w:hAnsi="Times New Roman" w:cs="Times New Roman"/>
              </w:rPr>
            </w:pPr>
          </w:p>
        </w:tc>
      </w:tr>
      <w:tr w14:paraId="0EB4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1970238">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9</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D8933">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绿地率</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F3B5">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01DF">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15.23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0F4CCA8A">
            <w:pPr>
              <w:pStyle w:val="104"/>
              <w:adjustRightInd w:val="0"/>
              <w:snapToGrid w:val="0"/>
              <w:spacing w:line="240" w:lineRule="auto"/>
              <w:ind w:firstLine="0" w:firstLineChars="0"/>
              <w:rPr>
                <w:rFonts w:hint="default" w:ascii="Times New Roman" w:hAnsi="Times New Roman" w:cs="Times New Roman"/>
              </w:rPr>
            </w:pPr>
          </w:p>
        </w:tc>
      </w:tr>
      <w:tr w14:paraId="0B01D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0737762E">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10</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B81CC">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停车位</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BB5D">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个</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F1CB">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8</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1CF1573F">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rPr>
              <w:t>装卸场地</w:t>
            </w:r>
          </w:p>
        </w:tc>
      </w:tr>
      <w:tr w14:paraId="67FD6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736C7D03">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11</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C47C">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项目总投资</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CD128">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万元</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6C57E">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2203.01</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54D7A9C4">
            <w:pPr>
              <w:pStyle w:val="104"/>
              <w:adjustRightInd w:val="0"/>
              <w:snapToGrid w:val="0"/>
              <w:spacing w:line="240" w:lineRule="auto"/>
              <w:ind w:firstLine="0" w:firstLineChars="0"/>
              <w:rPr>
                <w:rFonts w:hint="default" w:ascii="Times New Roman" w:hAnsi="Times New Roman" w:cs="Times New Roman"/>
              </w:rPr>
            </w:pPr>
          </w:p>
        </w:tc>
      </w:tr>
      <w:tr w14:paraId="38474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400" w:type="dxa"/>
            <w:tcBorders>
              <w:top w:val="single" w:color="000000" w:sz="4" w:space="0"/>
              <w:left w:val="single" w:color="000000" w:sz="12" w:space="0"/>
              <w:bottom w:val="single" w:color="000000" w:sz="4" w:space="0"/>
              <w:right w:val="single" w:color="000000" w:sz="4" w:space="0"/>
            </w:tcBorders>
            <w:shd w:val="clear" w:color="auto" w:fill="auto"/>
            <w:vAlign w:val="center"/>
          </w:tcPr>
          <w:p w14:paraId="4571D1E2">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12</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66AB5">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项目土建投资</w:t>
            </w:r>
          </w:p>
        </w:tc>
        <w:tc>
          <w:tcPr>
            <w:tcW w:w="2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4589">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万元</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8827">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 xml:space="preserve">462.63 </w:t>
            </w:r>
          </w:p>
        </w:tc>
        <w:tc>
          <w:tcPr>
            <w:tcW w:w="1477" w:type="dxa"/>
            <w:tcBorders>
              <w:top w:val="single" w:color="000000" w:sz="4" w:space="0"/>
              <w:left w:val="single" w:color="000000" w:sz="4" w:space="0"/>
              <w:bottom w:val="single" w:color="000000" w:sz="4" w:space="0"/>
              <w:right w:val="single" w:color="000000" w:sz="12" w:space="0"/>
            </w:tcBorders>
            <w:shd w:val="clear" w:color="auto" w:fill="auto"/>
            <w:vAlign w:val="center"/>
          </w:tcPr>
          <w:p w14:paraId="6D801608">
            <w:pPr>
              <w:pStyle w:val="104"/>
              <w:adjustRightInd w:val="0"/>
              <w:snapToGrid w:val="0"/>
              <w:spacing w:line="240" w:lineRule="auto"/>
              <w:ind w:firstLine="0" w:firstLineChars="0"/>
              <w:rPr>
                <w:rFonts w:hint="default" w:ascii="Times New Roman" w:hAnsi="Times New Roman" w:cs="Times New Roman"/>
              </w:rPr>
            </w:pPr>
          </w:p>
        </w:tc>
      </w:tr>
      <w:tr w14:paraId="032BF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jc w:val="center"/>
        </w:trPr>
        <w:tc>
          <w:tcPr>
            <w:tcW w:w="1400" w:type="dxa"/>
            <w:tcBorders>
              <w:top w:val="single" w:color="000000" w:sz="4" w:space="0"/>
              <w:left w:val="single" w:color="000000" w:sz="12" w:space="0"/>
              <w:bottom w:val="single" w:color="000000" w:sz="12" w:space="0"/>
              <w:right w:val="single" w:color="000000" w:sz="4" w:space="0"/>
            </w:tcBorders>
            <w:shd w:val="clear" w:color="auto" w:fill="auto"/>
            <w:vAlign w:val="center"/>
          </w:tcPr>
          <w:p w14:paraId="0CEEF2B6">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13</w:t>
            </w:r>
          </w:p>
        </w:tc>
        <w:tc>
          <w:tcPr>
            <w:tcW w:w="1934"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14:paraId="5FBB5FDA">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建设工期</w:t>
            </w:r>
          </w:p>
        </w:tc>
        <w:tc>
          <w:tcPr>
            <w:tcW w:w="2425"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14:paraId="4D149F75">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月</w:t>
            </w:r>
          </w:p>
        </w:tc>
        <w:tc>
          <w:tcPr>
            <w:tcW w:w="1747"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14:paraId="2B10F702">
            <w:pPr>
              <w:pStyle w:val="104"/>
              <w:adjustRightInd w:val="0"/>
              <w:snapToGrid w:val="0"/>
              <w:spacing w:line="240" w:lineRule="auto"/>
              <w:ind w:firstLine="0" w:firstLineChars="0"/>
              <w:rPr>
                <w:rFonts w:hint="default" w:ascii="Times New Roman" w:hAnsi="Times New Roman" w:cs="Times New Roman"/>
              </w:rPr>
            </w:pPr>
            <w:r>
              <w:rPr>
                <w:rFonts w:hint="default" w:ascii="Times New Roman" w:hAnsi="Times New Roman" w:cs="Times New Roman"/>
                <w:lang w:val="en-US" w:eastAsia="zh-CN"/>
              </w:rPr>
              <w:t>15</w:t>
            </w:r>
          </w:p>
        </w:tc>
        <w:tc>
          <w:tcPr>
            <w:tcW w:w="1477" w:type="dxa"/>
            <w:tcBorders>
              <w:top w:val="single" w:color="000000" w:sz="4" w:space="0"/>
              <w:left w:val="single" w:color="000000" w:sz="4" w:space="0"/>
              <w:bottom w:val="single" w:color="000000" w:sz="12" w:space="0"/>
              <w:right w:val="single" w:color="000000" w:sz="12" w:space="0"/>
            </w:tcBorders>
            <w:shd w:val="clear" w:color="auto" w:fill="auto"/>
            <w:vAlign w:val="center"/>
          </w:tcPr>
          <w:p w14:paraId="2B8BD6A5">
            <w:pPr>
              <w:pStyle w:val="104"/>
              <w:adjustRightInd w:val="0"/>
              <w:snapToGrid w:val="0"/>
              <w:spacing w:line="240" w:lineRule="auto"/>
              <w:ind w:firstLine="0" w:firstLineChars="0"/>
              <w:rPr>
                <w:rFonts w:hint="eastAsia" w:ascii="Times New Roman" w:hAnsi="Times New Roman" w:cs="Times New Roman"/>
              </w:rPr>
            </w:pPr>
            <w:r>
              <w:rPr>
                <w:rFonts w:hint="eastAsia" w:ascii="Times New Roman" w:hAnsi="Times New Roman" w:cs="Times New Roman"/>
                <w:lang w:val="en-US" w:eastAsia="zh-CN"/>
              </w:rPr>
              <w:t>即</w:t>
            </w:r>
            <w:r>
              <w:rPr>
                <w:rFonts w:hint="default" w:ascii="Times New Roman" w:hAnsi="Times New Roman" w:cs="Times New Roman"/>
                <w:lang w:val="en-US" w:eastAsia="zh-CN"/>
              </w:rPr>
              <w:t>2024</w:t>
            </w:r>
            <w:r>
              <w:rPr>
                <w:rFonts w:hint="eastAsia" w:ascii="Times New Roman" w:hAnsi="Times New Roman" w:cs="Times New Roman"/>
                <w:lang w:val="en-US" w:eastAsia="zh-CN"/>
              </w:rPr>
              <w:t>年4月至</w:t>
            </w:r>
            <w:r>
              <w:rPr>
                <w:rFonts w:hint="default" w:ascii="Times New Roman" w:hAnsi="Times New Roman" w:cs="Times New Roman"/>
                <w:lang w:val="en-US" w:eastAsia="zh-CN"/>
              </w:rPr>
              <w:t>2025</w:t>
            </w:r>
            <w:r>
              <w:rPr>
                <w:rFonts w:hint="eastAsia" w:ascii="Times New Roman" w:hAnsi="Times New Roman" w:cs="Times New Roman"/>
                <w:lang w:val="en-US" w:eastAsia="zh-CN"/>
              </w:rPr>
              <w:t>年6月</w:t>
            </w:r>
          </w:p>
        </w:tc>
      </w:tr>
    </w:tbl>
    <w:p w14:paraId="713A5AFB">
      <w:pPr>
        <w:pStyle w:val="4"/>
        <w:rPr>
          <w:rFonts w:hint="default" w:ascii="Times New Roman" w:hAnsi="Times New Roman" w:cs="Times New Roman"/>
        </w:rPr>
      </w:pPr>
      <w:r>
        <w:rPr>
          <w:rFonts w:hint="default" w:ascii="Times New Roman" w:hAnsi="Times New Roman" w:cs="Times New Roman"/>
        </w:rPr>
        <w:t>项目区现状及周边情况</w:t>
      </w:r>
    </w:p>
    <w:p w14:paraId="5277C91C">
      <w:pPr>
        <w:pStyle w:val="5"/>
        <w:rPr>
          <w:rFonts w:hint="default" w:ascii="Times New Roman" w:hAnsi="Times New Roman" w:cs="Times New Roman"/>
        </w:rPr>
      </w:pPr>
      <w:r>
        <w:rPr>
          <w:rFonts w:hint="default" w:ascii="Times New Roman" w:hAnsi="Times New Roman" w:cs="Times New Roman"/>
        </w:rPr>
        <w:t>项目区现状情况</w:t>
      </w:r>
    </w:p>
    <w:p w14:paraId="3F436AD8">
      <w:pPr>
        <w:ind w:firstLine="480"/>
        <w:rPr>
          <w:rFonts w:hint="default" w:ascii="Times New Roman" w:hAnsi="Times New Roman" w:eastAsia="仿宋_GB2312" w:cs="Times New Roman"/>
          <w:lang w:val="en-US" w:eastAsia="zh-CN"/>
        </w:rPr>
      </w:pPr>
      <w:r>
        <w:rPr>
          <w:rFonts w:hint="default" w:ascii="Times New Roman" w:hAnsi="Times New Roman" w:cs="Times New Roman"/>
        </w:rPr>
        <w:t>受</w:t>
      </w:r>
      <w:r>
        <w:rPr>
          <w:rFonts w:hint="eastAsia" w:cs="Times New Roman"/>
          <w:lang w:eastAsia="zh-CN"/>
        </w:rPr>
        <w:t>会泽县待补镇人民政府</w:t>
      </w:r>
      <w:r>
        <w:rPr>
          <w:rFonts w:hint="default" w:ascii="Times New Roman" w:hAnsi="Times New Roman" w:cs="Times New Roman"/>
        </w:rPr>
        <w:t>委托，我公司2024年</w:t>
      </w:r>
      <w:r>
        <w:rPr>
          <w:rFonts w:hint="eastAsia" w:cs="Times New Roman"/>
          <w:lang w:val="en-US" w:eastAsia="zh-CN"/>
        </w:rPr>
        <w:t>8</w:t>
      </w:r>
      <w:r>
        <w:rPr>
          <w:rFonts w:hint="default" w:ascii="Times New Roman" w:hAnsi="Times New Roman" w:cs="Times New Roman"/>
        </w:rPr>
        <w:t>月承担了本项目的水土保持方案编制工作。</w:t>
      </w:r>
      <w:bookmarkStart w:id="30" w:name="_Hlk73368316"/>
      <w:r>
        <w:rPr>
          <w:rFonts w:hint="default" w:ascii="Times New Roman" w:hAnsi="Times New Roman" w:cs="Times New Roman"/>
        </w:rPr>
        <w:t>接受委托后，我公司组织工程技术人员对项目区进行了踏勘，</w:t>
      </w:r>
      <w:r>
        <w:rPr>
          <w:rFonts w:hint="eastAsia" w:cs="Times New Roman"/>
          <w:lang w:val="en-US" w:eastAsia="zh-CN"/>
        </w:rPr>
        <w:t>对两个地块的建设现状进行一个介绍：</w:t>
      </w:r>
    </w:p>
    <w:p w14:paraId="11208E8F">
      <w:pPr>
        <w:ind w:firstLine="480"/>
        <w:rPr>
          <w:rFonts w:hint="default" w:ascii="Times New Roman" w:hAnsi="Times New Roman" w:eastAsia="仿宋_GB2312" w:cs="Times New Roman"/>
          <w:lang w:val="en-US" w:eastAsia="zh-CN"/>
        </w:rPr>
      </w:pPr>
      <w:r>
        <w:rPr>
          <w:rFonts w:hint="eastAsia" w:cs="Times New Roman"/>
          <w:lang w:val="en-US" w:eastAsia="zh-CN"/>
        </w:rPr>
        <w:t>地块一：方案介入时，该地块已完成西南侧原建筑拆除，还未对场地进行清表及场平工作，未扰动部分场地为草坪覆盖，建构筑物、</w:t>
      </w:r>
      <w:r>
        <w:rPr>
          <w:rFonts w:hint="default" w:ascii="Times New Roman" w:hAnsi="Times New Roman" w:cs="Times New Roman"/>
        </w:rPr>
        <w:t>场地硬化和绿化还未实施</w:t>
      </w:r>
      <w:r>
        <w:rPr>
          <w:rFonts w:hint="eastAsia" w:cs="Times New Roman"/>
          <w:lang w:val="en-US" w:eastAsia="zh-CN"/>
        </w:rPr>
        <w:t>。</w:t>
      </w:r>
    </w:p>
    <w:p w14:paraId="0B5BC86B">
      <w:pPr>
        <w:ind w:firstLine="480"/>
        <w:rPr>
          <w:rFonts w:hint="default" w:ascii="Times New Roman" w:hAnsi="Times New Roman" w:eastAsia="仿宋_GB2312" w:cs="Times New Roman"/>
          <w:lang w:val="en-US" w:eastAsia="zh-CN"/>
        </w:rPr>
      </w:pPr>
      <w:r>
        <w:rPr>
          <w:rFonts w:hint="eastAsia" w:cs="Times New Roman"/>
          <w:lang w:val="en-US" w:eastAsia="zh-CN"/>
        </w:rPr>
        <w:t>地块二：方案介入时，该地块已完成场平工作，目前正在进行建构筑物基础施工，</w:t>
      </w:r>
      <w:r>
        <w:rPr>
          <w:rFonts w:hint="default" w:ascii="Times New Roman" w:hAnsi="Times New Roman" w:cs="Times New Roman"/>
        </w:rPr>
        <w:t>场地硬化和绿化还未实施</w:t>
      </w:r>
      <w:r>
        <w:rPr>
          <w:rFonts w:hint="eastAsia" w:cs="Times New Roman"/>
          <w:lang w:val="en-US" w:eastAsia="zh-CN"/>
        </w:rPr>
        <w:t>。在场地西侧有场平施工前剥离的表土，堆放零乱，本方案要求建设单位将表土运至规划表土堆场进行堆存，集中保护。项目区内施工场地及临时堆土裸露，未实施水保措施。</w:t>
      </w:r>
    </w:p>
    <w:bookmarkEnd w:id="30"/>
    <w:tbl>
      <w:tblPr>
        <w:tblStyle w:val="27"/>
        <w:tblW w:w="9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48"/>
        <w:gridCol w:w="4725"/>
      </w:tblGrid>
      <w:tr w14:paraId="33A34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73" w:type="dxa"/>
            <w:gridSpan w:val="2"/>
            <w:vAlign w:val="center"/>
          </w:tcPr>
          <w:p w14:paraId="18B4AB2C">
            <w:pPr>
              <w:adjustRightInd w:val="0"/>
              <w:snapToGrid w:val="0"/>
              <w:spacing w:line="240" w:lineRule="auto"/>
              <w:ind w:firstLine="0" w:firstLineChars="0"/>
              <w:jc w:val="center"/>
              <w:rPr>
                <w:rFonts w:hint="default" w:ascii="Times New Roman" w:hAnsi="Times New Roman" w:cs="Times New Roman"/>
                <w:kern w:val="0"/>
              </w:rPr>
            </w:pPr>
            <w:bookmarkStart w:id="31" w:name="_Hlk72915388"/>
            <w:r>
              <w:rPr>
                <w:rFonts w:hint="eastAsia" w:ascii="Times New Roman" w:hAnsi="Times New Roman" w:eastAsia="仿宋_GB2312" w:cs="Times New Roman"/>
                <w:kern w:val="0"/>
                <w:lang w:eastAsia="zh-CN"/>
              </w:rPr>
              <w:drawing>
                <wp:inline distT="0" distB="0" distL="114300" distR="114300">
                  <wp:extent cx="4641850" cy="3481705"/>
                  <wp:effectExtent l="0" t="0" r="6350" b="4445"/>
                  <wp:docPr id="8" name="图片 8" descr="DJI_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JI_0021"/>
                          <pic:cNvPicPr>
                            <a:picLocks noChangeAspect="1"/>
                          </pic:cNvPicPr>
                        </pic:nvPicPr>
                        <pic:blipFill>
                          <a:blip r:embed="rId35"/>
                          <a:stretch>
                            <a:fillRect/>
                          </a:stretch>
                        </pic:blipFill>
                        <pic:spPr>
                          <a:xfrm>
                            <a:off x="0" y="0"/>
                            <a:ext cx="4641850" cy="3481705"/>
                          </a:xfrm>
                          <a:prstGeom prst="rect">
                            <a:avLst/>
                          </a:prstGeom>
                        </pic:spPr>
                      </pic:pic>
                    </a:graphicData>
                  </a:graphic>
                </wp:inline>
              </w:drawing>
            </w:r>
          </w:p>
        </w:tc>
      </w:tr>
      <w:tr w14:paraId="32AD1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173" w:type="dxa"/>
            <w:gridSpan w:val="2"/>
            <w:vAlign w:val="center"/>
          </w:tcPr>
          <w:p w14:paraId="44ADFF2B">
            <w:pPr>
              <w:adjustRightInd w:val="0"/>
              <w:snapToGrid w:val="0"/>
              <w:spacing w:line="240" w:lineRule="auto"/>
              <w:ind w:firstLine="0" w:firstLineChars="0"/>
              <w:jc w:val="center"/>
              <w:rPr>
                <w:rFonts w:hint="eastAsia" w:ascii="Times New Roman" w:hAnsi="Times New Roman" w:eastAsia="仿宋_GB2312" w:cs="Times New Roman"/>
                <w:kern w:val="0"/>
                <w:lang w:eastAsia="zh-CN"/>
              </w:rPr>
            </w:pPr>
            <w:r>
              <w:rPr>
                <w:rFonts w:hint="eastAsia" w:cs="Times New Roman"/>
                <w:kern w:val="0"/>
                <w:lang w:val="en-US" w:eastAsia="zh-CN"/>
              </w:rPr>
              <w:t>地块一建设</w:t>
            </w:r>
            <w:r>
              <w:rPr>
                <w:rFonts w:hint="default" w:ascii="Times New Roman" w:hAnsi="Times New Roman" w:cs="Times New Roman"/>
                <w:kern w:val="0"/>
              </w:rPr>
              <w:t>现状</w:t>
            </w:r>
            <w:r>
              <w:rPr>
                <w:rFonts w:hint="eastAsia" w:cs="Times New Roman"/>
                <w:kern w:val="0"/>
                <w:lang w:eastAsia="zh-CN"/>
              </w:rPr>
              <w:t>（</w:t>
            </w:r>
            <w:r>
              <w:rPr>
                <w:rFonts w:hint="eastAsia" w:cs="Times New Roman"/>
                <w:lang w:val="en-US" w:eastAsia="zh-CN"/>
              </w:rPr>
              <w:t>西南侧原建筑拆除，还未对场地进行清表及场平工作</w:t>
            </w:r>
            <w:r>
              <w:rPr>
                <w:rFonts w:hint="eastAsia" w:cs="Times New Roman"/>
                <w:kern w:val="0"/>
                <w:lang w:eastAsia="zh-CN"/>
              </w:rPr>
              <w:t>）</w:t>
            </w:r>
          </w:p>
        </w:tc>
      </w:tr>
      <w:tr w14:paraId="1586CC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73" w:type="dxa"/>
            <w:gridSpan w:val="2"/>
            <w:vAlign w:val="center"/>
          </w:tcPr>
          <w:p w14:paraId="33903B49">
            <w:pPr>
              <w:adjustRightInd w:val="0"/>
              <w:snapToGrid w:val="0"/>
              <w:spacing w:line="240" w:lineRule="auto"/>
              <w:ind w:firstLine="0" w:firstLineChars="0"/>
              <w:jc w:val="center"/>
              <w:rPr>
                <w:rFonts w:hint="default" w:ascii="Times New Roman" w:hAnsi="Times New Roman" w:cs="Times New Roman"/>
                <w:kern w:val="0"/>
              </w:rPr>
            </w:pPr>
            <w:r>
              <w:drawing>
                <wp:inline distT="0" distB="0" distL="114300" distR="114300">
                  <wp:extent cx="4642485" cy="3448050"/>
                  <wp:effectExtent l="0" t="0" r="5715"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6"/>
                          <a:stretch>
                            <a:fillRect/>
                          </a:stretch>
                        </pic:blipFill>
                        <pic:spPr>
                          <a:xfrm>
                            <a:off x="0" y="0"/>
                            <a:ext cx="4642485" cy="3448050"/>
                          </a:xfrm>
                          <a:prstGeom prst="rect">
                            <a:avLst/>
                          </a:prstGeom>
                          <a:noFill/>
                          <a:ln>
                            <a:noFill/>
                          </a:ln>
                        </pic:spPr>
                      </pic:pic>
                    </a:graphicData>
                  </a:graphic>
                </wp:inline>
              </w:drawing>
            </w:r>
          </w:p>
        </w:tc>
      </w:tr>
      <w:tr w14:paraId="01828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73" w:type="dxa"/>
            <w:gridSpan w:val="2"/>
            <w:vAlign w:val="center"/>
          </w:tcPr>
          <w:p w14:paraId="6087C212">
            <w:pPr>
              <w:adjustRightInd w:val="0"/>
              <w:snapToGrid w:val="0"/>
              <w:spacing w:line="240" w:lineRule="auto"/>
              <w:ind w:firstLine="0" w:firstLineChars="0"/>
              <w:jc w:val="center"/>
              <w:rPr>
                <w:rFonts w:hint="eastAsia" w:ascii="Times New Roman" w:hAnsi="Times New Roman" w:eastAsia="仿宋_GB2312" w:cs="Times New Roman"/>
                <w:kern w:val="0"/>
                <w:lang w:eastAsia="zh-CN"/>
              </w:rPr>
            </w:pPr>
            <w:r>
              <w:rPr>
                <w:rFonts w:hint="eastAsia" w:cs="Times New Roman"/>
                <w:kern w:val="0"/>
                <w:lang w:val="en-US" w:eastAsia="zh-CN"/>
              </w:rPr>
              <w:t>地块二建设</w:t>
            </w:r>
            <w:r>
              <w:rPr>
                <w:rFonts w:hint="default" w:ascii="Times New Roman" w:hAnsi="Times New Roman" w:cs="Times New Roman"/>
                <w:kern w:val="0"/>
              </w:rPr>
              <w:t>现状</w:t>
            </w:r>
            <w:r>
              <w:rPr>
                <w:rFonts w:hint="eastAsia" w:cs="Times New Roman"/>
                <w:kern w:val="0"/>
                <w:lang w:eastAsia="zh-CN"/>
              </w:rPr>
              <w:t>（</w:t>
            </w:r>
            <w:r>
              <w:rPr>
                <w:rFonts w:hint="eastAsia" w:cs="Times New Roman"/>
                <w:lang w:val="en-US" w:eastAsia="zh-CN"/>
              </w:rPr>
              <w:t>已完成场平工作，目前正在进行建构筑物基础施工，</w:t>
            </w:r>
            <w:r>
              <w:rPr>
                <w:rFonts w:hint="default" w:ascii="Times New Roman" w:hAnsi="Times New Roman" w:cs="Times New Roman"/>
              </w:rPr>
              <w:t>场地硬化和绿化还未实施</w:t>
            </w:r>
            <w:r>
              <w:rPr>
                <w:rFonts w:hint="eastAsia" w:cs="Times New Roman"/>
                <w:lang w:eastAsia="zh-CN"/>
              </w:rPr>
              <w:t>）</w:t>
            </w:r>
          </w:p>
        </w:tc>
      </w:tr>
      <w:tr w14:paraId="37561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48" w:type="dxa"/>
            <w:vAlign w:val="center"/>
          </w:tcPr>
          <w:p w14:paraId="1D683142">
            <w:pPr>
              <w:adjustRightInd w:val="0"/>
              <w:snapToGrid w:val="0"/>
              <w:spacing w:line="240" w:lineRule="auto"/>
              <w:ind w:firstLine="0" w:firstLineChars="0"/>
              <w:jc w:val="center"/>
              <w:rPr>
                <w:rFonts w:hint="default" w:ascii="Times New Roman" w:hAnsi="Times New Roman" w:cs="Times New Roman"/>
              </w:rPr>
            </w:pPr>
            <w:r>
              <w:drawing>
                <wp:inline distT="0" distB="0" distL="114300" distR="114300">
                  <wp:extent cx="2911475" cy="2061845"/>
                  <wp:effectExtent l="0" t="0" r="3175" b="146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8"/>
                          <a:stretch>
                            <a:fillRect/>
                          </a:stretch>
                        </pic:blipFill>
                        <pic:spPr>
                          <a:xfrm>
                            <a:off x="0" y="0"/>
                            <a:ext cx="2911475" cy="2061845"/>
                          </a:xfrm>
                          <a:prstGeom prst="rect">
                            <a:avLst/>
                          </a:prstGeom>
                          <a:noFill/>
                          <a:ln>
                            <a:noFill/>
                          </a:ln>
                        </pic:spPr>
                      </pic:pic>
                    </a:graphicData>
                  </a:graphic>
                </wp:inline>
              </w:drawing>
            </w:r>
          </w:p>
        </w:tc>
        <w:tc>
          <w:tcPr>
            <w:tcW w:w="4725" w:type="dxa"/>
            <w:vAlign w:val="center"/>
          </w:tcPr>
          <w:p w14:paraId="550911C6">
            <w:pPr>
              <w:adjustRightInd w:val="0"/>
              <w:snapToGrid w:val="0"/>
              <w:spacing w:line="240" w:lineRule="auto"/>
              <w:ind w:firstLine="0" w:firstLineChars="0"/>
              <w:jc w:val="center"/>
              <w:rPr>
                <w:rFonts w:hint="default" w:ascii="Times New Roman" w:hAnsi="Times New Roman" w:cs="Times New Roman"/>
                <w:kern w:val="0"/>
              </w:rPr>
            </w:pPr>
            <w:r>
              <w:drawing>
                <wp:inline distT="0" distB="0" distL="114300" distR="114300">
                  <wp:extent cx="3088640" cy="2015490"/>
                  <wp:effectExtent l="0" t="0" r="16510"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39"/>
                          <a:stretch>
                            <a:fillRect/>
                          </a:stretch>
                        </pic:blipFill>
                        <pic:spPr>
                          <a:xfrm>
                            <a:off x="0" y="0"/>
                            <a:ext cx="3088640" cy="2015490"/>
                          </a:xfrm>
                          <a:prstGeom prst="rect">
                            <a:avLst/>
                          </a:prstGeom>
                          <a:noFill/>
                          <a:ln>
                            <a:noFill/>
                          </a:ln>
                        </pic:spPr>
                      </pic:pic>
                    </a:graphicData>
                  </a:graphic>
                </wp:inline>
              </w:drawing>
            </w:r>
          </w:p>
        </w:tc>
      </w:tr>
      <w:tr w14:paraId="1D0FE5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73" w:type="dxa"/>
            <w:gridSpan w:val="2"/>
            <w:vAlign w:val="center"/>
          </w:tcPr>
          <w:p w14:paraId="2E48D5A7">
            <w:pPr>
              <w:adjustRightInd w:val="0"/>
              <w:snapToGrid w:val="0"/>
              <w:spacing w:line="240" w:lineRule="auto"/>
              <w:ind w:firstLine="0" w:firstLineChars="0"/>
              <w:jc w:val="center"/>
              <w:rPr>
                <w:rFonts w:hint="default" w:ascii="Times New Roman" w:hAnsi="Times New Roman" w:cs="Times New Roman"/>
                <w:kern w:val="0"/>
              </w:rPr>
            </w:pPr>
            <w:r>
              <w:rPr>
                <w:rFonts w:hint="eastAsia" w:cs="Times New Roman"/>
                <w:lang w:val="en-US" w:eastAsia="zh-CN"/>
              </w:rPr>
              <w:t>场地西侧场平施工前剥离的表土</w:t>
            </w:r>
          </w:p>
        </w:tc>
      </w:tr>
      <w:bookmarkEnd w:id="31"/>
    </w:tbl>
    <w:p w14:paraId="51A3C77D">
      <w:pPr>
        <w:pStyle w:val="5"/>
        <w:rPr>
          <w:rFonts w:hint="default" w:ascii="Times New Roman" w:hAnsi="Times New Roman" w:cs="Times New Roman"/>
        </w:rPr>
      </w:pPr>
      <w:r>
        <w:rPr>
          <w:rFonts w:hint="default" w:ascii="Times New Roman" w:hAnsi="Times New Roman" w:cs="Times New Roman"/>
        </w:rPr>
        <w:t>项目依托情况</w:t>
      </w:r>
    </w:p>
    <w:p w14:paraId="321A74F0">
      <w:pPr>
        <w:adjustRightInd w:val="0"/>
        <w:snapToGrid w:val="0"/>
        <w:ind w:firstLine="480"/>
        <w:rPr>
          <w:rFonts w:hint="default" w:ascii="Times New Roman" w:hAnsi="Times New Roman" w:cs="Times New Roman"/>
          <w:bCs/>
        </w:rPr>
      </w:pPr>
      <w:r>
        <w:rPr>
          <w:rFonts w:hint="default" w:ascii="Times New Roman" w:hAnsi="Times New Roman" w:cs="Times New Roman"/>
          <w:bCs/>
        </w:rPr>
        <w:t>（1）交通依托</w:t>
      </w:r>
    </w:p>
    <w:p w14:paraId="691C046D">
      <w:pPr>
        <w:adjustRightInd w:val="0"/>
        <w:snapToGrid w:val="0"/>
        <w:ind w:firstLine="480"/>
        <w:rPr>
          <w:rFonts w:hint="default" w:ascii="Times New Roman" w:hAnsi="Times New Roman" w:cs="Times New Roman"/>
        </w:rPr>
      </w:pPr>
      <w:r>
        <w:rPr>
          <w:rFonts w:hint="default" w:ascii="Times New Roman" w:hAnsi="Times New Roman" w:cs="Times New Roman"/>
        </w:rPr>
        <w:t>项目区紧邻鸡鸣山大道、雄鸡路、国道213线（骏宝路），</w:t>
      </w:r>
      <w:r>
        <w:rPr>
          <w:rFonts w:hint="eastAsia" w:cs="Times New Roman"/>
          <w:lang w:val="en-US" w:eastAsia="zh-CN"/>
        </w:rPr>
        <w:t>均</w:t>
      </w:r>
      <w:r>
        <w:rPr>
          <w:rFonts w:hint="default" w:ascii="Times New Roman" w:hAnsi="Times New Roman" w:cs="Times New Roman"/>
        </w:rPr>
        <w:t>为沥青混凝土路面，路面宽度4m</w:t>
      </w:r>
      <w:r>
        <w:rPr>
          <w:rFonts w:hint="eastAsia" w:cs="Times New Roman"/>
          <w:lang w:val="en-US" w:eastAsia="zh-CN"/>
        </w:rPr>
        <w:t>~15m</w:t>
      </w:r>
      <w:r>
        <w:rPr>
          <w:rFonts w:hint="default" w:ascii="Times New Roman" w:hAnsi="Times New Roman" w:cs="Times New Roman"/>
        </w:rPr>
        <w:t>，</w:t>
      </w:r>
      <w:r>
        <w:rPr>
          <w:rFonts w:hint="default" w:ascii="Times New Roman" w:hAnsi="Times New Roman" w:cs="Times New Roman"/>
          <w:bCs/>
          <w:kern w:val="0"/>
        </w:rPr>
        <w:t>运行状况良好</w:t>
      </w:r>
      <w:r>
        <w:rPr>
          <w:rFonts w:hint="default" w:ascii="Times New Roman" w:hAnsi="Times New Roman" w:cs="Times New Roman"/>
        </w:rPr>
        <w:t>，通过</w:t>
      </w:r>
      <w:r>
        <w:rPr>
          <w:rFonts w:hint="eastAsia" w:cs="Times New Roman"/>
          <w:lang w:val="en-US" w:eastAsia="zh-CN"/>
        </w:rPr>
        <w:t>周边已有市政道路</w:t>
      </w:r>
      <w:r>
        <w:rPr>
          <w:rFonts w:hint="default" w:ascii="Times New Roman" w:hAnsi="Times New Roman" w:cs="Times New Roman"/>
        </w:rPr>
        <w:t>可达周边高速公路</w:t>
      </w:r>
      <w:r>
        <w:rPr>
          <w:rFonts w:hint="eastAsia" w:cs="Times New Roman"/>
          <w:lang w:val="en-US" w:eastAsia="zh-CN"/>
        </w:rPr>
        <w:t>及</w:t>
      </w:r>
      <w:r>
        <w:rPr>
          <w:rFonts w:hint="default" w:ascii="Times New Roman" w:hAnsi="Times New Roman" w:cs="Times New Roman"/>
        </w:rPr>
        <w:t>会泽县城。项目建设过程中可直接利用周边现有道路，能满足项目施工交通运输需求，</w:t>
      </w:r>
      <w:r>
        <w:rPr>
          <w:rFonts w:hint="default" w:ascii="Times New Roman" w:hAnsi="Times New Roman" w:cs="Times New Roman"/>
          <w:bCs/>
        </w:rPr>
        <w:t>不再新建施工道路。</w:t>
      </w:r>
    </w:p>
    <w:p w14:paraId="2AE235CB">
      <w:pPr>
        <w:adjustRightInd w:val="0"/>
        <w:snapToGrid w:val="0"/>
        <w:ind w:firstLine="480"/>
        <w:rPr>
          <w:rFonts w:hint="default" w:ascii="Times New Roman" w:hAnsi="Times New Roman" w:cs="Times New Roman"/>
          <w:bCs/>
        </w:rPr>
      </w:pPr>
      <w:r>
        <w:rPr>
          <w:rFonts w:hint="default" w:ascii="Times New Roman" w:hAnsi="Times New Roman" w:cs="Times New Roman"/>
          <w:bCs/>
        </w:rPr>
        <w:t>（2）给、排水依托</w:t>
      </w:r>
    </w:p>
    <w:p w14:paraId="56A01016">
      <w:pPr>
        <w:adjustRightInd w:val="0"/>
        <w:snapToGrid w:val="0"/>
        <w:ind w:firstLine="480"/>
        <w:rPr>
          <w:rFonts w:hint="default" w:ascii="Times New Roman" w:hAnsi="Times New Roman" w:cs="Times New Roman"/>
        </w:rPr>
      </w:pPr>
      <w:r>
        <w:rPr>
          <w:rFonts w:hint="default" w:ascii="Times New Roman" w:hAnsi="Times New Roman" w:cs="Times New Roman"/>
        </w:rPr>
        <w:t>经现场调查，项目区周边布设有完善的市政给排水管网，项目建设期间从市政给水主干道上引入，供本项目施工期间的用水，施工完成后用作后期的生活和消防用水。</w:t>
      </w:r>
    </w:p>
    <w:p w14:paraId="1AE37B95">
      <w:pPr>
        <w:ind w:firstLine="480"/>
        <w:rPr>
          <w:rFonts w:hint="default" w:ascii="Times New Roman" w:hAnsi="Times New Roman" w:cs="Times New Roman"/>
        </w:rPr>
      </w:pPr>
      <w:r>
        <w:rPr>
          <w:rFonts w:hint="default" w:ascii="Times New Roman" w:hAnsi="Times New Roman" w:cs="Times New Roman"/>
        </w:rPr>
        <w:t>项目区施工期间的场地汇水经过临时排水沟（永临结合）收集后，经过沉砂池沉淀后排入周边</w:t>
      </w:r>
      <w:r>
        <w:rPr>
          <w:rFonts w:hint="eastAsia" w:cs="Times New Roman"/>
          <w:lang w:val="en-US" w:eastAsia="zh-CN"/>
        </w:rPr>
        <w:t>已有道路</w:t>
      </w:r>
      <w:r>
        <w:rPr>
          <w:rFonts w:hint="default" w:ascii="Times New Roman" w:hAnsi="Times New Roman" w:cs="Times New Roman"/>
        </w:rPr>
        <w:t>雨水管网。</w:t>
      </w:r>
    </w:p>
    <w:p w14:paraId="01F5E046">
      <w:pPr>
        <w:pStyle w:val="93"/>
        <w:rPr>
          <w:rFonts w:hint="default" w:ascii="Times New Roman" w:hAnsi="Times New Roman" w:eastAsia="宋体" w:cs="Times New Roman"/>
        </w:rPr>
      </w:pPr>
      <w:r>
        <w:rPr>
          <w:rFonts w:hint="default" w:ascii="Times New Roman" w:hAnsi="Times New Roman" w:cs="Times New Roman"/>
        </w:rPr>
        <w:t>项目区运行期</w:t>
      </w:r>
      <w:r>
        <w:rPr>
          <w:rFonts w:hint="default" w:ascii="Times New Roman" w:hAnsi="Times New Roman" w:cs="Times New Roman"/>
          <w:lang w:val="zh-CN"/>
        </w:rPr>
        <w:t>采用雨污分流制排水，项目区内雨水经</w:t>
      </w:r>
      <w:r>
        <w:rPr>
          <w:rFonts w:hint="default" w:ascii="Times New Roman" w:hAnsi="Times New Roman" w:cs="Times New Roman"/>
        </w:rPr>
        <w:t>雨水管</w:t>
      </w:r>
      <w:r>
        <w:rPr>
          <w:rFonts w:hint="default" w:ascii="Times New Roman" w:hAnsi="Times New Roman" w:cs="Times New Roman"/>
          <w:lang w:val="zh-CN"/>
        </w:rPr>
        <w:t>收集后，排放至</w:t>
      </w:r>
      <w:r>
        <w:rPr>
          <w:rFonts w:hint="default" w:ascii="Times New Roman" w:hAnsi="Times New Roman" w:cs="Times New Roman"/>
        </w:rPr>
        <w:t>项目区</w:t>
      </w:r>
      <w:r>
        <w:rPr>
          <w:rFonts w:hint="eastAsia" w:cs="Times New Roman"/>
          <w:lang w:val="en-US" w:eastAsia="zh-CN"/>
        </w:rPr>
        <w:t>周边已有</w:t>
      </w:r>
      <w:r>
        <w:rPr>
          <w:rFonts w:hint="default" w:ascii="Times New Roman" w:hAnsi="Times New Roman" w:cs="Times New Roman"/>
        </w:rPr>
        <w:t>道路一侧的市政雨水管网。生活污水汇集后，经污水处理装置进行初步处理后，接入已有道路的市政污水管网，由市政污水管排入污水处理厂处理。</w:t>
      </w:r>
    </w:p>
    <w:p w14:paraId="4FE2FAEA">
      <w:pPr>
        <w:pStyle w:val="4"/>
        <w:rPr>
          <w:rFonts w:hint="default" w:ascii="Times New Roman" w:hAnsi="Times New Roman" w:cs="Times New Roman"/>
        </w:rPr>
      </w:pPr>
      <w:r>
        <w:rPr>
          <w:rFonts w:hint="default" w:ascii="Times New Roman" w:hAnsi="Times New Roman" w:cs="Times New Roman"/>
        </w:rPr>
        <w:t>项目组成</w:t>
      </w:r>
    </w:p>
    <w:p w14:paraId="4ECF5C35">
      <w:pPr>
        <w:snapToGrid w:val="0"/>
        <w:ind w:firstLine="480"/>
        <w:rPr>
          <w:rFonts w:hint="default" w:ascii="Times New Roman" w:hAnsi="Times New Roman" w:cs="Times New Roman"/>
        </w:rPr>
      </w:pPr>
      <w:r>
        <w:rPr>
          <w:rFonts w:hint="default" w:ascii="Times New Roman" w:hAnsi="Times New Roman" w:cs="Times New Roman"/>
        </w:rPr>
        <w:t>根据工程建设的特点、施工工艺、各建设内容的功能区划的不同，结合水土保持方案设计要求，本项目组成按照工程类型进行划分，主要</w:t>
      </w:r>
      <w:r>
        <w:rPr>
          <w:rFonts w:hint="eastAsia" w:cs="Times New Roman"/>
          <w:lang w:val="en-US" w:eastAsia="zh-CN"/>
        </w:rPr>
        <w:t>包括地块一和地块二，各地块包括</w:t>
      </w:r>
      <w:r>
        <w:rPr>
          <w:rFonts w:hint="default" w:ascii="Times New Roman" w:hAnsi="Times New Roman" w:cs="Times New Roman"/>
          <w:lang w:val="zh-CN"/>
        </w:rPr>
        <w:t>建构筑物区、</w:t>
      </w:r>
      <w:r>
        <w:rPr>
          <w:rFonts w:hint="eastAsia" w:cs="Times New Roman"/>
          <w:lang w:val="zh-CN"/>
        </w:rPr>
        <w:t>道路及硬化区、</w:t>
      </w:r>
      <w:r>
        <w:rPr>
          <w:rFonts w:hint="default" w:ascii="Times New Roman" w:hAnsi="Times New Roman" w:cs="Times New Roman"/>
          <w:lang w:val="zh-CN"/>
        </w:rPr>
        <w:t>绿化区</w:t>
      </w:r>
      <w:r>
        <w:rPr>
          <w:rFonts w:hint="default" w:ascii="Times New Roman" w:hAnsi="Times New Roman" w:cs="Times New Roman"/>
        </w:rPr>
        <w:t>及附属配套设施等</w:t>
      </w:r>
      <w:r>
        <w:rPr>
          <w:rFonts w:hint="default" w:ascii="Times New Roman" w:hAnsi="Times New Roman" w:cs="Times New Roman"/>
          <w:lang w:val="zh-CN"/>
        </w:rPr>
        <w:t>。</w:t>
      </w:r>
    </w:p>
    <w:p w14:paraId="05413645">
      <w:pPr>
        <w:pStyle w:val="83"/>
        <w:rPr>
          <w:rFonts w:hint="default" w:ascii="Times New Roman" w:hAnsi="Times New Roman" w:eastAsia="仿宋_GB2312" w:cs="Times New Roman"/>
          <w:b/>
          <w:bCs w:val="0"/>
        </w:rPr>
      </w:pPr>
      <w:r>
        <w:rPr>
          <w:rFonts w:hint="default" w:ascii="Times New Roman" w:hAnsi="Times New Roman" w:eastAsia="仿宋_GB2312" w:cs="Times New Roman"/>
          <w:b/>
          <w:bCs w:val="0"/>
        </w:rPr>
        <w:t>表2-2               项目组成情况表</w:t>
      </w:r>
    </w:p>
    <w:tbl>
      <w:tblPr>
        <w:tblStyle w:val="27"/>
        <w:tblW w:w="9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69"/>
        <w:gridCol w:w="1874"/>
        <w:gridCol w:w="6230"/>
      </w:tblGrid>
      <w:tr w14:paraId="6946FE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9" w:type="dxa"/>
            <w:tcBorders>
              <w:tl2br w:val="nil"/>
              <w:tr2bl w:val="nil"/>
            </w:tcBorders>
            <w:shd w:val="clear" w:color="auto" w:fill="auto"/>
            <w:noWrap/>
            <w:vAlign w:val="center"/>
          </w:tcPr>
          <w:p w14:paraId="0998F5D6">
            <w:pPr>
              <w:spacing w:line="240" w:lineRule="auto"/>
              <w:ind w:firstLine="0" w:firstLineChars="0"/>
              <w:jc w:val="center"/>
              <w:textAlignment w:val="center"/>
              <w:rPr>
                <w:rFonts w:hint="default" w:ascii="Times New Roman" w:hAnsi="Times New Roman" w:cs="Times New Roman"/>
                <w:sz w:val="21"/>
                <w:szCs w:val="21"/>
              </w:rPr>
            </w:pPr>
            <w:r>
              <w:rPr>
                <w:rStyle w:val="97"/>
                <w:rFonts w:hint="default" w:ascii="Times New Roman" w:hAnsi="Times New Roman" w:cs="Times New Roman"/>
                <w:color w:val="auto"/>
                <w:sz w:val="21"/>
                <w:szCs w:val="21"/>
                <w:lang w:bidi="ar"/>
              </w:rPr>
              <w:t>序号</w:t>
            </w:r>
          </w:p>
        </w:tc>
        <w:tc>
          <w:tcPr>
            <w:tcW w:w="1874" w:type="dxa"/>
            <w:tcBorders>
              <w:tl2br w:val="nil"/>
              <w:tr2bl w:val="nil"/>
            </w:tcBorders>
            <w:shd w:val="clear" w:color="auto" w:fill="auto"/>
            <w:noWrap/>
            <w:vAlign w:val="center"/>
          </w:tcPr>
          <w:p w14:paraId="407D84E0">
            <w:pPr>
              <w:spacing w:line="240" w:lineRule="auto"/>
              <w:ind w:firstLine="0" w:firstLineChars="0"/>
              <w:jc w:val="center"/>
              <w:textAlignment w:val="center"/>
              <w:rPr>
                <w:rFonts w:hint="default" w:ascii="Times New Roman" w:hAnsi="Times New Roman" w:cs="Times New Roman"/>
                <w:sz w:val="21"/>
                <w:szCs w:val="21"/>
              </w:rPr>
            </w:pPr>
            <w:r>
              <w:rPr>
                <w:rStyle w:val="97"/>
                <w:rFonts w:hint="default" w:ascii="Times New Roman" w:hAnsi="Times New Roman" w:cs="Times New Roman"/>
                <w:color w:val="auto"/>
                <w:sz w:val="21"/>
                <w:szCs w:val="21"/>
                <w:lang w:bidi="ar"/>
              </w:rPr>
              <w:t>项目组成</w:t>
            </w:r>
          </w:p>
        </w:tc>
        <w:tc>
          <w:tcPr>
            <w:tcW w:w="6230" w:type="dxa"/>
            <w:tcBorders>
              <w:tl2br w:val="nil"/>
              <w:tr2bl w:val="nil"/>
            </w:tcBorders>
            <w:shd w:val="clear" w:color="auto" w:fill="auto"/>
            <w:noWrap/>
            <w:vAlign w:val="center"/>
          </w:tcPr>
          <w:p w14:paraId="0C8DD9E8">
            <w:pPr>
              <w:spacing w:line="240" w:lineRule="auto"/>
              <w:ind w:firstLine="0" w:firstLineChars="0"/>
              <w:jc w:val="center"/>
              <w:textAlignment w:val="center"/>
              <w:rPr>
                <w:rFonts w:hint="default" w:ascii="Times New Roman" w:hAnsi="Times New Roman" w:cs="Times New Roman"/>
                <w:sz w:val="21"/>
                <w:szCs w:val="21"/>
              </w:rPr>
            </w:pPr>
            <w:r>
              <w:rPr>
                <w:rStyle w:val="97"/>
                <w:rFonts w:hint="default" w:ascii="Times New Roman" w:hAnsi="Times New Roman" w:cs="Times New Roman"/>
                <w:color w:val="auto"/>
                <w:sz w:val="21"/>
                <w:szCs w:val="21"/>
                <w:lang w:bidi="ar"/>
              </w:rPr>
              <w:t>主要内容</w:t>
            </w:r>
          </w:p>
        </w:tc>
      </w:tr>
      <w:tr w14:paraId="21D87B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restart"/>
            <w:tcBorders>
              <w:tl2br w:val="nil"/>
              <w:tr2bl w:val="nil"/>
            </w:tcBorders>
            <w:shd w:val="clear" w:color="auto" w:fill="auto"/>
            <w:noWrap/>
            <w:vAlign w:val="center"/>
          </w:tcPr>
          <w:p w14:paraId="34C91AAD">
            <w:pPr>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地块一</w:t>
            </w:r>
          </w:p>
        </w:tc>
        <w:tc>
          <w:tcPr>
            <w:tcW w:w="1874" w:type="dxa"/>
            <w:tcBorders>
              <w:tl2br w:val="nil"/>
              <w:tr2bl w:val="nil"/>
            </w:tcBorders>
            <w:shd w:val="clear" w:color="auto" w:fill="auto"/>
            <w:noWrap/>
            <w:vAlign w:val="center"/>
          </w:tcPr>
          <w:p w14:paraId="7B540EC3">
            <w:pPr>
              <w:spacing w:line="240" w:lineRule="auto"/>
              <w:ind w:firstLine="0" w:firstLineChars="0"/>
              <w:jc w:val="center"/>
              <w:textAlignment w:val="center"/>
              <w:rPr>
                <w:rFonts w:hint="default" w:ascii="Times New Roman" w:hAnsi="Times New Roman" w:cs="Times New Roman"/>
                <w:sz w:val="21"/>
                <w:szCs w:val="21"/>
              </w:rPr>
            </w:pPr>
            <w:r>
              <w:rPr>
                <w:rStyle w:val="97"/>
                <w:rFonts w:hint="default" w:ascii="Times New Roman" w:hAnsi="Times New Roman" w:cs="Times New Roman"/>
                <w:color w:val="auto"/>
                <w:sz w:val="21"/>
                <w:szCs w:val="21"/>
                <w:lang w:bidi="ar"/>
              </w:rPr>
              <w:t>建构筑物区</w:t>
            </w:r>
          </w:p>
        </w:tc>
        <w:tc>
          <w:tcPr>
            <w:tcW w:w="6230" w:type="dxa"/>
            <w:tcBorders>
              <w:tl2br w:val="nil"/>
              <w:tr2bl w:val="nil"/>
            </w:tcBorders>
            <w:shd w:val="clear" w:color="auto" w:fill="auto"/>
            <w:noWrap/>
            <w:vAlign w:val="center"/>
          </w:tcPr>
          <w:p w14:paraId="1920BA2C">
            <w:pPr>
              <w:pStyle w:val="104"/>
              <w:spacing w:line="240" w:lineRule="auto"/>
              <w:ind w:firstLine="0" w:firstLineChars="0"/>
              <w:rPr>
                <w:rFonts w:hint="default" w:ascii="Times New Roman" w:hAnsi="Times New Roman" w:eastAsia="仿宋_GB2312" w:cs="Times New Roman"/>
                <w:szCs w:val="21"/>
                <w:lang w:val="en-US" w:eastAsia="zh-CN"/>
              </w:rPr>
            </w:pPr>
            <w:r>
              <w:rPr>
                <w:rFonts w:hint="eastAsia" w:cs="Times New Roman"/>
                <w:szCs w:val="21"/>
                <w:lang w:val="en-US" w:eastAsia="zh-CN"/>
              </w:rPr>
              <w:t>包括低温仓储车间、常温仓储车间</w:t>
            </w:r>
          </w:p>
        </w:tc>
      </w:tr>
      <w:tr w14:paraId="02E221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continue"/>
            <w:tcBorders>
              <w:tl2br w:val="nil"/>
              <w:tr2bl w:val="nil"/>
            </w:tcBorders>
            <w:shd w:val="clear" w:color="auto" w:fill="auto"/>
            <w:noWrap/>
            <w:vAlign w:val="center"/>
          </w:tcPr>
          <w:p w14:paraId="3C2463EE">
            <w:pPr>
              <w:spacing w:line="240" w:lineRule="auto"/>
              <w:ind w:firstLine="0" w:firstLineChars="0"/>
              <w:jc w:val="center"/>
              <w:textAlignment w:val="center"/>
              <w:rPr>
                <w:rFonts w:hint="default" w:ascii="Times New Roman" w:hAnsi="Times New Roman" w:cs="Times New Roman"/>
                <w:sz w:val="21"/>
                <w:szCs w:val="21"/>
              </w:rPr>
            </w:pPr>
          </w:p>
        </w:tc>
        <w:tc>
          <w:tcPr>
            <w:tcW w:w="1874" w:type="dxa"/>
            <w:tcBorders>
              <w:tl2br w:val="nil"/>
              <w:tr2bl w:val="nil"/>
            </w:tcBorders>
            <w:shd w:val="clear" w:color="auto" w:fill="auto"/>
            <w:noWrap/>
            <w:vAlign w:val="center"/>
          </w:tcPr>
          <w:p w14:paraId="5AB894CD">
            <w:pPr>
              <w:spacing w:line="240" w:lineRule="auto"/>
              <w:ind w:firstLine="0" w:firstLineChars="0"/>
              <w:jc w:val="center"/>
              <w:textAlignment w:val="center"/>
              <w:rPr>
                <w:rFonts w:hint="eastAsia" w:ascii="Times New Roman" w:hAnsi="Times New Roman" w:eastAsia="仿宋_GB2312" w:cs="Times New Roman"/>
                <w:sz w:val="21"/>
                <w:szCs w:val="21"/>
                <w:lang w:eastAsia="zh-CN"/>
              </w:rPr>
            </w:pPr>
            <w:r>
              <w:rPr>
                <w:rStyle w:val="97"/>
                <w:rFonts w:hint="eastAsia" w:cs="Times New Roman"/>
                <w:color w:val="auto"/>
                <w:sz w:val="21"/>
                <w:szCs w:val="21"/>
                <w:lang w:eastAsia="zh-CN" w:bidi="ar"/>
              </w:rPr>
              <w:t>道路及硬化区</w:t>
            </w:r>
          </w:p>
        </w:tc>
        <w:tc>
          <w:tcPr>
            <w:tcW w:w="6230" w:type="dxa"/>
            <w:tcBorders>
              <w:tl2br w:val="nil"/>
              <w:tr2bl w:val="nil"/>
            </w:tcBorders>
            <w:shd w:val="clear" w:color="auto" w:fill="auto"/>
            <w:vAlign w:val="center"/>
          </w:tcPr>
          <w:p w14:paraId="52678E7C">
            <w:pPr>
              <w:pStyle w:val="104"/>
              <w:spacing w:line="240" w:lineRule="auto"/>
              <w:ind w:firstLine="0" w:firstLineChars="0"/>
              <w:rPr>
                <w:rFonts w:hint="default" w:ascii="Times New Roman" w:hAnsi="Times New Roman" w:cs="Times New Roman"/>
                <w:szCs w:val="21"/>
                <w:lang w:val="en-US"/>
              </w:rPr>
            </w:pPr>
            <w:r>
              <w:rPr>
                <w:color w:val="auto"/>
                <w:lang w:val="en-US" w:eastAsia="zh-CN"/>
              </w:rPr>
              <w:t>主要为场内道路、后期场地硬化工程的建设，道路为场内车行道，道路采用</w:t>
            </w:r>
            <w:r>
              <w:rPr>
                <w:rFonts w:hint="eastAsia"/>
                <w:color w:val="auto"/>
                <w:lang w:val="en-US" w:eastAsia="zh-CN"/>
              </w:rPr>
              <w:t>混凝土硬化</w:t>
            </w:r>
            <w:r>
              <w:rPr>
                <w:color w:val="auto"/>
                <w:lang w:val="en-US" w:eastAsia="zh-CN"/>
              </w:rPr>
              <w:t>路面，</w:t>
            </w:r>
            <w:r>
              <w:rPr>
                <w:rFonts w:hint="eastAsia"/>
                <w:color w:val="auto"/>
                <w:lang w:val="en-US" w:eastAsia="zh-CN"/>
              </w:rPr>
              <w:t>道路宽为6m，</w:t>
            </w:r>
            <w:r>
              <w:rPr>
                <w:color w:val="auto"/>
                <w:lang w:val="en-US" w:eastAsia="zh-CN"/>
              </w:rPr>
              <w:t>共计布设场内道路</w:t>
            </w:r>
            <w:r>
              <w:rPr>
                <w:rFonts w:hint="eastAsia"/>
                <w:color w:val="auto"/>
                <w:lang w:val="en-US" w:eastAsia="zh-CN"/>
              </w:rPr>
              <w:t>178</w:t>
            </w:r>
            <w:r>
              <w:rPr>
                <w:color w:val="auto"/>
                <w:lang w:val="en-US" w:eastAsia="zh-CN"/>
              </w:rPr>
              <w:t>m，</w:t>
            </w:r>
            <w:r>
              <w:rPr>
                <w:rFonts w:hint="eastAsia"/>
                <w:color w:val="auto"/>
                <w:lang w:val="en-US" w:eastAsia="zh-CN"/>
              </w:rPr>
              <w:t>硬化场地</w:t>
            </w:r>
            <w:r>
              <w:rPr>
                <w:color w:val="auto"/>
                <w:lang w:val="en-US" w:eastAsia="zh-CN"/>
              </w:rPr>
              <w:t>主要布设于</w:t>
            </w:r>
            <w:r>
              <w:rPr>
                <w:rFonts w:hint="eastAsia"/>
                <w:color w:val="auto"/>
                <w:lang w:val="en-US" w:eastAsia="zh-CN"/>
              </w:rPr>
              <w:t>建构筑物周边，低温仓储车间东侧布设8个装卸停车位。道路及硬化场地共计0.21hm</w:t>
            </w:r>
            <w:r>
              <w:rPr>
                <w:rFonts w:hint="eastAsia"/>
                <w:color w:val="auto"/>
                <w:vertAlign w:val="superscript"/>
                <w:lang w:val="en-US" w:eastAsia="zh-CN"/>
              </w:rPr>
              <w:t>2</w:t>
            </w:r>
            <w:r>
              <w:rPr>
                <w:rFonts w:hint="eastAsia"/>
                <w:color w:val="auto"/>
                <w:lang w:val="en-US" w:eastAsia="zh-CN"/>
              </w:rPr>
              <w:t>。</w:t>
            </w:r>
          </w:p>
        </w:tc>
      </w:tr>
      <w:tr w14:paraId="5DD2AA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continue"/>
            <w:tcBorders>
              <w:tl2br w:val="nil"/>
              <w:tr2bl w:val="nil"/>
            </w:tcBorders>
            <w:shd w:val="clear" w:color="auto" w:fill="auto"/>
            <w:noWrap/>
            <w:vAlign w:val="center"/>
          </w:tcPr>
          <w:p w14:paraId="1532F947">
            <w:pPr>
              <w:spacing w:line="240" w:lineRule="auto"/>
              <w:ind w:firstLine="0" w:firstLineChars="0"/>
              <w:jc w:val="center"/>
              <w:textAlignment w:val="center"/>
              <w:rPr>
                <w:rFonts w:hint="default" w:ascii="Times New Roman" w:hAnsi="Times New Roman" w:cs="Times New Roman"/>
                <w:sz w:val="21"/>
                <w:szCs w:val="21"/>
              </w:rPr>
            </w:pPr>
          </w:p>
        </w:tc>
        <w:tc>
          <w:tcPr>
            <w:tcW w:w="1874" w:type="dxa"/>
            <w:tcBorders>
              <w:tl2br w:val="nil"/>
              <w:tr2bl w:val="nil"/>
            </w:tcBorders>
            <w:shd w:val="clear" w:color="auto" w:fill="auto"/>
            <w:noWrap/>
            <w:vAlign w:val="center"/>
          </w:tcPr>
          <w:p w14:paraId="2B0F3818">
            <w:pPr>
              <w:spacing w:line="240" w:lineRule="auto"/>
              <w:ind w:firstLine="0" w:firstLineChars="0"/>
              <w:jc w:val="center"/>
              <w:textAlignment w:val="center"/>
              <w:rPr>
                <w:rFonts w:hint="default" w:ascii="Times New Roman" w:hAnsi="Times New Roman" w:cs="Times New Roman"/>
                <w:sz w:val="21"/>
                <w:szCs w:val="21"/>
              </w:rPr>
            </w:pPr>
            <w:r>
              <w:rPr>
                <w:rStyle w:val="97"/>
                <w:rFonts w:hint="default" w:ascii="Times New Roman" w:hAnsi="Times New Roman" w:cs="Times New Roman"/>
                <w:color w:val="auto"/>
                <w:sz w:val="21"/>
                <w:szCs w:val="21"/>
                <w:lang w:bidi="ar"/>
              </w:rPr>
              <w:t>绿化区</w:t>
            </w:r>
          </w:p>
        </w:tc>
        <w:tc>
          <w:tcPr>
            <w:tcW w:w="6230" w:type="dxa"/>
            <w:tcBorders>
              <w:tl2br w:val="nil"/>
              <w:tr2bl w:val="nil"/>
            </w:tcBorders>
            <w:shd w:val="clear" w:color="auto" w:fill="auto"/>
            <w:vAlign w:val="center"/>
          </w:tcPr>
          <w:p w14:paraId="26D10B78">
            <w:pPr>
              <w:pStyle w:val="104"/>
              <w:spacing w:line="240" w:lineRule="auto"/>
              <w:ind w:firstLine="0" w:firstLineChars="0"/>
              <w:rPr>
                <w:rFonts w:hint="default" w:ascii="Times New Roman" w:hAnsi="Times New Roman" w:cs="Times New Roman"/>
                <w:szCs w:val="21"/>
              </w:rPr>
            </w:pPr>
            <w:r>
              <w:rPr>
                <w:rFonts w:hint="default" w:ascii="Times New Roman" w:hAnsi="Times New Roman" w:cs="Times New Roman"/>
                <w:kern w:val="0"/>
                <w:szCs w:val="21"/>
                <w:lang w:val="en-US" w:bidi="ar"/>
              </w:rPr>
              <w:t>在构筑物</w:t>
            </w:r>
            <w:r>
              <w:rPr>
                <w:rFonts w:hint="default" w:ascii="Times New Roman" w:hAnsi="Times New Roman" w:cs="Times New Roman"/>
                <w:kern w:val="0"/>
                <w:szCs w:val="21"/>
                <w:lang w:bidi="ar"/>
              </w:rPr>
              <w:t>周边</w:t>
            </w:r>
            <w:r>
              <w:rPr>
                <w:rFonts w:hint="default" w:ascii="Times New Roman" w:hAnsi="Times New Roman" w:cs="Times New Roman"/>
                <w:kern w:val="0"/>
                <w:szCs w:val="21"/>
                <w:lang w:val="en-US" w:bidi="ar"/>
              </w:rPr>
              <w:t>空地区域</w:t>
            </w:r>
            <w:r>
              <w:rPr>
                <w:rFonts w:hint="default" w:ascii="Times New Roman" w:hAnsi="Times New Roman" w:cs="Times New Roman"/>
                <w:kern w:val="0"/>
                <w:szCs w:val="21"/>
                <w:lang w:bidi="ar"/>
              </w:rPr>
              <w:t>进行绿化</w:t>
            </w:r>
            <w:r>
              <w:rPr>
                <w:rFonts w:hint="default" w:ascii="Times New Roman" w:hAnsi="Times New Roman" w:cs="Times New Roman"/>
                <w:kern w:val="0"/>
                <w:szCs w:val="21"/>
                <w:lang w:val="en-US" w:bidi="ar"/>
              </w:rPr>
              <w:t>，</w:t>
            </w:r>
            <w:r>
              <w:rPr>
                <w:rFonts w:hint="default" w:ascii="Times New Roman" w:hAnsi="Times New Roman" w:cs="Times New Roman"/>
                <w:kern w:val="0"/>
                <w:szCs w:val="21"/>
                <w:lang w:bidi="ar"/>
              </w:rPr>
              <w:t>绿化区</w:t>
            </w:r>
            <w:r>
              <w:rPr>
                <w:rFonts w:hint="default" w:ascii="Times New Roman" w:hAnsi="Times New Roman" w:cs="Times New Roman"/>
                <w:kern w:val="0"/>
                <w:szCs w:val="21"/>
                <w:lang w:val="en-US" w:bidi="ar"/>
              </w:rPr>
              <w:t>面积</w:t>
            </w:r>
            <w:r>
              <w:rPr>
                <w:rFonts w:hint="eastAsia" w:cs="Times New Roman"/>
                <w:kern w:val="0"/>
                <w:szCs w:val="21"/>
                <w:lang w:val="en-US" w:eastAsia="zh-CN" w:bidi="ar"/>
              </w:rPr>
              <w:t>0.09h</w:t>
            </w:r>
            <w:r>
              <w:rPr>
                <w:rStyle w:val="98"/>
                <w:rFonts w:hint="default" w:ascii="Times New Roman" w:hAnsi="Times New Roman" w:cs="Times New Roman"/>
                <w:color w:val="auto"/>
                <w:sz w:val="21"/>
                <w:szCs w:val="21"/>
                <w:lang w:val="en-US" w:bidi="ar"/>
              </w:rPr>
              <w:t>m</w:t>
            </w:r>
            <w:r>
              <w:rPr>
                <w:rStyle w:val="99"/>
                <w:rFonts w:hint="default" w:ascii="Times New Roman" w:hAnsi="Times New Roman" w:cs="Times New Roman"/>
                <w:color w:val="auto"/>
                <w:sz w:val="21"/>
                <w:szCs w:val="21"/>
                <w:lang w:val="en-US" w:bidi="ar"/>
              </w:rPr>
              <w:t>2</w:t>
            </w:r>
            <w:r>
              <w:rPr>
                <w:rStyle w:val="97"/>
                <w:rFonts w:hint="default" w:ascii="Times New Roman" w:hAnsi="Times New Roman" w:cs="Times New Roman"/>
                <w:color w:val="auto"/>
                <w:sz w:val="21"/>
                <w:szCs w:val="21"/>
                <w:lang w:val="en-US" w:bidi="ar"/>
              </w:rPr>
              <w:t>。</w:t>
            </w:r>
          </w:p>
        </w:tc>
      </w:tr>
      <w:tr w14:paraId="77F01E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continue"/>
            <w:tcBorders>
              <w:tl2br w:val="nil"/>
              <w:tr2bl w:val="nil"/>
            </w:tcBorders>
            <w:shd w:val="clear" w:color="auto" w:fill="auto"/>
            <w:noWrap/>
            <w:vAlign w:val="center"/>
          </w:tcPr>
          <w:p w14:paraId="44C38EA2">
            <w:pPr>
              <w:spacing w:line="240" w:lineRule="auto"/>
              <w:ind w:firstLine="0" w:firstLineChars="0"/>
              <w:jc w:val="center"/>
              <w:textAlignment w:val="center"/>
              <w:rPr>
                <w:rFonts w:hint="default" w:ascii="Times New Roman" w:hAnsi="Times New Roman" w:cs="Times New Roman"/>
                <w:sz w:val="21"/>
                <w:szCs w:val="21"/>
              </w:rPr>
            </w:pPr>
          </w:p>
        </w:tc>
        <w:tc>
          <w:tcPr>
            <w:tcW w:w="1874" w:type="dxa"/>
            <w:tcBorders>
              <w:tl2br w:val="nil"/>
              <w:tr2bl w:val="nil"/>
            </w:tcBorders>
            <w:shd w:val="clear" w:color="auto" w:fill="auto"/>
            <w:noWrap/>
            <w:vAlign w:val="center"/>
          </w:tcPr>
          <w:p w14:paraId="6DBC6F8E">
            <w:pPr>
              <w:spacing w:line="240" w:lineRule="auto"/>
              <w:ind w:firstLine="0" w:firstLineChars="0"/>
              <w:jc w:val="center"/>
              <w:textAlignment w:val="center"/>
              <w:rPr>
                <w:rFonts w:hint="default" w:ascii="Times New Roman" w:hAnsi="Times New Roman" w:cs="Times New Roman"/>
                <w:sz w:val="21"/>
                <w:szCs w:val="21"/>
              </w:rPr>
            </w:pPr>
            <w:r>
              <w:rPr>
                <w:rStyle w:val="97"/>
                <w:rFonts w:hint="default" w:ascii="Times New Roman" w:hAnsi="Times New Roman" w:cs="Times New Roman"/>
                <w:color w:val="auto"/>
                <w:sz w:val="21"/>
                <w:szCs w:val="21"/>
                <w:lang w:bidi="ar"/>
              </w:rPr>
              <w:t>附属设施</w:t>
            </w:r>
          </w:p>
        </w:tc>
        <w:tc>
          <w:tcPr>
            <w:tcW w:w="6230" w:type="dxa"/>
            <w:tcBorders>
              <w:tl2br w:val="nil"/>
              <w:tr2bl w:val="nil"/>
            </w:tcBorders>
            <w:shd w:val="clear" w:color="auto" w:fill="auto"/>
            <w:noWrap/>
            <w:vAlign w:val="center"/>
          </w:tcPr>
          <w:p w14:paraId="2EF3D12C">
            <w:pPr>
              <w:pStyle w:val="104"/>
              <w:spacing w:line="240" w:lineRule="auto"/>
              <w:ind w:firstLine="0" w:firstLineChars="0"/>
              <w:rPr>
                <w:rFonts w:hint="default" w:ascii="Times New Roman" w:hAnsi="Times New Roman" w:cs="Times New Roman"/>
                <w:szCs w:val="21"/>
              </w:rPr>
            </w:pPr>
            <w:r>
              <w:rPr>
                <w:rFonts w:hint="default" w:ascii="Times New Roman" w:hAnsi="Times New Roman" w:cs="Times New Roman"/>
                <w:kern w:val="0"/>
                <w:szCs w:val="21"/>
                <w:lang w:val="en-US" w:bidi="ar"/>
              </w:rPr>
              <w:t>给排水、供电、通讯及消防系统等。</w:t>
            </w:r>
          </w:p>
        </w:tc>
      </w:tr>
      <w:tr w14:paraId="376CF7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restart"/>
            <w:tcBorders>
              <w:tl2br w:val="nil"/>
              <w:tr2bl w:val="nil"/>
            </w:tcBorders>
            <w:shd w:val="clear" w:color="auto" w:fill="auto"/>
            <w:noWrap/>
            <w:vAlign w:val="center"/>
          </w:tcPr>
          <w:p w14:paraId="6B1332B5">
            <w:pPr>
              <w:spacing w:line="240" w:lineRule="auto"/>
              <w:ind w:firstLine="0" w:firstLineChars="0"/>
              <w:jc w:val="center"/>
              <w:textAlignment w:val="center"/>
              <w:rPr>
                <w:rFonts w:hint="default" w:ascii="Times New Roman" w:hAnsi="Times New Roman" w:cs="Times New Roman"/>
                <w:kern w:val="0"/>
                <w:sz w:val="21"/>
                <w:szCs w:val="21"/>
                <w:lang w:val="en-US" w:bidi="ar"/>
              </w:rPr>
            </w:pPr>
            <w:r>
              <w:rPr>
                <w:rFonts w:hint="eastAsia" w:cs="Times New Roman"/>
                <w:sz w:val="21"/>
                <w:szCs w:val="21"/>
                <w:lang w:val="en-US" w:eastAsia="zh-CN"/>
              </w:rPr>
              <w:t>地块二</w:t>
            </w:r>
          </w:p>
        </w:tc>
        <w:tc>
          <w:tcPr>
            <w:tcW w:w="1874" w:type="dxa"/>
            <w:tcBorders>
              <w:tl2br w:val="nil"/>
              <w:tr2bl w:val="nil"/>
            </w:tcBorders>
            <w:shd w:val="clear" w:color="auto" w:fill="auto"/>
            <w:noWrap/>
            <w:vAlign w:val="center"/>
          </w:tcPr>
          <w:p w14:paraId="60C03BC3">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default" w:ascii="Times New Roman" w:hAnsi="Times New Roman" w:cs="Times New Roman"/>
                <w:color w:val="auto"/>
                <w:sz w:val="21"/>
                <w:szCs w:val="21"/>
                <w:lang w:bidi="ar"/>
              </w:rPr>
              <w:t>建构筑物区</w:t>
            </w:r>
          </w:p>
        </w:tc>
        <w:tc>
          <w:tcPr>
            <w:tcW w:w="6230" w:type="dxa"/>
            <w:tcBorders>
              <w:tl2br w:val="nil"/>
              <w:tr2bl w:val="nil"/>
            </w:tcBorders>
            <w:shd w:val="clear" w:color="auto" w:fill="auto"/>
            <w:noWrap/>
            <w:vAlign w:val="center"/>
          </w:tcPr>
          <w:p w14:paraId="00779593">
            <w:pPr>
              <w:pStyle w:val="104"/>
              <w:spacing w:line="240" w:lineRule="auto"/>
              <w:ind w:firstLine="0" w:firstLineChars="0"/>
              <w:rPr>
                <w:rFonts w:hint="default" w:ascii="Times New Roman" w:hAnsi="Times New Roman" w:cs="Times New Roman"/>
                <w:kern w:val="0"/>
                <w:szCs w:val="21"/>
                <w:lang w:val="en-US" w:bidi="ar"/>
              </w:rPr>
            </w:pPr>
            <w:r>
              <w:rPr>
                <w:rFonts w:hint="eastAsia" w:ascii="Times New Roman" w:hAnsi="Times New Roman" w:cs="Times New Roman"/>
                <w:kern w:val="0"/>
                <w:szCs w:val="21"/>
                <w:lang w:val="en-US" w:eastAsia="zh-CN" w:bidi="ar"/>
              </w:rPr>
              <w:t>包括深加工车间、包装车间、设备用房</w:t>
            </w:r>
          </w:p>
        </w:tc>
      </w:tr>
      <w:tr w14:paraId="2EC75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continue"/>
            <w:tcBorders>
              <w:tl2br w:val="nil"/>
              <w:tr2bl w:val="nil"/>
            </w:tcBorders>
            <w:shd w:val="clear" w:color="auto" w:fill="auto"/>
            <w:noWrap/>
            <w:vAlign w:val="center"/>
          </w:tcPr>
          <w:p w14:paraId="54453449">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874" w:type="dxa"/>
            <w:tcBorders>
              <w:tl2br w:val="nil"/>
              <w:tr2bl w:val="nil"/>
            </w:tcBorders>
            <w:shd w:val="clear" w:color="auto" w:fill="auto"/>
            <w:noWrap/>
            <w:vAlign w:val="center"/>
          </w:tcPr>
          <w:p w14:paraId="24506723">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eastAsia" w:cs="Times New Roman"/>
                <w:color w:val="auto"/>
                <w:sz w:val="21"/>
                <w:szCs w:val="21"/>
                <w:lang w:eastAsia="zh-CN" w:bidi="ar"/>
              </w:rPr>
              <w:t>道路及硬化区</w:t>
            </w:r>
          </w:p>
        </w:tc>
        <w:tc>
          <w:tcPr>
            <w:tcW w:w="6230" w:type="dxa"/>
            <w:tcBorders>
              <w:tl2br w:val="nil"/>
              <w:tr2bl w:val="nil"/>
            </w:tcBorders>
            <w:shd w:val="clear" w:color="auto" w:fill="auto"/>
            <w:noWrap/>
            <w:vAlign w:val="center"/>
          </w:tcPr>
          <w:p w14:paraId="38347597">
            <w:pPr>
              <w:pStyle w:val="104"/>
              <w:spacing w:line="240" w:lineRule="auto"/>
              <w:ind w:firstLine="0" w:firstLineChars="0"/>
              <w:rPr>
                <w:rFonts w:hint="default" w:ascii="Times New Roman" w:hAnsi="Times New Roman" w:cs="Times New Roman"/>
                <w:kern w:val="0"/>
                <w:szCs w:val="21"/>
                <w:lang w:val="en-US" w:bidi="ar"/>
              </w:rPr>
            </w:pPr>
            <w:r>
              <w:rPr>
                <w:color w:val="auto"/>
                <w:lang w:val="en-US" w:eastAsia="zh-CN"/>
              </w:rPr>
              <w:t>主要为场内道路、后期场地硬化工程的建设，道路为场内车行道，道路采用</w:t>
            </w:r>
            <w:r>
              <w:rPr>
                <w:rFonts w:hint="eastAsia"/>
                <w:color w:val="auto"/>
                <w:lang w:val="en-US" w:eastAsia="zh-CN"/>
              </w:rPr>
              <w:t>混凝土硬化</w:t>
            </w:r>
            <w:r>
              <w:rPr>
                <w:color w:val="auto"/>
                <w:lang w:val="en-US" w:eastAsia="zh-CN"/>
              </w:rPr>
              <w:t>路面，</w:t>
            </w:r>
            <w:r>
              <w:rPr>
                <w:rFonts w:hint="eastAsia"/>
                <w:color w:val="auto"/>
                <w:lang w:val="en-US" w:eastAsia="zh-CN"/>
              </w:rPr>
              <w:t>道路宽为6m，</w:t>
            </w:r>
            <w:r>
              <w:rPr>
                <w:color w:val="auto"/>
                <w:lang w:val="en-US" w:eastAsia="zh-CN"/>
              </w:rPr>
              <w:t>共计布设场内道路</w:t>
            </w:r>
            <w:r>
              <w:rPr>
                <w:rFonts w:hint="eastAsia"/>
                <w:color w:val="auto"/>
                <w:lang w:val="en-US" w:eastAsia="zh-CN"/>
              </w:rPr>
              <w:t>196</w:t>
            </w:r>
            <w:r>
              <w:rPr>
                <w:color w:val="auto"/>
                <w:lang w:val="en-US" w:eastAsia="zh-CN"/>
              </w:rPr>
              <w:t>m，</w:t>
            </w:r>
            <w:r>
              <w:rPr>
                <w:rFonts w:hint="eastAsia"/>
                <w:color w:val="auto"/>
                <w:lang w:val="en-US" w:eastAsia="zh-CN"/>
              </w:rPr>
              <w:t>硬化场地</w:t>
            </w:r>
            <w:r>
              <w:rPr>
                <w:color w:val="auto"/>
                <w:lang w:val="en-US" w:eastAsia="zh-CN"/>
              </w:rPr>
              <w:t>主要布设于</w:t>
            </w:r>
            <w:r>
              <w:rPr>
                <w:rFonts w:hint="eastAsia"/>
                <w:color w:val="auto"/>
                <w:lang w:val="en-US" w:eastAsia="zh-CN"/>
              </w:rPr>
              <w:t>建构筑物周边。道路及硬化场地共计0.20hm</w:t>
            </w:r>
            <w:r>
              <w:rPr>
                <w:rFonts w:hint="eastAsia"/>
                <w:color w:val="auto"/>
                <w:vertAlign w:val="superscript"/>
                <w:lang w:val="en-US" w:eastAsia="zh-CN"/>
              </w:rPr>
              <w:t>2</w:t>
            </w:r>
            <w:r>
              <w:rPr>
                <w:rFonts w:hint="eastAsia"/>
                <w:color w:val="auto"/>
                <w:lang w:val="en-US" w:eastAsia="zh-CN"/>
              </w:rPr>
              <w:t>。</w:t>
            </w:r>
          </w:p>
        </w:tc>
      </w:tr>
      <w:tr w14:paraId="24A2F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continue"/>
            <w:tcBorders>
              <w:tl2br w:val="nil"/>
              <w:tr2bl w:val="nil"/>
            </w:tcBorders>
            <w:shd w:val="clear" w:color="auto" w:fill="auto"/>
            <w:noWrap/>
            <w:vAlign w:val="center"/>
          </w:tcPr>
          <w:p w14:paraId="0DDDDB9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874" w:type="dxa"/>
            <w:tcBorders>
              <w:tl2br w:val="nil"/>
              <w:tr2bl w:val="nil"/>
            </w:tcBorders>
            <w:shd w:val="clear" w:color="auto" w:fill="auto"/>
            <w:noWrap/>
            <w:vAlign w:val="center"/>
          </w:tcPr>
          <w:p w14:paraId="17973F54">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default" w:ascii="Times New Roman" w:hAnsi="Times New Roman" w:cs="Times New Roman"/>
                <w:color w:val="auto"/>
                <w:sz w:val="21"/>
                <w:szCs w:val="21"/>
                <w:lang w:bidi="ar"/>
              </w:rPr>
              <w:t>绿化区</w:t>
            </w:r>
          </w:p>
        </w:tc>
        <w:tc>
          <w:tcPr>
            <w:tcW w:w="6230" w:type="dxa"/>
            <w:tcBorders>
              <w:tl2br w:val="nil"/>
              <w:tr2bl w:val="nil"/>
            </w:tcBorders>
            <w:shd w:val="clear" w:color="auto" w:fill="auto"/>
            <w:noWrap/>
            <w:vAlign w:val="center"/>
          </w:tcPr>
          <w:p w14:paraId="7246CB56">
            <w:pPr>
              <w:pStyle w:val="104"/>
              <w:spacing w:line="240" w:lineRule="auto"/>
              <w:ind w:firstLine="0" w:firstLineChars="0"/>
              <w:rPr>
                <w:rFonts w:hint="default" w:ascii="Times New Roman" w:hAnsi="Times New Roman" w:cs="Times New Roman"/>
                <w:kern w:val="0"/>
                <w:szCs w:val="21"/>
                <w:lang w:val="en-US" w:bidi="ar"/>
              </w:rPr>
            </w:pPr>
            <w:r>
              <w:rPr>
                <w:rFonts w:hint="default" w:ascii="Times New Roman" w:hAnsi="Times New Roman" w:cs="Times New Roman"/>
                <w:kern w:val="0"/>
                <w:szCs w:val="21"/>
                <w:lang w:val="en-US" w:bidi="ar"/>
              </w:rPr>
              <w:t>在构筑物</w:t>
            </w:r>
            <w:r>
              <w:rPr>
                <w:rFonts w:hint="default" w:ascii="Times New Roman" w:hAnsi="Times New Roman" w:cs="Times New Roman"/>
                <w:kern w:val="0"/>
                <w:szCs w:val="21"/>
                <w:lang w:bidi="ar"/>
              </w:rPr>
              <w:t>周边</w:t>
            </w:r>
            <w:r>
              <w:rPr>
                <w:rFonts w:hint="default" w:ascii="Times New Roman" w:hAnsi="Times New Roman" w:cs="Times New Roman"/>
                <w:kern w:val="0"/>
                <w:szCs w:val="21"/>
                <w:lang w:val="en-US" w:bidi="ar"/>
              </w:rPr>
              <w:t>空地区域</w:t>
            </w:r>
            <w:r>
              <w:rPr>
                <w:rFonts w:hint="default" w:ascii="Times New Roman" w:hAnsi="Times New Roman" w:cs="Times New Roman"/>
                <w:kern w:val="0"/>
                <w:szCs w:val="21"/>
                <w:lang w:bidi="ar"/>
              </w:rPr>
              <w:t>进行绿化</w:t>
            </w:r>
            <w:r>
              <w:rPr>
                <w:rFonts w:hint="default" w:ascii="Times New Roman" w:hAnsi="Times New Roman" w:cs="Times New Roman"/>
                <w:kern w:val="0"/>
                <w:szCs w:val="21"/>
                <w:lang w:val="en-US" w:bidi="ar"/>
              </w:rPr>
              <w:t>，</w:t>
            </w:r>
            <w:r>
              <w:rPr>
                <w:rFonts w:hint="default" w:ascii="Times New Roman" w:hAnsi="Times New Roman" w:cs="Times New Roman"/>
                <w:kern w:val="0"/>
                <w:szCs w:val="21"/>
                <w:lang w:bidi="ar"/>
              </w:rPr>
              <w:t>绿化区</w:t>
            </w:r>
            <w:r>
              <w:rPr>
                <w:rFonts w:hint="default" w:ascii="Times New Roman" w:hAnsi="Times New Roman" w:cs="Times New Roman"/>
                <w:kern w:val="0"/>
                <w:szCs w:val="21"/>
                <w:lang w:val="en-US" w:bidi="ar"/>
              </w:rPr>
              <w:t>面积</w:t>
            </w:r>
            <w:r>
              <w:rPr>
                <w:rFonts w:hint="eastAsia" w:cs="Times New Roman"/>
                <w:kern w:val="0"/>
                <w:szCs w:val="21"/>
                <w:lang w:val="en-US" w:eastAsia="zh-CN" w:bidi="ar"/>
              </w:rPr>
              <w:t>0.14h</w:t>
            </w:r>
            <w:r>
              <w:rPr>
                <w:rStyle w:val="98"/>
                <w:rFonts w:hint="default" w:ascii="Times New Roman" w:hAnsi="Times New Roman" w:cs="Times New Roman"/>
                <w:color w:val="auto"/>
                <w:sz w:val="21"/>
                <w:szCs w:val="21"/>
                <w:lang w:val="en-US" w:bidi="ar"/>
              </w:rPr>
              <w:t>m</w:t>
            </w:r>
            <w:r>
              <w:rPr>
                <w:rStyle w:val="99"/>
                <w:rFonts w:hint="default" w:ascii="Times New Roman" w:hAnsi="Times New Roman" w:cs="Times New Roman"/>
                <w:color w:val="auto"/>
                <w:sz w:val="21"/>
                <w:szCs w:val="21"/>
                <w:lang w:val="en-US" w:bidi="ar"/>
              </w:rPr>
              <w:t>2</w:t>
            </w:r>
            <w:r>
              <w:rPr>
                <w:rStyle w:val="97"/>
                <w:rFonts w:hint="default" w:ascii="Times New Roman" w:hAnsi="Times New Roman" w:cs="Times New Roman"/>
                <w:color w:val="auto"/>
                <w:sz w:val="21"/>
                <w:szCs w:val="21"/>
                <w:lang w:val="en-US" w:bidi="ar"/>
              </w:rPr>
              <w:t>。</w:t>
            </w:r>
          </w:p>
        </w:tc>
      </w:tr>
      <w:tr w14:paraId="57273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069" w:type="dxa"/>
            <w:vMerge w:val="continue"/>
            <w:tcBorders>
              <w:tl2br w:val="nil"/>
              <w:tr2bl w:val="nil"/>
            </w:tcBorders>
            <w:shd w:val="clear" w:color="auto" w:fill="auto"/>
            <w:noWrap/>
            <w:vAlign w:val="center"/>
          </w:tcPr>
          <w:p w14:paraId="60C006CC">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874" w:type="dxa"/>
            <w:tcBorders>
              <w:tl2br w:val="nil"/>
              <w:tr2bl w:val="nil"/>
            </w:tcBorders>
            <w:shd w:val="clear" w:color="auto" w:fill="auto"/>
            <w:noWrap/>
            <w:vAlign w:val="center"/>
          </w:tcPr>
          <w:p w14:paraId="17A56AE1">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default" w:ascii="Times New Roman" w:hAnsi="Times New Roman" w:cs="Times New Roman"/>
                <w:color w:val="auto"/>
                <w:sz w:val="21"/>
                <w:szCs w:val="21"/>
                <w:lang w:bidi="ar"/>
              </w:rPr>
              <w:t>附属设施</w:t>
            </w:r>
          </w:p>
        </w:tc>
        <w:tc>
          <w:tcPr>
            <w:tcW w:w="6230" w:type="dxa"/>
            <w:tcBorders>
              <w:tl2br w:val="nil"/>
              <w:tr2bl w:val="nil"/>
            </w:tcBorders>
            <w:shd w:val="clear" w:color="auto" w:fill="auto"/>
            <w:noWrap/>
            <w:vAlign w:val="center"/>
          </w:tcPr>
          <w:p w14:paraId="53AB5AF8">
            <w:pPr>
              <w:pStyle w:val="104"/>
              <w:spacing w:line="240" w:lineRule="auto"/>
              <w:ind w:firstLine="0" w:firstLineChars="0"/>
              <w:rPr>
                <w:rFonts w:hint="default" w:ascii="Times New Roman" w:hAnsi="Times New Roman" w:cs="Times New Roman"/>
                <w:kern w:val="0"/>
                <w:szCs w:val="21"/>
                <w:lang w:val="en-US" w:bidi="ar"/>
              </w:rPr>
            </w:pPr>
            <w:r>
              <w:rPr>
                <w:rFonts w:hint="default" w:ascii="Times New Roman" w:hAnsi="Times New Roman" w:cs="Times New Roman"/>
                <w:kern w:val="0"/>
                <w:szCs w:val="21"/>
                <w:lang w:val="en-US" w:bidi="ar"/>
              </w:rPr>
              <w:t>给排水、供电、通讯及消防系统等。</w:t>
            </w:r>
          </w:p>
        </w:tc>
      </w:tr>
    </w:tbl>
    <w:p w14:paraId="6A357F68">
      <w:pPr>
        <w:pStyle w:val="5"/>
        <w:rPr>
          <w:rFonts w:hint="default" w:ascii="Times New Roman" w:hAnsi="Times New Roman" w:cs="Times New Roman"/>
        </w:rPr>
      </w:pPr>
      <w:r>
        <w:rPr>
          <w:rFonts w:hint="eastAsia" w:ascii="Times New Roman" w:hAnsi="Times New Roman" w:cs="Times New Roman"/>
          <w:lang w:val="en-US" w:eastAsia="zh-CN"/>
        </w:rPr>
        <w:t>地块一</w:t>
      </w:r>
    </w:p>
    <w:p w14:paraId="65BF78E9">
      <w:pPr>
        <w:pStyle w:val="6"/>
        <w:bidi w:val="0"/>
        <w:rPr>
          <w:rFonts w:hint="default"/>
        </w:rPr>
      </w:pPr>
      <w:r>
        <w:rPr>
          <w:rFonts w:hint="default"/>
        </w:rPr>
        <w:t>建构筑物区</w:t>
      </w:r>
    </w:p>
    <w:p w14:paraId="526780DE">
      <w:pPr>
        <w:adjustRightInd w:val="0"/>
        <w:snapToGrid w:val="0"/>
        <w:ind w:firstLine="480"/>
        <w:rPr>
          <w:rFonts w:hint="default" w:ascii="Times New Roman" w:hAnsi="Times New Roman" w:cs="Times New Roman"/>
        </w:rPr>
      </w:pPr>
      <w:r>
        <w:rPr>
          <w:rFonts w:hint="default" w:ascii="Times New Roman" w:hAnsi="Times New Roman" w:cs="Times New Roman"/>
        </w:rPr>
        <w:t>建构筑物区为本项目的核心区域，</w:t>
      </w:r>
      <w:r>
        <w:rPr>
          <w:rFonts w:hint="eastAsia" w:cs="Times New Roman"/>
          <w:lang w:val="en-US" w:eastAsia="zh-CN"/>
        </w:rPr>
        <w:t>地块一</w:t>
      </w:r>
      <w:r>
        <w:rPr>
          <w:rFonts w:hint="default" w:ascii="Times New Roman" w:hAnsi="Times New Roman" w:cs="Times New Roman"/>
        </w:rPr>
        <w:t>建构筑物区</w:t>
      </w:r>
      <w:r>
        <w:rPr>
          <w:rFonts w:hint="eastAsia" w:cs="Times New Roman"/>
          <w:lang w:val="en-US" w:eastAsia="zh-CN"/>
        </w:rPr>
        <w:t>包括</w:t>
      </w:r>
      <w:r>
        <w:rPr>
          <w:rFonts w:hint="eastAsia" w:cs="Times New Roman"/>
          <w:szCs w:val="21"/>
          <w:lang w:val="en-US" w:eastAsia="zh-CN"/>
        </w:rPr>
        <w:t>低温仓储车间、常温仓储车间，</w:t>
      </w:r>
      <w:r>
        <w:rPr>
          <w:rFonts w:hint="default" w:ascii="Times New Roman" w:hAnsi="Times New Roman" w:cs="Times New Roman"/>
        </w:rPr>
        <w:t>总建筑面积为</w:t>
      </w:r>
      <w:r>
        <w:rPr>
          <w:rFonts w:hint="eastAsia" w:cs="Times New Roman"/>
          <w:lang w:val="en-US" w:eastAsia="zh-CN"/>
        </w:rPr>
        <w:t>4390.98</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szCs w:val="21"/>
          <w:lang w:val="en-US" w:eastAsia="zh-CN"/>
        </w:rPr>
        <w:t>低温仓储车间为1层门式钢架结构，建筑高度为8.9m，</w:t>
      </w:r>
      <w:r>
        <w:rPr>
          <w:rFonts w:hint="default" w:ascii="Times New Roman" w:hAnsi="Times New Roman" w:cs="Times New Roman"/>
        </w:rPr>
        <w:t>占地面积为</w:t>
      </w:r>
      <w:r>
        <w:rPr>
          <w:rFonts w:hint="eastAsia" w:cs="Times New Roman"/>
          <w:lang w:val="en-US" w:eastAsia="zh-CN"/>
        </w:rPr>
        <w:t>1643.14</w:t>
      </w:r>
      <w:r>
        <w:rPr>
          <w:rFonts w:hint="default" w:ascii="Times New Roman" w:hAnsi="Times New Roman" w:cs="Times New Roman"/>
        </w:rPr>
        <w:t>m</w:t>
      </w:r>
      <w:r>
        <w:rPr>
          <w:rFonts w:hint="default" w:ascii="Times New Roman" w:hAnsi="Times New Roman" w:cs="Times New Roman"/>
          <w:vertAlign w:val="superscript"/>
        </w:rPr>
        <w:t>2</w:t>
      </w:r>
      <w:r>
        <w:rPr>
          <w:rFonts w:hint="eastAsia" w:cs="Times New Roman"/>
          <w:szCs w:val="21"/>
          <w:lang w:val="en-US" w:eastAsia="zh-CN"/>
        </w:rPr>
        <w:t>；常温仓储车间为2层混凝土框架结构，建筑高度为9.6m，</w:t>
      </w:r>
      <w:r>
        <w:rPr>
          <w:rFonts w:hint="default" w:ascii="Times New Roman" w:hAnsi="Times New Roman" w:cs="Times New Roman"/>
        </w:rPr>
        <w:t>占地面积为</w:t>
      </w:r>
      <w:r>
        <w:rPr>
          <w:rFonts w:hint="eastAsia" w:cs="Times New Roman"/>
          <w:lang w:val="en-US" w:eastAsia="zh-CN"/>
        </w:rPr>
        <w:t>1373.92</w:t>
      </w:r>
      <w:r>
        <w:rPr>
          <w:rFonts w:hint="default" w:ascii="Times New Roman" w:hAnsi="Times New Roman" w:cs="Times New Roman"/>
        </w:rPr>
        <w:t>m</w:t>
      </w:r>
      <w:r>
        <w:rPr>
          <w:rFonts w:hint="default" w:ascii="Times New Roman" w:hAnsi="Times New Roman" w:cs="Times New Roman"/>
          <w:vertAlign w:val="superscript"/>
        </w:rPr>
        <w:t>2</w:t>
      </w:r>
      <w:r>
        <w:rPr>
          <w:rFonts w:hint="eastAsia" w:cs="Times New Roman"/>
          <w:szCs w:val="21"/>
          <w:lang w:val="en-US" w:eastAsia="zh-CN"/>
        </w:rPr>
        <w:t>。</w:t>
      </w:r>
      <w:r>
        <w:rPr>
          <w:rFonts w:hint="eastAsia" w:cs="Times New Roman"/>
          <w:lang w:val="en-US" w:eastAsia="zh-CN"/>
        </w:rPr>
        <w:t>地块一</w:t>
      </w:r>
      <w:r>
        <w:rPr>
          <w:rFonts w:hint="default" w:ascii="Times New Roman" w:hAnsi="Times New Roman" w:cs="Times New Roman"/>
        </w:rPr>
        <w:t>无地下建构筑物。</w:t>
      </w:r>
    </w:p>
    <w:p w14:paraId="32827F5D">
      <w:pPr>
        <w:adjustRightInd w:val="0"/>
        <w:snapToGrid w:val="0"/>
        <w:ind w:firstLine="480"/>
        <w:rPr>
          <w:rFonts w:hint="eastAsia" w:cs="Times New Roman"/>
          <w:lang w:val="en-US" w:eastAsia="zh-CN"/>
        </w:rPr>
      </w:pPr>
      <w:r>
        <w:rPr>
          <w:rFonts w:hint="eastAsia" w:cs="Times New Roman"/>
          <w:lang w:val="en-US" w:eastAsia="zh-CN"/>
        </w:rPr>
        <w:t>综上所述，地块一建构筑物区总占地面积为0.30hm</w:t>
      </w:r>
      <w:r>
        <w:rPr>
          <w:rFonts w:hint="eastAsia" w:cs="Times New Roman"/>
          <w:vertAlign w:val="superscript"/>
          <w:lang w:val="en-US" w:eastAsia="zh-CN"/>
        </w:rPr>
        <w:t>2</w:t>
      </w:r>
      <w:r>
        <w:rPr>
          <w:rFonts w:hint="eastAsia" w:cs="Times New Roman"/>
          <w:lang w:val="en-US" w:eastAsia="zh-CN"/>
        </w:rPr>
        <w:t>。</w:t>
      </w:r>
    </w:p>
    <w:p w14:paraId="3BC1E501">
      <w:pPr>
        <w:pStyle w:val="83"/>
        <w:rPr>
          <w:rFonts w:hint="default" w:cs="Times New Roman"/>
          <w:lang w:val="en-US" w:eastAsia="zh-CN"/>
        </w:rPr>
      </w:pPr>
      <w:r>
        <w:rPr>
          <w:rFonts w:hint="eastAsia" w:cs="Times New Roman"/>
          <w:lang w:val="en-US" w:eastAsia="zh-CN"/>
        </w:rPr>
        <w:t>表2-3   地块一建构筑物特性一览表</w:t>
      </w:r>
    </w:p>
    <w:tbl>
      <w:tblPr>
        <w:tblStyle w:val="27"/>
        <w:tblW w:w="89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60"/>
        <w:gridCol w:w="689"/>
        <w:gridCol w:w="915"/>
        <w:gridCol w:w="1659"/>
        <w:gridCol w:w="1659"/>
        <w:gridCol w:w="460"/>
        <w:gridCol w:w="1544"/>
        <w:gridCol w:w="1596"/>
      </w:tblGrid>
      <w:tr w14:paraId="16F7E6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60" w:type="dxa"/>
            <w:tcBorders>
              <w:tl2br w:val="nil"/>
              <w:tr2bl w:val="nil"/>
            </w:tcBorders>
            <w:shd w:val="clear" w:color="auto" w:fill="auto"/>
            <w:vAlign w:val="center"/>
          </w:tcPr>
          <w:p w14:paraId="79E14DBB">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序号</w:t>
            </w:r>
          </w:p>
        </w:tc>
        <w:tc>
          <w:tcPr>
            <w:tcW w:w="689" w:type="dxa"/>
            <w:tcBorders>
              <w:tl2br w:val="nil"/>
              <w:tr2bl w:val="nil"/>
            </w:tcBorders>
            <w:shd w:val="clear" w:color="auto" w:fill="auto"/>
            <w:noWrap/>
            <w:vAlign w:val="center"/>
          </w:tcPr>
          <w:p w14:paraId="05196DB1">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地块</w:t>
            </w:r>
          </w:p>
        </w:tc>
        <w:tc>
          <w:tcPr>
            <w:tcW w:w="915" w:type="dxa"/>
            <w:tcBorders>
              <w:tl2br w:val="nil"/>
              <w:tr2bl w:val="nil"/>
            </w:tcBorders>
            <w:shd w:val="clear" w:color="auto" w:fill="auto"/>
            <w:vAlign w:val="center"/>
          </w:tcPr>
          <w:p w14:paraId="1E785472">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建筑名称</w:t>
            </w:r>
          </w:p>
        </w:tc>
        <w:tc>
          <w:tcPr>
            <w:tcW w:w="1659" w:type="dxa"/>
            <w:tcBorders>
              <w:tl2br w:val="nil"/>
              <w:tr2bl w:val="nil"/>
            </w:tcBorders>
            <w:shd w:val="clear" w:color="auto" w:fill="auto"/>
            <w:vAlign w:val="center"/>
          </w:tcPr>
          <w:p w14:paraId="7E1E6412">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占地面积（m</w:t>
            </w:r>
            <w:r>
              <w:rPr>
                <w:rStyle w:val="97"/>
                <w:rFonts w:hint="eastAsia" w:ascii="Times New Roman" w:hAnsi="Times New Roman" w:cs="Times New Roman"/>
                <w:color w:val="auto"/>
                <w:sz w:val="21"/>
                <w:szCs w:val="21"/>
                <w:vertAlign w:val="superscript"/>
                <w:lang w:val="en-US" w:eastAsia="zh-CN" w:bidi="ar"/>
              </w:rPr>
              <w:t>2</w:t>
            </w:r>
            <w:r>
              <w:rPr>
                <w:rStyle w:val="97"/>
                <w:rFonts w:hint="eastAsia" w:ascii="Times New Roman" w:hAnsi="Times New Roman" w:cs="Times New Roman"/>
                <w:color w:val="auto"/>
                <w:sz w:val="21"/>
                <w:szCs w:val="21"/>
                <w:lang w:val="en-US" w:eastAsia="zh-CN" w:bidi="ar"/>
              </w:rPr>
              <w:t>）</w:t>
            </w:r>
          </w:p>
        </w:tc>
        <w:tc>
          <w:tcPr>
            <w:tcW w:w="1659" w:type="dxa"/>
            <w:tcBorders>
              <w:tl2br w:val="nil"/>
              <w:tr2bl w:val="nil"/>
            </w:tcBorders>
            <w:shd w:val="clear" w:color="auto" w:fill="auto"/>
            <w:vAlign w:val="center"/>
          </w:tcPr>
          <w:p w14:paraId="7E02FD92">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建筑面积（m</w:t>
            </w:r>
            <w:r>
              <w:rPr>
                <w:rStyle w:val="97"/>
                <w:rFonts w:hint="eastAsia" w:ascii="Times New Roman" w:hAnsi="Times New Roman" w:cs="Times New Roman"/>
                <w:color w:val="auto"/>
                <w:sz w:val="21"/>
                <w:szCs w:val="21"/>
                <w:vertAlign w:val="superscript"/>
                <w:lang w:val="en-US" w:eastAsia="zh-CN" w:bidi="ar"/>
              </w:rPr>
              <w:t>2</w:t>
            </w:r>
            <w:r>
              <w:rPr>
                <w:rStyle w:val="97"/>
                <w:rFonts w:hint="eastAsia" w:ascii="Times New Roman" w:hAnsi="Times New Roman" w:cs="Times New Roman"/>
                <w:color w:val="auto"/>
                <w:sz w:val="21"/>
                <w:szCs w:val="21"/>
                <w:lang w:val="en-US" w:eastAsia="zh-CN" w:bidi="ar"/>
              </w:rPr>
              <w:t>）</w:t>
            </w:r>
          </w:p>
        </w:tc>
        <w:tc>
          <w:tcPr>
            <w:tcW w:w="460" w:type="dxa"/>
            <w:tcBorders>
              <w:tl2br w:val="nil"/>
              <w:tr2bl w:val="nil"/>
            </w:tcBorders>
            <w:shd w:val="clear" w:color="auto" w:fill="auto"/>
            <w:vAlign w:val="center"/>
          </w:tcPr>
          <w:p w14:paraId="328D4E99">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层数</w:t>
            </w:r>
          </w:p>
        </w:tc>
        <w:tc>
          <w:tcPr>
            <w:tcW w:w="1544" w:type="dxa"/>
            <w:tcBorders>
              <w:tl2br w:val="nil"/>
              <w:tr2bl w:val="nil"/>
            </w:tcBorders>
            <w:shd w:val="clear" w:color="auto" w:fill="auto"/>
            <w:vAlign w:val="center"/>
          </w:tcPr>
          <w:p w14:paraId="4210D9BE">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建筑高度（m）</w:t>
            </w:r>
          </w:p>
        </w:tc>
        <w:tc>
          <w:tcPr>
            <w:tcW w:w="1596" w:type="dxa"/>
            <w:tcBorders>
              <w:tl2br w:val="nil"/>
              <w:tr2bl w:val="nil"/>
            </w:tcBorders>
            <w:shd w:val="clear" w:color="auto" w:fill="auto"/>
            <w:vAlign w:val="center"/>
          </w:tcPr>
          <w:p w14:paraId="708C5444">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结构形式</w:t>
            </w:r>
          </w:p>
        </w:tc>
      </w:tr>
      <w:tr w14:paraId="07210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60" w:type="dxa"/>
            <w:tcBorders>
              <w:tl2br w:val="nil"/>
              <w:tr2bl w:val="nil"/>
            </w:tcBorders>
            <w:shd w:val="clear" w:color="auto" w:fill="auto"/>
            <w:vAlign w:val="center"/>
          </w:tcPr>
          <w:p w14:paraId="5C1D4BCB">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1</w:t>
            </w:r>
          </w:p>
        </w:tc>
        <w:tc>
          <w:tcPr>
            <w:tcW w:w="689" w:type="dxa"/>
            <w:vMerge w:val="restart"/>
            <w:tcBorders>
              <w:tl2br w:val="nil"/>
              <w:tr2bl w:val="nil"/>
            </w:tcBorders>
            <w:shd w:val="clear" w:color="auto" w:fill="auto"/>
            <w:noWrap/>
            <w:vAlign w:val="center"/>
          </w:tcPr>
          <w:p w14:paraId="0F5EE834">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地块一</w:t>
            </w:r>
          </w:p>
        </w:tc>
        <w:tc>
          <w:tcPr>
            <w:tcW w:w="915" w:type="dxa"/>
            <w:tcBorders>
              <w:tl2br w:val="nil"/>
              <w:tr2bl w:val="nil"/>
            </w:tcBorders>
            <w:shd w:val="clear" w:color="auto" w:fill="auto"/>
            <w:vAlign w:val="center"/>
          </w:tcPr>
          <w:p w14:paraId="3D75642C">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低温仓储</w:t>
            </w:r>
          </w:p>
        </w:tc>
        <w:tc>
          <w:tcPr>
            <w:tcW w:w="1659" w:type="dxa"/>
            <w:tcBorders>
              <w:tl2br w:val="nil"/>
              <w:tr2bl w:val="nil"/>
            </w:tcBorders>
            <w:shd w:val="clear" w:color="auto" w:fill="auto"/>
            <w:vAlign w:val="center"/>
          </w:tcPr>
          <w:p w14:paraId="18CAFADC">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1643.14</w:t>
            </w:r>
          </w:p>
        </w:tc>
        <w:tc>
          <w:tcPr>
            <w:tcW w:w="1659" w:type="dxa"/>
            <w:tcBorders>
              <w:tl2br w:val="nil"/>
              <w:tr2bl w:val="nil"/>
            </w:tcBorders>
            <w:shd w:val="clear" w:color="auto" w:fill="auto"/>
            <w:vAlign w:val="center"/>
          </w:tcPr>
          <w:p w14:paraId="4F62CA1D">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default" w:ascii="Times New Roman" w:hAnsi="Times New Roman" w:cs="Times New Roman"/>
                <w:color w:val="auto"/>
                <w:sz w:val="21"/>
                <w:szCs w:val="21"/>
                <w:lang w:val="en-US" w:eastAsia="zh-CN" w:bidi="ar"/>
              </w:rPr>
              <w:t>1643.14</w:t>
            </w:r>
          </w:p>
        </w:tc>
        <w:tc>
          <w:tcPr>
            <w:tcW w:w="460" w:type="dxa"/>
            <w:tcBorders>
              <w:tl2br w:val="nil"/>
              <w:tr2bl w:val="nil"/>
            </w:tcBorders>
            <w:shd w:val="clear" w:color="auto" w:fill="auto"/>
            <w:vAlign w:val="center"/>
          </w:tcPr>
          <w:p w14:paraId="0F43C44B">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1</w:t>
            </w:r>
          </w:p>
        </w:tc>
        <w:tc>
          <w:tcPr>
            <w:tcW w:w="1544" w:type="dxa"/>
            <w:tcBorders>
              <w:tl2br w:val="nil"/>
              <w:tr2bl w:val="nil"/>
            </w:tcBorders>
            <w:shd w:val="clear" w:color="auto" w:fill="auto"/>
            <w:vAlign w:val="center"/>
          </w:tcPr>
          <w:p w14:paraId="68F2A4AF">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8.9</w:t>
            </w:r>
          </w:p>
        </w:tc>
        <w:tc>
          <w:tcPr>
            <w:tcW w:w="1596" w:type="dxa"/>
            <w:tcBorders>
              <w:tl2br w:val="nil"/>
              <w:tr2bl w:val="nil"/>
            </w:tcBorders>
            <w:shd w:val="clear" w:color="auto" w:fill="auto"/>
            <w:vAlign w:val="center"/>
          </w:tcPr>
          <w:p w14:paraId="0B5A250C">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门式钢架结构</w:t>
            </w:r>
          </w:p>
        </w:tc>
      </w:tr>
      <w:tr w14:paraId="37B889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60" w:type="dxa"/>
            <w:tcBorders>
              <w:tl2br w:val="nil"/>
              <w:tr2bl w:val="nil"/>
            </w:tcBorders>
            <w:shd w:val="clear" w:color="auto" w:fill="auto"/>
            <w:vAlign w:val="center"/>
          </w:tcPr>
          <w:p w14:paraId="4EBFB619">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2</w:t>
            </w:r>
          </w:p>
        </w:tc>
        <w:tc>
          <w:tcPr>
            <w:tcW w:w="689" w:type="dxa"/>
            <w:vMerge w:val="continue"/>
            <w:tcBorders>
              <w:tl2br w:val="nil"/>
              <w:tr2bl w:val="nil"/>
            </w:tcBorders>
            <w:shd w:val="clear" w:color="auto" w:fill="auto"/>
            <w:noWrap/>
            <w:vAlign w:val="center"/>
          </w:tcPr>
          <w:p w14:paraId="1AABFA3A">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p>
        </w:tc>
        <w:tc>
          <w:tcPr>
            <w:tcW w:w="915" w:type="dxa"/>
            <w:tcBorders>
              <w:tl2br w:val="nil"/>
              <w:tr2bl w:val="nil"/>
            </w:tcBorders>
            <w:shd w:val="clear" w:color="auto" w:fill="auto"/>
            <w:vAlign w:val="center"/>
          </w:tcPr>
          <w:p w14:paraId="0401EE9C">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常温仓储</w:t>
            </w:r>
          </w:p>
        </w:tc>
        <w:tc>
          <w:tcPr>
            <w:tcW w:w="1659" w:type="dxa"/>
            <w:tcBorders>
              <w:tl2br w:val="nil"/>
              <w:tr2bl w:val="nil"/>
            </w:tcBorders>
            <w:shd w:val="clear" w:color="auto" w:fill="auto"/>
            <w:vAlign w:val="center"/>
          </w:tcPr>
          <w:p w14:paraId="62B77194">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1373.92</w:t>
            </w:r>
          </w:p>
        </w:tc>
        <w:tc>
          <w:tcPr>
            <w:tcW w:w="1659" w:type="dxa"/>
            <w:tcBorders>
              <w:tl2br w:val="nil"/>
              <w:tr2bl w:val="nil"/>
            </w:tcBorders>
            <w:shd w:val="clear" w:color="auto" w:fill="auto"/>
            <w:vAlign w:val="center"/>
          </w:tcPr>
          <w:p w14:paraId="7B74930D">
            <w:pPr>
              <w:spacing w:line="240" w:lineRule="auto"/>
              <w:ind w:firstLine="0" w:firstLineChars="0"/>
              <w:jc w:val="center"/>
              <w:textAlignment w:val="center"/>
              <w:rPr>
                <w:rStyle w:val="97"/>
                <w:rFonts w:hint="default" w:ascii="Times New Roman" w:hAnsi="Times New Roman" w:cs="Times New Roman"/>
                <w:color w:val="auto"/>
                <w:sz w:val="21"/>
                <w:szCs w:val="21"/>
                <w:lang w:bidi="ar"/>
              </w:rPr>
            </w:pPr>
            <w:r>
              <w:rPr>
                <w:rStyle w:val="97"/>
                <w:rFonts w:hint="default" w:ascii="Times New Roman" w:hAnsi="Times New Roman" w:cs="Times New Roman"/>
                <w:color w:val="auto"/>
                <w:sz w:val="21"/>
                <w:szCs w:val="21"/>
                <w:lang w:val="en-US" w:eastAsia="zh-CN" w:bidi="ar"/>
              </w:rPr>
              <w:t>2747.84</w:t>
            </w:r>
          </w:p>
        </w:tc>
        <w:tc>
          <w:tcPr>
            <w:tcW w:w="460" w:type="dxa"/>
            <w:tcBorders>
              <w:tl2br w:val="nil"/>
              <w:tr2bl w:val="nil"/>
            </w:tcBorders>
            <w:shd w:val="clear" w:color="auto" w:fill="auto"/>
            <w:vAlign w:val="center"/>
          </w:tcPr>
          <w:p w14:paraId="4205AE94">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2</w:t>
            </w:r>
          </w:p>
        </w:tc>
        <w:tc>
          <w:tcPr>
            <w:tcW w:w="1544" w:type="dxa"/>
            <w:tcBorders>
              <w:tl2br w:val="nil"/>
              <w:tr2bl w:val="nil"/>
            </w:tcBorders>
            <w:shd w:val="clear" w:color="auto" w:fill="auto"/>
            <w:vAlign w:val="center"/>
          </w:tcPr>
          <w:p w14:paraId="34EBD83E">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9.6</w:t>
            </w:r>
          </w:p>
        </w:tc>
        <w:tc>
          <w:tcPr>
            <w:tcW w:w="1596" w:type="dxa"/>
            <w:tcBorders>
              <w:tl2br w:val="nil"/>
              <w:tr2bl w:val="nil"/>
            </w:tcBorders>
            <w:shd w:val="clear" w:color="auto" w:fill="auto"/>
            <w:vAlign w:val="center"/>
          </w:tcPr>
          <w:p w14:paraId="11348519">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混凝土框架结构</w:t>
            </w:r>
          </w:p>
        </w:tc>
      </w:tr>
      <w:tr w14:paraId="3F27D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60" w:type="dxa"/>
            <w:tcBorders>
              <w:tl2br w:val="nil"/>
              <w:tr2bl w:val="nil"/>
            </w:tcBorders>
            <w:shd w:val="clear" w:color="auto" w:fill="auto"/>
            <w:vAlign w:val="center"/>
          </w:tcPr>
          <w:p w14:paraId="5070587C">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p>
        </w:tc>
        <w:tc>
          <w:tcPr>
            <w:tcW w:w="689" w:type="dxa"/>
            <w:vMerge w:val="continue"/>
            <w:tcBorders>
              <w:tl2br w:val="nil"/>
              <w:tr2bl w:val="nil"/>
            </w:tcBorders>
            <w:shd w:val="clear" w:color="auto" w:fill="auto"/>
            <w:noWrap/>
            <w:vAlign w:val="center"/>
          </w:tcPr>
          <w:p w14:paraId="1E6AF1C9">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p>
        </w:tc>
        <w:tc>
          <w:tcPr>
            <w:tcW w:w="915" w:type="dxa"/>
            <w:tcBorders>
              <w:tl2br w:val="nil"/>
              <w:tr2bl w:val="nil"/>
            </w:tcBorders>
            <w:shd w:val="clear" w:color="auto" w:fill="auto"/>
            <w:vAlign w:val="center"/>
          </w:tcPr>
          <w:p w14:paraId="1D23F0E6">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小计</w:t>
            </w:r>
          </w:p>
        </w:tc>
        <w:tc>
          <w:tcPr>
            <w:tcW w:w="1659" w:type="dxa"/>
            <w:tcBorders>
              <w:tl2br w:val="nil"/>
              <w:tr2bl w:val="nil"/>
            </w:tcBorders>
            <w:shd w:val="clear" w:color="auto" w:fill="auto"/>
            <w:vAlign w:val="center"/>
          </w:tcPr>
          <w:p w14:paraId="3AB94AE9">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3017.06</w:t>
            </w:r>
          </w:p>
        </w:tc>
        <w:tc>
          <w:tcPr>
            <w:tcW w:w="1659" w:type="dxa"/>
            <w:tcBorders>
              <w:tl2br w:val="nil"/>
              <w:tr2bl w:val="nil"/>
            </w:tcBorders>
            <w:shd w:val="clear" w:color="auto" w:fill="auto"/>
            <w:vAlign w:val="center"/>
          </w:tcPr>
          <w:p w14:paraId="0C6BEB0E">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r>
              <w:rPr>
                <w:rStyle w:val="97"/>
                <w:rFonts w:hint="eastAsia" w:ascii="Times New Roman" w:hAnsi="Times New Roman" w:cs="Times New Roman"/>
                <w:color w:val="auto"/>
                <w:sz w:val="21"/>
                <w:szCs w:val="21"/>
                <w:lang w:val="en-US" w:eastAsia="zh-CN" w:bidi="ar"/>
              </w:rPr>
              <w:t>4390.98</w:t>
            </w:r>
          </w:p>
        </w:tc>
        <w:tc>
          <w:tcPr>
            <w:tcW w:w="460" w:type="dxa"/>
            <w:tcBorders>
              <w:tl2br w:val="nil"/>
              <w:tr2bl w:val="nil"/>
            </w:tcBorders>
            <w:shd w:val="clear" w:color="auto" w:fill="auto"/>
            <w:vAlign w:val="center"/>
          </w:tcPr>
          <w:p w14:paraId="07017A34">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p>
        </w:tc>
        <w:tc>
          <w:tcPr>
            <w:tcW w:w="1544" w:type="dxa"/>
            <w:tcBorders>
              <w:tl2br w:val="nil"/>
              <w:tr2bl w:val="nil"/>
            </w:tcBorders>
            <w:shd w:val="clear" w:color="auto" w:fill="auto"/>
            <w:vAlign w:val="center"/>
          </w:tcPr>
          <w:p w14:paraId="4F1B3652">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p>
        </w:tc>
        <w:tc>
          <w:tcPr>
            <w:tcW w:w="1596" w:type="dxa"/>
            <w:tcBorders>
              <w:tl2br w:val="nil"/>
              <w:tr2bl w:val="nil"/>
            </w:tcBorders>
            <w:shd w:val="clear" w:color="auto" w:fill="auto"/>
            <w:vAlign w:val="center"/>
          </w:tcPr>
          <w:p w14:paraId="0DCF4944">
            <w:pPr>
              <w:spacing w:line="240" w:lineRule="auto"/>
              <w:ind w:firstLine="0" w:firstLineChars="0"/>
              <w:jc w:val="center"/>
              <w:textAlignment w:val="center"/>
              <w:rPr>
                <w:rStyle w:val="97"/>
                <w:rFonts w:hint="eastAsia" w:ascii="Times New Roman" w:hAnsi="Times New Roman" w:cs="Times New Roman"/>
                <w:color w:val="auto"/>
                <w:sz w:val="21"/>
                <w:szCs w:val="21"/>
                <w:lang w:bidi="ar"/>
              </w:rPr>
            </w:pPr>
          </w:p>
        </w:tc>
      </w:tr>
    </w:tbl>
    <w:p w14:paraId="7833E00C">
      <w:pPr>
        <w:pStyle w:val="6"/>
        <w:bidi w:val="0"/>
        <w:rPr>
          <w:rFonts w:hint="default"/>
        </w:rPr>
      </w:pPr>
      <w:r>
        <w:rPr>
          <w:rFonts w:hint="eastAsia"/>
          <w:lang w:eastAsia="zh-CN"/>
        </w:rPr>
        <w:t>道路及硬化区</w:t>
      </w:r>
    </w:p>
    <w:p w14:paraId="1376499E">
      <w:pPr>
        <w:pStyle w:val="93"/>
        <w:rPr>
          <w:rFonts w:hint="default" w:ascii="Times New Roman" w:hAnsi="Times New Roman" w:cs="Times New Roman"/>
          <w:lang w:val="zh-CN"/>
        </w:rPr>
      </w:pPr>
      <w:r>
        <w:rPr>
          <w:rFonts w:hint="default" w:ascii="Times New Roman" w:hAnsi="Times New Roman" w:cs="Times New Roman"/>
          <w:lang w:val="zh-CN"/>
        </w:rPr>
        <w:t>1、</w:t>
      </w:r>
      <w:r>
        <w:rPr>
          <w:rFonts w:hint="eastAsia" w:cs="Times New Roman"/>
          <w:lang w:val="en-US" w:eastAsia="zh-CN"/>
        </w:rPr>
        <w:t>道路及</w:t>
      </w:r>
      <w:r>
        <w:rPr>
          <w:rFonts w:hint="default" w:ascii="Times New Roman" w:hAnsi="Times New Roman" w:cs="Times New Roman"/>
          <w:lang w:val="zh-CN"/>
        </w:rPr>
        <w:t>硬化场地</w:t>
      </w:r>
    </w:p>
    <w:p w14:paraId="4F2733AD">
      <w:pPr>
        <w:pStyle w:val="93"/>
        <w:rPr>
          <w:rFonts w:hint="default" w:ascii="Times New Roman" w:hAnsi="Times New Roman" w:cs="Times New Roman"/>
          <w:lang w:val="zh-CN"/>
        </w:rPr>
      </w:pPr>
      <w:r>
        <w:rPr>
          <w:rFonts w:hint="default" w:ascii="Times New Roman" w:hAnsi="Times New Roman" w:cs="Times New Roman"/>
          <w:lang w:val="zh-CN"/>
        </w:rPr>
        <w:t>根据主体设计资料，针对</w:t>
      </w:r>
      <w:r>
        <w:rPr>
          <w:rFonts w:hint="eastAsia" w:cs="Times New Roman"/>
          <w:lang w:val="en-US" w:eastAsia="zh-CN"/>
        </w:rPr>
        <w:t>地块一在北侧布设场内道路衔接车间及周边已有市政道路，紧邻低温仓储车间及装卸场地，</w:t>
      </w:r>
      <w:r>
        <w:rPr>
          <w:rFonts w:hint="eastAsia"/>
          <w:color w:val="auto"/>
          <w:lang w:val="en-US" w:eastAsia="zh-CN"/>
        </w:rPr>
        <w:t>路面为混凝土硬化路面，道路宽为6m，</w:t>
      </w:r>
      <w:r>
        <w:rPr>
          <w:color w:val="auto"/>
        </w:rPr>
        <w:t>设计时速20km/h，</w:t>
      </w:r>
      <w:r>
        <w:rPr>
          <w:color w:val="auto"/>
          <w:lang w:val="en-US" w:eastAsia="zh-CN"/>
        </w:rPr>
        <w:t>共计布设场内道路</w:t>
      </w:r>
      <w:r>
        <w:rPr>
          <w:rFonts w:hint="eastAsia"/>
          <w:color w:val="auto"/>
          <w:lang w:val="en-US" w:eastAsia="zh-CN"/>
        </w:rPr>
        <w:t>178</w:t>
      </w:r>
      <w:r>
        <w:rPr>
          <w:color w:val="auto"/>
          <w:lang w:val="en-US" w:eastAsia="zh-CN"/>
        </w:rPr>
        <w:t>m</w:t>
      </w:r>
      <w:r>
        <w:rPr>
          <w:rFonts w:hint="eastAsia"/>
          <w:color w:val="auto"/>
          <w:lang w:val="en-US" w:eastAsia="zh-CN"/>
        </w:rPr>
        <w:t>。硬化场地</w:t>
      </w:r>
      <w:r>
        <w:rPr>
          <w:color w:val="auto"/>
          <w:lang w:val="en-US" w:eastAsia="zh-CN"/>
        </w:rPr>
        <w:t>主要布设于</w:t>
      </w:r>
      <w:r>
        <w:rPr>
          <w:rFonts w:hint="eastAsia"/>
          <w:color w:val="auto"/>
          <w:lang w:val="en-US" w:eastAsia="zh-CN"/>
        </w:rPr>
        <w:t>建构筑物周边区域，低温仓储车间东侧布设8个装卸停车位，停车位为硬化场地。道路及硬化场地共计0.21hm</w:t>
      </w:r>
      <w:r>
        <w:rPr>
          <w:rFonts w:hint="eastAsia"/>
          <w:color w:val="auto"/>
          <w:vertAlign w:val="superscript"/>
          <w:lang w:val="en-US" w:eastAsia="zh-CN"/>
        </w:rPr>
        <w:t>2</w:t>
      </w:r>
      <w:r>
        <w:rPr>
          <w:rFonts w:hint="eastAsia"/>
          <w:color w:val="auto"/>
          <w:lang w:val="en-US" w:eastAsia="zh-CN"/>
        </w:rPr>
        <w:t>。</w:t>
      </w:r>
    </w:p>
    <w:p w14:paraId="702C55F4">
      <w:pPr>
        <w:pStyle w:val="93"/>
        <w:rPr>
          <w:rFonts w:hint="default" w:ascii="Times New Roman" w:hAnsi="Times New Roman" w:cs="Times New Roman"/>
          <w:lang w:val="zh-CN"/>
        </w:rPr>
      </w:pPr>
      <w:r>
        <w:rPr>
          <w:rFonts w:hint="default" w:ascii="Times New Roman" w:hAnsi="Times New Roman" w:cs="Times New Roman"/>
          <w:lang w:val="zh-CN"/>
        </w:rPr>
        <w:t>2、出入口</w:t>
      </w:r>
    </w:p>
    <w:p w14:paraId="42378051">
      <w:pPr>
        <w:pStyle w:val="93"/>
        <w:rPr>
          <w:rFonts w:hint="default" w:ascii="Times New Roman" w:hAnsi="Times New Roman" w:eastAsia="仿宋_GB2312" w:cs="Times New Roman"/>
          <w:lang w:val="en-US" w:eastAsia="zh-CN"/>
        </w:rPr>
      </w:pPr>
      <w:r>
        <w:rPr>
          <w:rFonts w:hint="eastAsia" w:cs="Times New Roman"/>
          <w:lang w:val="en-US" w:eastAsia="zh-CN"/>
        </w:rPr>
        <w:t>地块一</w:t>
      </w:r>
      <w:r>
        <w:rPr>
          <w:rFonts w:hint="default" w:ascii="Times New Roman" w:hAnsi="Times New Roman" w:cs="Times New Roman"/>
          <w:lang w:val="zh-CN"/>
        </w:rPr>
        <w:t>共设置个出入口2处，位于项目区</w:t>
      </w:r>
      <w:r>
        <w:rPr>
          <w:rFonts w:hint="default" w:ascii="Times New Roman" w:hAnsi="Times New Roman" w:cs="Times New Roman"/>
        </w:rPr>
        <w:t>西</w:t>
      </w:r>
      <w:r>
        <w:rPr>
          <w:rFonts w:hint="eastAsia" w:cs="Times New Roman"/>
          <w:lang w:val="en-US" w:eastAsia="zh-CN"/>
        </w:rPr>
        <w:t>北</w:t>
      </w:r>
      <w:r>
        <w:rPr>
          <w:rFonts w:hint="default" w:ascii="Times New Roman" w:hAnsi="Times New Roman" w:cs="Times New Roman"/>
        </w:rPr>
        <w:t>侧</w:t>
      </w:r>
      <w:r>
        <w:rPr>
          <w:rFonts w:hint="eastAsia" w:cs="Times New Roman"/>
          <w:lang w:val="en-US" w:eastAsia="zh-CN"/>
        </w:rPr>
        <w:t>和东南侧</w:t>
      </w:r>
      <w:r>
        <w:rPr>
          <w:rFonts w:hint="eastAsia" w:cs="Times New Roman"/>
          <w:lang w:eastAsia="zh-CN"/>
        </w:rPr>
        <w:t>，</w:t>
      </w:r>
      <w:r>
        <w:rPr>
          <w:rFonts w:hint="eastAsia" w:cs="Times New Roman"/>
          <w:lang w:val="en-US" w:eastAsia="zh-CN"/>
        </w:rPr>
        <w:t>西侧连接现有市政道路（两个地块中间道路），东南侧连接鸡鸣山大道。</w:t>
      </w:r>
    </w:p>
    <w:p w14:paraId="72EB23E8">
      <w:pPr>
        <w:pStyle w:val="93"/>
        <w:rPr>
          <w:rFonts w:hint="default" w:ascii="Times New Roman" w:hAnsi="Times New Roman" w:cs="Times New Roman"/>
          <w:lang w:val="zh-CN"/>
        </w:rPr>
      </w:pPr>
      <w:r>
        <w:rPr>
          <w:rFonts w:hint="default" w:ascii="Times New Roman" w:hAnsi="Times New Roman" w:cs="Times New Roman"/>
          <w:lang w:val="zh-CN"/>
        </w:rPr>
        <w:t>根据主体设计资料统计，</w:t>
      </w:r>
      <w:r>
        <w:rPr>
          <w:rFonts w:hint="eastAsia" w:cs="Times New Roman"/>
          <w:lang w:eastAsia="zh-CN"/>
        </w:rPr>
        <w:t>待补镇安康安置点帮扶车间建设项目</w:t>
      </w:r>
      <w:r>
        <w:rPr>
          <w:rFonts w:hint="eastAsia" w:cs="Times New Roman"/>
          <w:lang w:val="en-US" w:eastAsia="zh-CN"/>
        </w:rPr>
        <w:t>地块一</w:t>
      </w:r>
      <w:r>
        <w:rPr>
          <w:rFonts w:hint="eastAsia" w:cs="Times New Roman"/>
          <w:lang w:val="zh-CN"/>
        </w:rPr>
        <w:t>道路及硬化区</w:t>
      </w:r>
      <w:r>
        <w:rPr>
          <w:rFonts w:hint="default" w:ascii="Times New Roman" w:hAnsi="Times New Roman" w:cs="Times New Roman"/>
        </w:rPr>
        <w:t>总</w:t>
      </w:r>
      <w:r>
        <w:rPr>
          <w:rFonts w:hint="default" w:ascii="Times New Roman" w:hAnsi="Times New Roman" w:cs="Times New Roman"/>
          <w:lang w:val="zh-CN"/>
        </w:rPr>
        <w:t>占地面积为0.</w:t>
      </w:r>
      <w:r>
        <w:rPr>
          <w:rFonts w:hint="eastAsia" w:cs="Times New Roman"/>
          <w:lang w:val="en-US" w:eastAsia="zh-CN"/>
        </w:rPr>
        <w:t>21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p>
    <w:p w14:paraId="41F6FD9F">
      <w:pPr>
        <w:pStyle w:val="6"/>
        <w:bidi w:val="0"/>
        <w:ind w:left="0" w:firstLine="0"/>
        <w:rPr>
          <w:rFonts w:hint="default" w:ascii="Times New Roman" w:hAnsi="Times New Roman" w:cs="Times New Roman"/>
        </w:rPr>
      </w:pPr>
      <w:r>
        <w:rPr>
          <w:rFonts w:hint="default" w:ascii="Times New Roman" w:hAnsi="Times New Roman" w:cs="Times New Roman"/>
        </w:rPr>
        <w:t>绿化区</w:t>
      </w:r>
    </w:p>
    <w:p w14:paraId="04AEDBE7">
      <w:pPr>
        <w:ind w:firstLine="480"/>
        <w:rPr>
          <w:rFonts w:hint="default" w:ascii="Times New Roman" w:hAnsi="Times New Roman" w:cs="Times New Roman"/>
          <w:lang w:val="zh-CN"/>
        </w:rPr>
      </w:pPr>
      <w:r>
        <w:rPr>
          <w:rFonts w:hint="default" w:ascii="Times New Roman" w:hAnsi="Times New Roman" w:cs="Times New Roman"/>
          <w:lang w:val="zh-CN"/>
        </w:rPr>
        <w:t>本项目景观绿化主要布置于建筑物、场地周边，</w:t>
      </w:r>
      <w:r>
        <w:rPr>
          <w:rFonts w:hint="eastAsia" w:cs="Times New Roman"/>
          <w:lang w:val="en-US" w:eastAsia="zh-CN"/>
        </w:rPr>
        <w:t>地块一绿化区域北侧、西侧及东侧</w:t>
      </w:r>
      <w:r>
        <w:rPr>
          <w:rFonts w:hint="default" w:ascii="Times New Roman" w:hAnsi="Times New Roman" w:cs="Times New Roman"/>
          <w:lang w:val="zh-CN"/>
        </w:rPr>
        <w:t>区域，</w:t>
      </w:r>
      <w:r>
        <w:rPr>
          <w:rFonts w:hint="default" w:ascii="Times New Roman" w:hAnsi="Times New Roman" w:cs="Times New Roman"/>
          <w:color w:val="000000"/>
        </w:rPr>
        <w:t>通过布置乔木、灌木、草皮的选择与配置，做到与适定的形式</w:t>
      </w:r>
      <w:r>
        <w:rPr>
          <w:rStyle w:val="92"/>
          <w:rFonts w:hint="default" w:ascii="Times New Roman" w:hAnsi="Times New Roman" w:cs="Times New Roman"/>
        </w:rPr>
        <w:t>——</w:t>
      </w:r>
      <w:r>
        <w:rPr>
          <w:rFonts w:hint="default" w:ascii="Times New Roman" w:hAnsi="Times New Roman" w:cs="Times New Roman"/>
          <w:color w:val="000000"/>
        </w:rPr>
        <w:t>点、线、面的有机结合，丰富了空间对景的变化。最终使绿化景观与周边不同区域的功能与空间要求密切配合，从而达到一种最佳的生态景观效果。</w:t>
      </w:r>
      <w:r>
        <w:rPr>
          <w:rFonts w:hint="default" w:ascii="Times New Roman" w:hAnsi="Times New Roman" w:cs="Times New Roman"/>
          <w:lang w:val="zh-CN"/>
        </w:rPr>
        <w:t>绿化面积为</w:t>
      </w:r>
      <w:r>
        <w:rPr>
          <w:rFonts w:hint="default" w:ascii="Times New Roman" w:hAnsi="Times New Roman" w:cs="Times New Roman"/>
        </w:rPr>
        <w:t>0.0</w:t>
      </w:r>
      <w:r>
        <w:rPr>
          <w:rFonts w:hint="eastAsia" w:cs="Times New Roman"/>
          <w:lang w:val="en-US" w:eastAsia="zh-CN"/>
        </w:rPr>
        <w:t>9</w:t>
      </w:r>
      <w:r>
        <w:rPr>
          <w:rFonts w:hint="default" w:ascii="Times New Roman" w:hAnsi="Times New Roman" w:cs="Times New Roman"/>
          <w:lang w:val="zh-CN"/>
        </w:rPr>
        <w:t>hm</w:t>
      </w:r>
      <w:r>
        <w:rPr>
          <w:rFonts w:hint="default" w:ascii="Times New Roman" w:hAnsi="Times New Roman" w:cs="Times New Roman"/>
          <w:vertAlign w:val="superscript"/>
        </w:rPr>
        <w:t>2</w:t>
      </w:r>
      <w:r>
        <w:rPr>
          <w:rFonts w:hint="default" w:ascii="Times New Roman" w:hAnsi="Times New Roman" w:cs="Times New Roman"/>
          <w:lang w:val="zh-CN"/>
        </w:rPr>
        <w:t>。</w:t>
      </w:r>
    </w:p>
    <w:p w14:paraId="09E20FD9">
      <w:pPr>
        <w:pStyle w:val="6"/>
        <w:bidi w:val="0"/>
        <w:ind w:left="0" w:firstLine="0"/>
        <w:rPr>
          <w:rFonts w:hint="default" w:ascii="Times New Roman" w:hAnsi="Times New Roman" w:cs="Times New Roman"/>
          <w:lang w:val="zh-CN"/>
        </w:rPr>
      </w:pPr>
      <w:r>
        <w:rPr>
          <w:rFonts w:hint="default" w:ascii="Times New Roman" w:hAnsi="Times New Roman" w:cs="Times New Roman"/>
        </w:rPr>
        <w:t>附属</w:t>
      </w:r>
      <w:r>
        <w:rPr>
          <w:rFonts w:hint="default" w:ascii="Times New Roman" w:hAnsi="Times New Roman" w:cs="Times New Roman"/>
          <w:lang w:val="zh-CN"/>
        </w:rPr>
        <w:t>设施</w:t>
      </w:r>
    </w:p>
    <w:p w14:paraId="06E9B0F2">
      <w:pPr>
        <w:pStyle w:val="93"/>
        <w:rPr>
          <w:rFonts w:hint="default" w:ascii="Times New Roman" w:hAnsi="Times New Roman" w:cs="Times New Roman"/>
          <w:lang w:val="zh-CN"/>
        </w:rPr>
      </w:pPr>
      <w:r>
        <w:rPr>
          <w:rFonts w:hint="default" w:ascii="Times New Roman" w:hAnsi="Times New Roman" w:cs="Times New Roman"/>
          <w:lang w:val="zh-CN"/>
        </w:rPr>
        <w:t>配套设施建设工程主要包括给排水系统、供电系统、通讯系统、供气系统和消防系统。配套设施建设占地计入建构筑物区、</w:t>
      </w:r>
      <w:r>
        <w:rPr>
          <w:rFonts w:hint="eastAsia" w:cs="Times New Roman"/>
          <w:lang w:val="zh-CN"/>
        </w:rPr>
        <w:t>道路及硬化区</w:t>
      </w:r>
      <w:r>
        <w:rPr>
          <w:rFonts w:hint="default" w:ascii="Times New Roman" w:hAnsi="Times New Roman" w:cs="Times New Roman"/>
          <w:lang w:val="zh-CN"/>
        </w:rPr>
        <w:t>、绿化区等相应占地中，不再单独计列。</w:t>
      </w:r>
    </w:p>
    <w:p w14:paraId="6D4429B5">
      <w:pPr>
        <w:pStyle w:val="93"/>
        <w:rPr>
          <w:rFonts w:hint="default" w:ascii="Times New Roman" w:hAnsi="Times New Roman" w:cs="Times New Roman"/>
          <w:lang w:val="zh-CN"/>
        </w:rPr>
      </w:pPr>
      <w:r>
        <w:rPr>
          <w:rFonts w:hint="default" w:ascii="Times New Roman" w:hAnsi="Times New Roman" w:cs="Times New Roman"/>
          <w:lang w:val="zh-CN"/>
        </w:rPr>
        <w:t>1、给水系统</w:t>
      </w:r>
    </w:p>
    <w:p w14:paraId="0D448F8B">
      <w:pPr>
        <w:pStyle w:val="93"/>
        <w:rPr>
          <w:rFonts w:hint="default" w:ascii="Times New Roman" w:hAnsi="Times New Roman" w:cs="Times New Roman"/>
        </w:rPr>
      </w:pPr>
      <w:r>
        <w:rPr>
          <w:rFonts w:hint="default" w:ascii="Times New Roman" w:hAnsi="Times New Roman" w:cs="Times New Roman"/>
          <w:color w:val="auto"/>
        </w:rPr>
        <w:t>项目区</w:t>
      </w:r>
      <w:r>
        <w:rPr>
          <w:rFonts w:hint="eastAsia" w:cs="Times New Roman"/>
          <w:color w:val="auto"/>
          <w:lang w:val="en-US" w:eastAsia="zh-CN"/>
        </w:rPr>
        <w:t>紧邻</w:t>
      </w:r>
      <w:r>
        <w:rPr>
          <w:rFonts w:hint="default" w:ascii="Times New Roman" w:hAnsi="Times New Roman" w:cs="Times New Roman"/>
        </w:rPr>
        <w:t>鸡鸣山大道、雄鸡路、国道213线（骏宝路）</w:t>
      </w:r>
      <w:r>
        <w:rPr>
          <w:rFonts w:hint="eastAsia" w:cs="Times New Roman"/>
          <w:lang w:val="en-US" w:eastAsia="zh-CN"/>
        </w:rPr>
        <w:t>等已有市政道路</w:t>
      </w:r>
      <w:r>
        <w:rPr>
          <w:rFonts w:hint="default" w:ascii="Times New Roman" w:hAnsi="Times New Roman" w:cs="Times New Roman"/>
        </w:rPr>
        <w:t>，</w:t>
      </w:r>
      <w:r>
        <w:rPr>
          <w:rFonts w:hint="default" w:ascii="Times New Roman" w:hAnsi="Times New Roman" w:cs="Times New Roman"/>
          <w:color w:val="auto"/>
        </w:rPr>
        <w:t>周边布设有完善的市政供水管网，项目建设期间从市政给水主干道上引入</w:t>
      </w:r>
      <w:r>
        <w:rPr>
          <w:rFonts w:hint="eastAsia" w:cs="Times New Roman"/>
          <w:color w:val="auto"/>
          <w:lang w:val="en-US" w:eastAsia="zh-CN"/>
        </w:rPr>
        <w:t>一</w:t>
      </w:r>
      <w:r>
        <w:rPr>
          <w:rFonts w:hint="default" w:ascii="Times New Roman" w:hAnsi="Times New Roman" w:cs="Times New Roman"/>
          <w:color w:val="auto"/>
          <w:lang w:val="en-US" w:eastAsia="zh-CN"/>
        </w:rPr>
        <w:t>根</w:t>
      </w:r>
      <w:r>
        <w:rPr>
          <w:rStyle w:val="92"/>
          <w:rFonts w:hint="default" w:ascii="Times New Roman" w:hAnsi="Times New Roman" w:cs="Times New Roman"/>
        </w:rPr>
        <w:t>DN（150）</w:t>
      </w:r>
      <w:r>
        <w:rPr>
          <w:rFonts w:hint="default" w:ascii="Times New Roman" w:hAnsi="Times New Roman" w:cs="Times New Roman"/>
          <w:color w:val="auto"/>
        </w:rPr>
        <w:t>给水管，供本项目施工期间的用水，施工完成后用作后期的生活和消防用水水源。</w:t>
      </w:r>
    </w:p>
    <w:p w14:paraId="29E28950">
      <w:pPr>
        <w:pStyle w:val="93"/>
        <w:rPr>
          <w:rFonts w:hint="default" w:ascii="Times New Roman" w:hAnsi="Times New Roman" w:cs="Times New Roman"/>
          <w:lang w:val="zh-CN"/>
        </w:rPr>
      </w:pPr>
      <w:r>
        <w:rPr>
          <w:rFonts w:hint="default" w:ascii="Times New Roman" w:hAnsi="Times New Roman" w:cs="Times New Roman"/>
          <w:lang w:val="zh-CN"/>
        </w:rPr>
        <w:t>2、排水系统</w:t>
      </w:r>
    </w:p>
    <w:p w14:paraId="54A62B0D">
      <w:pPr>
        <w:pStyle w:val="93"/>
        <w:rPr>
          <w:rFonts w:hint="default" w:ascii="Times New Roman" w:hAnsi="Times New Roman" w:eastAsia="仿宋_GB2312" w:cs="Times New Roman"/>
          <w:lang w:val="en-US" w:eastAsia="zh-CN"/>
        </w:rPr>
      </w:pPr>
      <w:r>
        <w:rPr>
          <w:rFonts w:hint="default" w:ascii="Times New Roman" w:hAnsi="Times New Roman" w:cs="Times New Roman"/>
          <w:lang w:val="zh-CN"/>
        </w:rPr>
        <w:t>本工程排水采用雨污分流制排水，项目区内雨水经</w:t>
      </w:r>
      <w:r>
        <w:rPr>
          <w:rFonts w:hint="default" w:ascii="Times New Roman" w:hAnsi="Times New Roman" w:cs="Times New Roman"/>
        </w:rPr>
        <w:t>雨水管</w:t>
      </w:r>
      <w:r>
        <w:rPr>
          <w:rFonts w:hint="default" w:ascii="Times New Roman" w:hAnsi="Times New Roman" w:cs="Times New Roman"/>
          <w:lang w:val="zh-CN"/>
        </w:rPr>
        <w:t>收集后，排放至</w:t>
      </w:r>
      <w:r>
        <w:rPr>
          <w:rFonts w:hint="default" w:ascii="Times New Roman" w:hAnsi="Times New Roman" w:cs="Times New Roman"/>
        </w:rPr>
        <w:t>项目区西侧</w:t>
      </w:r>
      <w:r>
        <w:rPr>
          <w:rFonts w:hint="eastAsia" w:cs="Times New Roman"/>
          <w:lang w:val="en-US" w:eastAsia="zh-CN"/>
        </w:rPr>
        <w:t>和东侧市政道路已有雨水管网。</w:t>
      </w:r>
    </w:p>
    <w:p w14:paraId="3FC0E60D">
      <w:pPr>
        <w:pStyle w:val="93"/>
        <w:rPr>
          <w:rFonts w:hint="default" w:ascii="Times New Roman" w:hAnsi="Times New Roman" w:cs="Times New Roman"/>
          <w:lang w:val="zh-CN"/>
        </w:rPr>
      </w:pPr>
      <w:r>
        <w:rPr>
          <w:rFonts w:hint="default" w:ascii="Times New Roman" w:hAnsi="Times New Roman" w:cs="Times New Roman"/>
        </w:rPr>
        <w:t>生活污水汇集后，经污水</w:t>
      </w:r>
      <w:r>
        <w:rPr>
          <w:rFonts w:hint="eastAsia" w:cs="Times New Roman"/>
          <w:lang w:val="en-US" w:eastAsia="zh-CN"/>
        </w:rPr>
        <w:t>沉淀池及</w:t>
      </w:r>
      <w:r>
        <w:rPr>
          <w:rFonts w:hint="default" w:ascii="Times New Roman" w:hAnsi="Times New Roman" w:cs="Times New Roman"/>
        </w:rPr>
        <w:t>处理装置进行初步处理后，接入西侧</w:t>
      </w:r>
      <w:r>
        <w:rPr>
          <w:rFonts w:hint="eastAsia" w:cs="Times New Roman"/>
          <w:lang w:val="en-US" w:eastAsia="zh-CN"/>
        </w:rPr>
        <w:t>和东侧市政道路已有污水管网</w:t>
      </w:r>
      <w:r>
        <w:rPr>
          <w:rFonts w:hint="default" w:ascii="Times New Roman" w:hAnsi="Times New Roman" w:cs="Times New Roman"/>
        </w:rPr>
        <w:t>，由市政污水管排入污水处理厂处理。</w:t>
      </w:r>
    </w:p>
    <w:p w14:paraId="08E51A62">
      <w:pPr>
        <w:pStyle w:val="93"/>
        <w:rPr>
          <w:rFonts w:hint="default" w:ascii="Times New Roman" w:hAnsi="Times New Roman" w:cs="Times New Roman"/>
          <w:lang w:val="zh-CN"/>
        </w:rPr>
      </w:pPr>
      <w:r>
        <w:rPr>
          <w:rFonts w:hint="default" w:ascii="Times New Roman" w:hAnsi="Times New Roman" w:cs="Times New Roman"/>
          <w:lang w:val="zh-CN"/>
        </w:rPr>
        <w:t>3、供电系统</w:t>
      </w:r>
    </w:p>
    <w:p w14:paraId="47E679DE">
      <w:pPr>
        <w:spacing w:line="500" w:lineRule="exact"/>
        <w:ind w:firstLine="480"/>
        <w:rPr>
          <w:rFonts w:hint="default" w:ascii="Times New Roman" w:hAnsi="Times New Roman" w:cs="Times New Roman"/>
          <w:lang w:val="en-US"/>
        </w:rPr>
      </w:pPr>
      <w:r>
        <w:rPr>
          <w:rFonts w:hint="default" w:ascii="Times New Roman" w:hAnsi="Times New Roman" w:cs="Times New Roman"/>
          <w:lang w:val="zh-CN"/>
        </w:rPr>
        <w:t>项目区位于</w:t>
      </w:r>
      <w:r>
        <w:rPr>
          <w:rFonts w:hint="eastAsia" w:ascii="Times New Roman" w:hAnsi="Times New Roman" w:cs="Times New Roman"/>
          <w:lang w:val="en-US" w:eastAsia="zh-CN"/>
        </w:rPr>
        <w:t>城镇</w:t>
      </w:r>
      <w:r>
        <w:rPr>
          <w:rFonts w:hint="default" w:ascii="Times New Roman" w:hAnsi="Times New Roman" w:cs="Times New Roman"/>
          <w:lang w:val="zh-CN"/>
        </w:rPr>
        <w:t>，周边已有供电设施，项目区用电直接由现有的供电网引入，以满足区域的照明和动力等用电需求。</w:t>
      </w:r>
      <w:r>
        <w:rPr>
          <w:rFonts w:hint="default" w:ascii="Times New Roman" w:hAnsi="Times New Roman" w:cs="Times New Roman"/>
          <w:lang w:val="en-US" w:eastAsia="zh-CN"/>
        </w:rPr>
        <w:t>供电照明</w:t>
      </w:r>
      <w:r>
        <w:rPr>
          <w:rFonts w:hint="eastAsia" w:ascii="Times New Roman" w:hAnsi="Times New Roman" w:cs="Times New Roman"/>
          <w:lang w:val="en-US" w:eastAsia="zh-CN"/>
        </w:rPr>
        <w:t>设施穿插在建构筑物和道路区域，占地面积不再单独计列。</w:t>
      </w:r>
    </w:p>
    <w:p w14:paraId="77918437">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4、通讯系统</w:t>
      </w:r>
    </w:p>
    <w:p w14:paraId="7A51CC09">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通讯线路全部由周边通讯系统引接入项目区，不涉及新增占地情况，可以满足本项目的通讯要求。</w:t>
      </w:r>
    </w:p>
    <w:p w14:paraId="3844355C">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5、消防系统</w:t>
      </w:r>
    </w:p>
    <w:p w14:paraId="35C40567">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按国家相关规定，本工程室内设置消火栓，配置灭火器，并保证消防水源能24小时供水，设计的水量、水压均能满足建筑物灭火需要；在电气设备造型及安装上，均考虑了接地、防爆措施，对建筑物采取了防雷、防爆措施。室外设立消防栓，消防水泵采用自灌式引水，以保证迅速启动；区内按要求悬挂配备干粉式灭火器。</w:t>
      </w:r>
    </w:p>
    <w:p w14:paraId="3B5B87D0">
      <w:pPr>
        <w:pStyle w:val="5"/>
        <w:rPr>
          <w:rFonts w:hint="default" w:ascii="Times New Roman" w:hAnsi="Times New Roman" w:cs="Times New Roman"/>
        </w:rPr>
      </w:pPr>
      <w:r>
        <w:rPr>
          <w:rFonts w:hint="eastAsia" w:ascii="Times New Roman" w:hAnsi="Times New Roman" w:cs="Times New Roman"/>
          <w:lang w:val="en-US" w:eastAsia="zh-CN"/>
        </w:rPr>
        <w:t>地块二</w:t>
      </w:r>
    </w:p>
    <w:p w14:paraId="5A47F319">
      <w:pPr>
        <w:pStyle w:val="6"/>
        <w:bidi w:val="0"/>
        <w:rPr>
          <w:rFonts w:hint="default"/>
        </w:rPr>
      </w:pPr>
      <w:r>
        <w:rPr>
          <w:rFonts w:hint="default"/>
        </w:rPr>
        <w:t>建构筑物区</w:t>
      </w:r>
    </w:p>
    <w:p w14:paraId="07237507">
      <w:pPr>
        <w:adjustRightInd w:val="0"/>
        <w:snapToGrid w:val="0"/>
        <w:ind w:firstLine="480"/>
        <w:rPr>
          <w:rFonts w:hint="default" w:ascii="Times New Roman" w:hAnsi="Times New Roman" w:cs="Times New Roman"/>
        </w:rPr>
      </w:pPr>
      <w:r>
        <w:rPr>
          <w:rFonts w:hint="eastAsia" w:cs="Times New Roman"/>
          <w:lang w:val="en-US" w:eastAsia="zh-CN"/>
        </w:rPr>
        <w:t>地块二</w:t>
      </w:r>
      <w:r>
        <w:rPr>
          <w:rFonts w:hint="default" w:ascii="Times New Roman" w:hAnsi="Times New Roman" w:cs="Times New Roman"/>
        </w:rPr>
        <w:t>建构筑物区</w:t>
      </w:r>
      <w:r>
        <w:rPr>
          <w:rFonts w:hint="eastAsia" w:cs="Times New Roman"/>
          <w:lang w:val="en-US" w:eastAsia="zh-CN"/>
        </w:rPr>
        <w:t>包括深加工车间、包装车间、设备用房</w:t>
      </w:r>
      <w:r>
        <w:rPr>
          <w:rFonts w:hint="eastAsia" w:cs="Times New Roman"/>
          <w:szCs w:val="21"/>
          <w:lang w:val="en-US" w:eastAsia="zh-CN"/>
        </w:rPr>
        <w:t>，</w:t>
      </w:r>
      <w:r>
        <w:rPr>
          <w:rFonts w:hint="default" w:ascii="Times New Roman" w:hAnsi="Times New Roman" w:cs="Times New Roman"/>
        </w:rPr>
        <w:t>总建筑面积为</w:t>
      </w:r>
      <w:r>
        <w:rPr>
          <w:rFonts w:hint="eastAsia" w:cs="Times New Roman"/>
          <w:lang w:val="en-US" w:eastAsia="zh-CN"/>
        </w:rPr>
        <w:t>5745.72</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val="en-US" w:eastAsia="zh-CN"/>
        </w:rPr>
        <w:t>深加工车间</w:t>
      </w:r>
      <w:r>
        <w:rPr>
          <w:rFonts w:hint="eastAsia" w:cs="Times New Roman"/>
          <w:szCs w:val="21"/>
          <w:lang w:val="en-US" w:eastAsia="zh-CN"/>
        </w:rPr>
        <w:t>为1层门式钢架结构，建筑高度为10.2m，</w:t>
      </w:r>
      <w:r>
        <w:rPr>
          <w:rFonts w:hint="default" w:ascii="Times New Roman" w:hAnsi="Times New Roman" w:cs="Times New Roman"/>
        </w:rPr>
        <w:t>占地面积为</w:t>
      </w:r>
      <w:r>
        <w:rPr>
          <w:rFonts w:hint="eastAsia" w:cs="Times New Roman"/>
          <w:lang w:val="en-US" w:eastAsia="zh-CN"/>
        </w:rPr>
        <w:t>4105.32</w:t>
      </w:r>
      <w:r>
        <w:rPr>
          <w:rFonts w:hint="default" w:ascii="Times New Roman" w:hAnsi="Times New Roman" w:cs="Times New Roman"/>
        </w:rPr>
        <w:t>m</w:t>
      </w:r>
      <w:r>
        <w:rPr>
          <w:rFonts w:hint="default" w:ascii="Times New Roman" w:hAnsi="Times New Roman" w:cs="Times New Roman"/>
          <w:vertAlign w:val="superscript"/>
        </w:rPr>
        <w:t>2</w:t>
      </w:r>
      <w:r>
        <w:rPr>
          <w:rFonts w:hint="eastAsia" w:cs="Times New Roman"/>
          <w:szCs w:val="21"/>
          <w:lang w:val="en-US" w:eastAsia="zh-CN"/>
        </w:rPr>
        <w:t>；</w:t>
      </w:r>
      <w:r>
        <w:rPr>
          <w:rFonts w:hint="eastAsia" w:cs="Times New Roman"/>
          <w:lang w:val="en-US" w:eastAsia="zh-CN"/>
        </w:rPr>
        <w:t>包装车间</w:t>
      </w:r>
      <w:r>
        <w:rPr>
          <w:rFonts w:hint="eastAsia" w:cs="Times New Roman"/>
          <w:szCs w:val="21"/>
          <w:lang w:val="en-US" w:eastAsia="zh-CN"/>
        </w:rPr>
        <w:t>为2层混凝土框架结构，建筑高度为9.6m，</w:t>
      </w:r>
      <w:r>
        <w:rPr>
          <w:rFonts w:hint="default" w:ascii="Times New Roman" w:hAnsi="Times New Roman" w:cs="Times New Roman"/>
        </w:rPr>
        <w:t>占地面积为</w:t>
      </w:r>
      <w:r>
        <w:rPr>
          <w:rFonts w:hint="eastAsia" w:cs="Times New Roman"/>
          <w:lang w:val="en-US" w:eastAsia="zh-CN"/>
        </w:rPr>
        <w:t>3010.80</w:t>
      </w:r>
      <w:r>
        <w:rPr>
          <w:rFonts w:hint="default" w:ascii="Times New Roman" w:hAnsi="Times New Roman" w:cs="Times New Roman"/>
        </w:rPr>
        <w:t>m</w:t>
      </w:r>
      <w:r>
        <w:rPr>
          <w:rFonts w:hint="default" w:ascii="Times New Roman" w:hAnsi="Times New Roman" w:cs="Times New Roman"/>
          <w:vertAlign w:val="superscript"/>
        </w:rPr>
        <w:t>2</w:t>
      </w:r>
      <w:r>
        <w:rPr>
          <w:rFonts w:hint="eastAsia" w:cs="Times New Roman"/>
          <w:szCs w:val="21"/>
          <w:lang w:val="en-US" w:eastAsia="zh-CN"/>
        </w:rPr>
        <w:t>；</w:t>
      </w:r>
      <w:r>
        <w:rPr>
          <w:rFonts w:hint="eastAsia" w:cs="Times New Roman"/>
          <w:lang w:val="en-US" w:eastAsia="zh-CN"/>
        </w:rPr>
        <w:t>设备用房</w:t>
      </w:r>
      <w:r>
        <w:rPr>
          <w:rFonts w:hint="eastAsia" w:cs="Times New Roman"/>
          <w:szCs w:val="21"/>
          <w:lang w:val="en-US" w:eastAsia="zh-CN"/>
        </w:rPr>
        <w:t>为1层混凝土框架结构，建筑高度为5.1m，</w:t>
      </w:r>
      <w:r>
        <w:rPr>
          <w:rFonts w:hint="default" w:ascii="Times New Roman" w:hAnsi="Times New Roman" w:cs="Times New Roman"/>
        </w:rPr>
        <w:t>占地面积为</w:t>
      </w:r>
      <w:r>
        <w:rPr>
          <w:rFonts w:hint="eastAsia" w:cs="Times New Roman"/>
          <w:lang w:val="en-US" w:eastAsia="zh-CN"/>
        </w:rPr>
        <w:t>135.00.</w:t>
      </w:r>
      <w:r>
        <w:rPr>
          <w:rFonts w:hint="default" w:ascii="Times New Roman" w:hAnsi="Times New Roman" w:cs="Times New Roman"/>
        </w:rPr>
        <w:t>m</w:t>
      </w:r>
      <w:r>
        <w:rPr>
          <w:rFonts w:hint="default" w:ascii="Times New Roman" w:hAnsi="Times New Roman" w:cs="Times New Roman"/>
          <w:vertAlign w:val="superscript"/>
        </w:rPr>
        <w:t>2</w:t>
      </w:r>
      <w:r>
        <w:rPr>
          <w:rFonts w:hint="eastAsia" w:cs="Times New Roman"/>
          <w:szCs w:val="21"/>
          <w:lang w:val="en-US" w:eastAsia="zh-CN"/>
        </w:rPr>
        <w:t>。</w:t>
      </w:r>
      <w:r>
        <w:rPr>
          <w:rFonts w:hint="eastAsia" w:cs="Times New Roman"/>
          <w:lang w:val="en-US" w:eastAsia="zh-CN"/>
        </w:rPr>
        <w:t>地块二</w:t>
      </w:r>
      <w:r>
        <w:rPr>
          <w:rFonts w:hint="default" w:ascii="Times New Roman" w:hAnsi="Times New Roman" w:cs="Times New Roman"/>
        </w:rPr>
        <w:t>无地下建构筑物。</w:t>
      </w:r>
    </w:p>
    <w:p w14:paraId="1A13E869">
      <w:pPr>
        <w:adjustRightInd w:val="0"/>
        <w:snapToGrid w:val="0"/>
        <w:ind w:firstLine="480"/>
        <w:rPr>
          <w:rFonts w:hint="eastAsia" w:cs="Times New Roman"/>
          <w:lang w:val="en-US" w:eastAsia="zh-CN"/>
        </w:rPr>
      </w:pPr>
      <w:r>
        <w:rPr>
          <w:rFonts w:hint="eastAsia" w:cs="Times New Roman"/>
          <w:lang w:val="en-US" w:eastAsia="zh-CN"/>
        </w:rPr>
        <w:t>综上所述，地块二建构筑物区总占地面积为0.57hm</w:t>
      </w:r>
      <w:r>
        <w:rPr>
          <w:rFonts w:hint="eastAsia" w:cs="Times New Roman"/>
          <w:vertAlign w:val="superscript"/>
          <w:lang w:val="en-US" w:eastAsia="zh-CN"/>
        </w:rPr>
        <w:t>2</w:t>
      </w:r>
      <w:r>
        <w:rPr>
          <w:rFonts w:hint="eastAsia" w:cs="Times New Roman"/>
          <w:lang w:val="en-US" w:eastAsia="zh-CN"/>
        </w:rPr>
        <w:t>。</w:t>
      </w:r>
    </w:p>
    <w:p w14:paraId="2BBA5323">
      <w:pPr>
        <w:pStyle w:val="83"/>
        <w:rPr>
          <w:rFonts w:hint="eastAsia" w:cs="Times New Roman"/>
          <w:lang w:val="en-US" w:eastAsia="zh-CN"/>
        </w:rPr>
      </w:pPr>
      <w:r>
        <w:rPr>
          <w:rFonts w:hint="eastAsia" w:cs="Times New Roman"/>
          <w:lang w:val="en-US" w:eastAsia="zh-CN"/>
        </w:rPr>
        <w:t>表2-3   地块二建构筑物特性一览表</w:t>
      </w:r>
    </w:p>
    <w:tbl>
      <w:tblPr>
        <w:tblStyle w:val="27"/>
        <w:tblW w:w="917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79"/>
        <w:gridCol w:w="756"/>
        <w:gridCol w:w="1151"/>
        <w:gridCol w:w="1540"/>
        <w:gridCol w:w="1561"/>
        <w:gridCol w:w="698"/>
        <w:gridCol w:w="1021"/>
        <w:gridCol w:w="1767"/>
      </w:tblGrid>
      <w:tr w14:paraId="6F3BED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679" w:type="dxa"/>
            <w:tcBorders>
              <w:tl2br w:val="nil"/>
              <w:tr2bl w:val="nil"/>
            </w:tcBorders>
            <w:shd w:val="clear" w:color="auto" w:fill="auto"/>
            <w:vAlign w:val="center"/>
          </w:tcPr>
          <w:p w14:paraId="0D122691">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序号</w:t>
            </w:r>
          </w:p>
        </w:tc>
        <w:tc>
          <w:tcPr>
            <w:tcW w:w="756" w:type="dxa"/>
            <w:tcBorders>
              <w:tl2br w:val="nil"/>
              <w:tr2bl w:val="nil"/>
            </w:tcBorders>
            <w:shd w:val="clear" w:color="auto" w:fill="auto"/>
            <w:noWrap/>
            <w:vAlign w:val="center"/>
          </w:tcPr>
          <w:p w14:paraId="352C2431">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地块</w:t>
            </w:r>
          </w:p>
        </w:tc>
        <w:tc>
          <w:tcPr>
            <w:tcW w:w="1151" w:type="dxa"/>
            <w:tcBorders>
              <w:tl2br w:val="nil"/>
              <w:tr2bl w:val="nil"/>
            </w:tcBorders>
            <w:shd w:val="clear" w:color="auto" w:fill="auto"/>
            <w:vAlign w:val="center"/>
          </w:tcPr>
          <w:p w14:paraId="57914420">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建筑名称</w:t>
            </w:r>
          </w:p>
        </w:tc>
        <w:tc>
          <w:tcPr>
            <w:tcW w:w="1540" w:type="dxa"/>
            <w:tcBorders>
              <w:tl2br w:val="nil"/>
              <w:tr2bl w:val="nil"/>
            </w:tcBorders>
            <w:shd w:val="clear" w:color="auto" w:fill="auto"/>
            <w:vAlign w:val="center"/>
          </w:tcPr>
          <w:p w14:paraId="7336345A">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占地面积（m</w:t>
            </w:r>
            <w:r>
              <w:rPr>
                <w:rStyle w:val="97"/>
                <w:rFonts w:hint="eastAsia" w:ascii="Times New Roman" w:hAnsi="Times New Roman" w:cs="Times New Roman"/>
                <w:color w:val="auto"/>
                <w:sz w:val="18"/>
                <w:szCs w:val="18"/>
                <w:vertAlign w:val="superscript"/>
                <w:lang w:val="en-US" w:eastAsia="zh-CN" w:bidi="ar"/>
              </w:rPr>
              <w:t>2</w:t>
            </w:r>
            <w:r>
              <w:rPr>
                <w:rStyle w:val="97"/>
                <w:rFonts w:hint="eastAsia" w:ascii="Times New Roman" w:hAnsi="Times New Roman" w:cs="Times New Roman"/>
                <w:color w:val="auto"/>
                <w:sz w:val="18"/>
                <w:szCs w:val="18"/>
                <w:lang w:val="en-US" w:eastAsia="zh-CN" w:bidi="ar"/>
              </w:rPr>
              <w:t>）</w:t>
            </w:r>
          </w:p>
        </w:tc>
        <w:tc>
          <w:tcPr>
            <w:tcW w:w="1561" w:type="dxa"/>
            <w:tcBorders>
              <w:tl2br w:val="nil"/>
              <w:tr2bl w:val="nil"/>
            </w:tcBorders>
            <w:shd w:val="clear" w:color="auto" w:fill="auto"/>
            <w:vAlign w:val="center"/>
          </w:tcPr>
          <w:p w14:paraId="62E8AA61">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建筑面积（m</w:t>
            </w:r>
            <w:r>
              <w:rPr>
                <w:rStyle w:val="97"/>
                <w:rFonts w:hint="eastAsia" w:ascii="Times New Roman" w:hAnsi="Times New Roman" w:cs="Times New Roman"/>
                <w:color w:val="auto"/>
                <w:sz w:val="18"/>
                <w:szCs w:val="18"/>
                <w:vertAlign w:val="superscript"/>
                <w:lang w:val="en-US" w:eastAsia="zh-CN" w:bidi="ar"/>
              </w:rPr>
              <w:t>2</w:t>
            </w:r>
            <w:r>
              <w:rPr>
                <w:rStyle w:val="97"/>
                <w:rFonts w:hint="eastAsia" w:ascii="Times New Roman" w:hAnsi="Times New Roman" w:cs="Times New Roman"/>
                <w:color w:val="auto"/>
                <w:sz w:val="18"/>
                <w:szCs w:val="18"/>
                <w:lang w:val="en-US" w:eastAsia="zh-CN" w:bidi="ar"/>
              </w:rPr>
              <w:t>）</w:t>
            </w:r>
          </w:p>
        </w:tc>
        <w:tc>
          <w:tcPr>
            <w:tcW w:w="698" w:type="dxa"/>
            <w:tcBorders>
              <w:tl2br w:val="nil"/>
              <w:tr2bl w:val="nil"/>
            </w:tcBorders>
            <w:shd w:val="clear" w:color="auto" w:fill="auto"/>
            <w:vAlign w:val="center"/>
          </w:tcPr>
          <w:p w14:paraId="67D409E4">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层数</w:t>
            </w:r>
          </w:p>
        </w:tc>
        <w:tc>
          <w:tcPr>
            <w:tcW w:w="1021" w:type="dxa"/>
            <w:tcBorders>
              <w:tl2br w:val="nil"/>
              <w:tr2bl w:val="nil"/>
            </w:tcBorders>
            <w:shd w:val="clear" w:color="auto" w:fill="auto"/>
            <w:vAlign w:val="center"/>
          </w:tcPr>
          <w:p w14:paraId="2B6017BF">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建筑高度（m）</w:t>
            </w:r>
          </w:p>
        </w:tc>
        <w:tc>
          <w:tcPr>
            <w:tcW w:w="1767" w:type="dxa"/>
            <w:tcBorders>
              <w:tl2br w:val="nil"/>
              <w:tr2bl w:val="nil"/>
            </w:tcBorders>
            <w:shd w:val="clear" w:color="auto" w:fill="auto"/>
            <w:vAlign w:val="center"/>
          </w:tcPr>
          <w:p w14:paraId="31CBE6B4">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结构形式</w:t>
            </w:r>
          </w:p>
        </w:tc>
      </w:tr>
      <w:tr w14:paraId="5C572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9" w:type="dxa"/>
            <w:tcBorders>
              <w:tl2br w:val="nil"/>
              <w:tr2bl w:val="nil"/>
            </w:tcBorders>
            <w:shd w:val="clear" w:color="auto" w:fill="auto"/>
            <w:vAlign w:val="center"/>
          </w:tcPr>
          <w:p w14:paraId="16059BC2">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1</w:t>
            </w:r>
          </w:p>
        </w:tc>
        <w:tc>
          <w:tcPr>
            <w:tcW w:w="756" w:type="dxa"/>
            <w:vMerge w:val="restart"/>
            <w:tcBorders>
              <w:tl2br w:val="nil"/>
              <w:tr2bl w:val="nil"/>
            </w:tcBorders>
            <w:shd w:val="clear" w:color="auto" w:fill="auto"/>
            <w:noWrap/>
            <w:vAlign w:val="center"/>
          </w:tcPr>
          <w:p w14:paraId="620D50B2">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地块二</w:t>
            </w:r>
          </w:p>
        </w:tc>
        <w:tc>
          <w:tcPr>
            <w:tcW w:w="1151" w:type="dxa"/>
            <w:tcBorders>
              <w:tl2br w:val="nil"/>
              <w:tr2bl w:val="nil"/>
            </w:tcBorders>
            <w:shd w:val="clear" w:color="auto" w:fill="auto"/>
            <w:vAlign w:val="center"/>
          </w:tcPr>
          <w:p w14:paraId="772A56E4">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深加工车间</w:t>
            </w:r>
          </w:p>
        </w:tc>
        <w:tc>
          <w:tcPr>
            <w:tcW w:w="1540" w:type="dxa"/>
            <w:tcBorders>
              <w:tl2br w:val="nil"/>
              <w:tr2bl w:val="nil"/>
            </w:tcBorders>
            <w:shd w:val="clear" w:color="auto" w:fill="auto"/>
            <w:vAlign w:val="center"/>
          </w:tcPr>
          <w:p w14:paraId="0CB0C089">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4105.32</w:t>
            </w:r>
          </w:p>
        </w:tc>
        <w:tc>
          <w:tcPr>
            <w:tcW w:w="1561" w:type="dxa"/>
            <w:tcBorders>
              <w:tl2br w:val="nil"/>
              <w:tr2bl w:val="nil"/>
            </w:tcBorders>
            <w:shd w:val="clear" w:color="auto" w:fill="auto"/>
            <w:vAlign w:val="center"/>
          </w:tcPr>
          <w:p w14:paraId="3C937CB7">
            <w:pPr>
              <w:spacing w:line="240" w:lineRule="auto"/>
              <w:ind w:firstLine="0" w:firstLineChars="0"/>
              <w:jc w:val="center"/>
              <w:textAlignment w:val="center"/>
              <w:rPr>
                <w:rStyle w:val="97"/>
                <w:rFonts w:hint="default" w:ascii="Times New Roman" w:hAnsi="Times New Roman" w:cs="Times New Roman"/>
                <w:color w:val="auto"/>
                <w:sz w:val="18"/>
                <w:szCs w:val="18"/>
                <w:lang w:val="en-US" w:eastAsia="zh-CN" w:bidi="ar"/>
              </w:rPr>
            </w:pPr>
            <w:r>
              <w:rPr>
                <w:rStyle w:val="97"/>
                <w:rFonts w:hint="default" w:ascii="Times New Roman" w:hAnsi="Times New Roman" w:cs="Times New Roman"/>
                <w:color w:val="auto"/>
                <w:sz w:val="18"/>
                <w:szCs w:val="18"/>
                <w:lang w:val="en-US" w:eastAsia="zh-CN" w:bidi="ar"/>
              </w:rPr>
              <w:t>4105.32</w:t>
            </w:r>
          </w:p>
        </w:tc>
        <w:tc>
          <w:tcPr>
            <w:tcW w:w="698" w:type="dxa"/>
            <w:tcBorders>
              <w:tl2br w:val="nil"/>
              <w:tr2bl w:val="nil"/>
            </w:tcBorders>
            <w:shd w:val="clear" w:color="auto" w:fill="auto"/>
            <w:vAlign w:val="center"/>
          </w:tcPr>
          <w:p w14:paraId="5EFF3FCC">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1</w:t>
            </w:r>
          </w:p>
        </w:tc>
        <w:tc>
          <w:tcPr>
            <w:tcW w:w="1021" w:type="dxa"/>
            <w:tcBorders>
              <w:tl2br w:val="nil"/>
              <w:tr2bl w:val="nil"/>
            </w:tcBorders>
            <w:shd w:val="clear" w:color="auto" w:fill="auto"/>
            <w:vAlign w:val="center"/>
          </w:tcPr>
          <w:p w14:paraId="05EEB9A2">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10.2</w:t>
            </w:r>
          </w:p>
        </w:tc>
        <w:tc>
          <w:tcPr>
            <w:tcW w:w="1767" w:type="dxa"/>
            <w:tcBorders>
              <w:tl2br w:val="nil"/>
              <w:tr2bl w:val="nil"/>
            </w:tcBorders>
            <w:shd w:val="clear" w:color="auto" w:fill="auto"/>
            <w:vAlign w:val="center"/>
          </w:tcPr>
          <w:p w14:paraId="668A8B95">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门式钢架结构</w:t>
            </w:r>
          </w:p>
        </w:tc>
      </w:tr>
      <w:tr w14:paraId="0E6A1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9" w:type="dxa"/>
            <w:tcBorders>
              <w:tl2br w:val="nil"/>
              <w:tr2bl w:val="nil"/>
            </w:tcBorders>
            <w:shd w:val="clear" w:color="auto" w:fill="auto"/>
            <w:vAlign w:val="center"/>
          </w:tcPr>
          <w:p w14:paraId="2698202E">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2</w:t>
            </w:r>
          </w:p>
        </w:tc>
        <w:tc>
          <w:tcPr>
            <w:tcW w:w="756" w:type="dxa"/>
            <w:vMerge w:val="continue"/>
            <w:tcBorders>
              <w:tl2br w:val="nil"/>
              <w:tr2bl w:val="nil"/>
            </w:tcBorders>
            <w:shd w:val="clear" w:color="auto" w:fill="auto"/>
            <w:noWrap/>
            <w:vAlign w:val="center"/>
          </w:tcPr>
          <w:p w14:paraId="2784E6DC">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c>
          <w:tcPr>
            <w:tcW w:w="1151" w:type="dxa"/>
            <w:tcBorders>
              <w:tl2br w:val="nil"/>
              <w:tr2bl w:val="nil"/>
            </w:tcBorders>
            <w:shd w:val="clear" w:color="auto" w:fill="auto"/>
            <w:vAlign w:val="center"/>
          </w:tcPr>
          <w:p w14:paraId="247F0551">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包装车间</w:t>
            </w:r>
          </w:p>
        </w:tc>
        <w:tc>
          <w:tcPr>
            <w:tcW w:w="1540" w:type="dxa"/>
            <w:tcBorders>
              <w:tl2br w:val="nil"/>
              <w:tr2bl w:val="nil"/>
            </w:tcBorders>
            <w:shd w:val="clear" w:color="auto" w:fill="auto"/>
            <w:vAlign w:val="center"/>
          </w:tcPr>
          <w:p w14:paraId="26EC62ED">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 xml:space="preserve">1505.40 </w:t>
            </w:r>
          </w:p>
        </w:tc>
        <w:tc>
          <w:tcPr>
            <w:tcW w:w="1561" w:type="dxa"/>
            <w:tcBorders>
              <w:tl2br w:val="nil"/>
              <w:tr2bl w:val="nil"/>
            </w:tcBorders>
            <w:shd w:val="clear" w:color="auto" w:fill="auto"/>
            <w:vAlign w:val="center"/>
          </w:tcPr>
          <w:p w14:paraId="6C56CC24">
            <w:pPr>
              <w:spacing w:line="240" w:lineRule="auto"/>
              <w:ind w:firstLine="0" w:firstLineChars="0"/>
              <w:jc w:val="center"/>
              <w:textAlignment w:val="center"/>
              <w:rPr>
                <w:rStyle w:val="97"/>
                <w:rFonts w:hint="default" w:ascii="Times New Roman" w:hAnsi="Times New Roman" w:cs="Times New Roman"/>
                <w:color w:val="auto"/>
                <w:sz w:val="18"/>
                <w:szCs w:val="18"/>
                <w:lang w:val="en-US" w:eastAsia="zh-CN" w:bidi="ar"/>
              </w:rPr>
            </w:pPr>
            <w:r>
              <w:rPr>
                <w:rStyle w:val="97"/>
                <w:rFonts w:hint="default" w:ascii="Times New Roman" w:hAnsi="Times New Roman" w:cs="Times New Roman"/>
                <w:color w:val="auto"/>
                <w:sz w:val="18"/>
                <w:szCs w:val="18"/>
                <w:lang w:val="en-US" w:eastAsia="zh-CN" w:bidi="ar"/>
              </w:rPr>
              <w:t xml:space="preserve">3010.80 </w:t>
            </w:r>
          </w:p>
        </w:tc>
        <w:tc>
          <w:tcPr>
            <w:tcW w:w="698" w:type="dxa"/>
            <w:tcBorders>
              <w:tl2br w:val="nil"/>
              <w:tr2bl w:val="nil"/>
            </w:tcBorders>
            <w:shd w:val="clear" w:color="auto" w:fill="auto"/>
            <w:vAlign w:val="center"/>
          </w:tcPr>
          <w:p w14:paraId="7699A36C">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2</w:t>
            </w:r>
          </w:p>
        </w:tc>
        <w:tc>
          <w:tcPr>
            <w:tcW w:w="1021" w:type="dxa"/>
            <w:tcBorders>
              <w:tl2br w:val="nil"/>
              <w:tr2bl w:val="nil"/>
            </w:tcBorders>
            <w:shd w:val="clear" w:color="auto" w:fill="auto"/>
            <w:vAlign w:val="center"/>
          </w:tcPr>
          <w:p w14:paraId="4E449831">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9.6</w:t>
            </w:r>
          </w:p>
        </w:tc>
        <w:tc>
          <w:tcPr>
            <w:tcW w:w="1767" w:type="dxa"/>
            <w:tcBorders>
              <w:tl2br w:val="nil"/>
              <w:tr2bl w:val="nil"/>
            </w:tcBorders>
            <w:shd w:val="clear" w:color="auto" w:fill="auto"/>
            <w:vAlign w:val="center"/>
          </w:tcPr>
          <w:p w14:paraId="62C151E6">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混凝土框架结构</w:t>
            </w:r>
          </w:p>
        </w:tc>
      </w:tr>
      <w:tr w14:paraId="74C295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9" w:type="dxa"/>
            <w:tcBorders>
              <w:tl2br w:val="nil"/>
              <w:tr2bl w:val="nil"/>
            </w:tcBorders>
            <w:shd w:val="clear" w:color="auto" w:fill="auto"/>
            <w:vAlign w:val="center"/>
          </w:tcPr>
          <w:p w14:paraId="7E7D2263">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3</w:t>
            </w:r>
          </w:p>
        </w:tc>
        <w:tc>
          <w:tcPr>
            <w:tcW w:w="756" w:type="dxa"/>
            <w:vMerge w:val="continue"/>
            <w:tcBorders>
              <w:tl2br w:val="nil"/>
              <w:tr2bl w:val="nil"/>
            </w:tcBorders>
            <w:shd w:val="clear" w:color="auto" w:fill="auto"/>
            <w:noWrap/>
            <w:vAlign w:val="center"/>
          </w:tcPr>
          <w:p w14:paraId="64DDD272">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c>
          <w:tcPr>
            <w:tcW w:w="1151" w:type="dxa"/>
            <w:tcBorders>
              <w:tl2br w:val="nil"/>
              <w:tr2bl w:val="nil"/>
            </w:tcBorders>
            <w:shd w:val="clear" w:color="auto" w:fill="auto"/>
            <w:vAlign w:val="center"/>
          </w:tcPr>
          <w:p w14:paraId="06925371">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设备用房</w:t>
            </w:r>
          </w:p>
        </w:tc>
        <w:tc>
          <w:tcPr>
            <w:tcW w:w="1540" w:type="dxa"/>
            <w:tcBorders>
              <w:tl2br w:val="nil"/>
              <w:tr2bl w:val="nil"/>
            </w:tcBorders>
            <w:shd w:val="clear" w:color="auto" w:fill="auto"/>
            <w:vAlign w:val="center"/>
          </w:tcPr>
          <w:p w14:paraId="696D598B">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 xml:space="preserve">135.00 </w:t>
            </w:r>
          </w:p>
        </w:tc>
        <w:tc>
          <w:tcPr>
            <w:tcW w:w="1561" w:type="dxa"/>
            <w:tcBorders>
              <w:tl2br w:val="nil"/>
              <w:tr2bl w:val="nil"/>
            </w:tcBorders>
            <w:shd w:val="clear" w:color="auto" w:fill="auto"/>
            <w:vAlign w:val="center"/>
          </w:tcPr>
          <w:p w14:paraId="06211858">
            <w:pPr>
              <w:spacing w:line="240" w:lineRule="auto"/>
              <w:ind w:firstLine="0" w:firstLineChars="0"/>
              <w:jc w:val="center"/>
              <w:textAlignment w:val="center"/>
              <w:rPr>
                <w:rStyle w:val="97"/>
                <w:rFonts w:hint="default" w:ascii="Times New Roman" w:hAnsi="Times New Roman" w:cs="Times New Roman"/>
                <w:color w:val="auto"/>
                <w:sz w:val="18"/>
                <w:szCs w:val="18"/>
                <w:lang w:val="en-US" w:eastAsia="zh-CN" w:bidi="ar"/>
              </w:rPr>
            </w:pPr>
            <w:r>
              <w:rPr>
                <w:rStyle w:val="97"/>
                <w:rFonts w:hint="default" w:ascii="Times New Roman" w:hAnsi="Times New Roman" w:cs="Times New Roman"/>
                <w:color w:val="auto"/>
                <w:sz w:val="18"/>
                <w:szCs w:val="18"/>
                <w:lang w:val="en-US" w:eastAsia="zh-CN" w:bidi="ar"/>
              </w:rPr>
              <w:t xml:space="preserve">135.00 </w:t>
            </w:r>
          </w:p>
        </w:tc>
        <w:tc>
          <w:tcPr>
            <w:tcW w:w="698" w:type="dxa"/>
            <w:tcBorders>
              <w:tl2br w:val="nil"/>
              <w:tr2bl w:val="nil"/>
            </w:tcBorders>
            <w:shd w:val="clear" w:color="auto" w:fill="auto"/>
            <w:vAlign w:val="center"/>
          </w:tcPr>
          <w:p w14:paraId="732A8F10">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1</w:t>
            </w:r>
          </w:p>
        </w:tc>
        <w:tc>
          <w:tcPr>
            <w:tcW w:w="1021" w:type="dxa"/>
            <w:tcBorders>
              <w:tl2br w:val="nil"/>
              <w:tr2bl w:val="nil"/>
            </w:tcBorders>
            <w:shd w:val="clear" w:color="auto" w:fill="auto"/>
            <w:vAlign w:val="center"/>
          </w:tcPr>
          <w:p w14:paraId="0B6254FE">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 xml:space="preserve">5.1 </w:t>
            </w:r>
          </w:p>
        </w:tc>
        <w:tc>
          <w:tcPr>
            <w:tcW w:w="1767" w:type="dxa"/>
            <w:tcBorders>
              <w:tl2br w:val="nil"/>
              <w:tr2bl w:val="nil"/>
            </w:tcBorders>
            <w:shd w:val="clear" w:color="auto" w:fill="auto"/>
            <w:vAlign w:val="center"/>
          </w:tcPr>
          <w:p w14:paraId="551FEE62">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混凝土框架结构</w:t>
            </w:r>
          </w:p>
        </w:tc>
      </w:tr>
      <w:tr w14:paraId="7660CA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679" w:type="dxa"/>
            <w:tcBorders>
              <w:tl2br w:val="nil"/>
              <w:tr2bl w:val="nil"/>
            </w:tcBorders>
            <w:shd w:val="clear" w:color="auto" w:fill="auto"/>
            <w:vAlign w:val="center"/>
          </w:tcPr>
          <w:p w14:paraId="4ADD046D">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c>
          <w:tcPr>
            <w:tcW w:w="756" w:type="dxa"/>
            <w:vMerge w:val="continue"/>
            <w:tcBorders>
              <w:tl2br w:val="nil"/>
              <w:tr2bl w:val="nil"/>
            </w:tcBorders>
            <w:shd w:val="clear" w:color="auto" w:fill="auto"/>
            <w:noWrap/>
            <w:vAlign w:val="center"/>
          </w:tcPr>
          <w:p w14:paraId="254D1F72">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c>
          <w:tcPr>
            <w:tcW w:w="1151" w:type="dxa"/>
            <w:tcBorders>
              <w:tl2br w:val="nil"/>
              <w:tr2bl w:val="nil"/>
            </w:tcBorders>
            <w:shd w:val="clear" w:color="auto" w:fill="auto"/>
            <w:vAlign w:val="center"/>
          </w:tcPr>
          <w:p w14:paraId="5D366CC0">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小计</w:t>
            </w:r>
          </w:p>
        </w:tc>
        <w:tc>
          <w:tcPr>
            <w:tcW w:w="1540" w:type="dxa"/>
            <w:tcBorders>
              <w:tl2br w:val="nil"/>
              <w:tr2bl w:val="nil"/>
            </w:tcBorders>
            <w:shd w:val="clear" w:color="auto" w:fill="auto"/>
            <w:vAlign w:val="center"/>
          </w:tcPr>
          <w:p w14:paraId="3DDC63AC">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5745.72</w:t>
            </w:r>
          </w:p>
        </w:tc>
        <w:tc>
          <w:tcPr>
            <w:tcW w:w="1561" w:type="dxa"/>
            <w:tcBorders>
              <w:tl2br w:val="nil"/>
              <w:tr2bl w:val="nil"/>
            </w:tcBorders>
            <w:shd w:val="clear" w:color="auto" w:fill="auto"/>
            <w:vAlign w:val="center"/>
          </w:tcPr>
          <w:p w14:paraId="249AEAD8">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r>
              <w:rPr>
                <w:rStyle w:val="97"/>
                <w:rFonts w:hint="eastAsia" w:ascii="Times New Roman" w:hAnsi="Times New Roman" w:cs="Times New Roman"/>
                <w:color w:val="auto"/>
                <w:sz w:val="18"/>
                <w:szCs w:val="18"/>
                <w:lang w:val="en-US" w:eastAsia="zh-CN" w:bidi="ar"/>
              </w:rPr>
              <w:t>7251.12</w:t>
            </w:r>
          </w:p>
        </w:tc>
        <w:tc>
          <w:tcPr>
            <w:tcW w:w="698" w:type="dxa"/>
            <w:tcBorders>
              <w:tl2br w:val="nil"/>
              <w:tr2bl w:val="nil"/>
            </w:tcBorders>
            <w:shd w:val="clear" w:color="auto" w:fill="auto"/>
            <w:vAlign w:val="center"/>
          </w:tcPr>
          <w:p w14:paraId="5D75E92C">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c>
          <w:tcPr>
            <w:tcW w:w="1021" w:type="dxa"/>
            <w:tcBorders>
              <w:tl2br w:val="nil"/>
              <w:tr2bl w:val="nil"/>
            </w:tcBorders>
            <w:shd w:val="clear" w:color="auto" w:fill="auto"/>
            <w:vAlign w:val="center"/>
          </w:tcPr>
          <w:p w14:paraId="246BEB74">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c>
          <w:tcPr>
            <w:tcW w:w="1767" w:type="dxa"/>
            <w:tcBorders>
              <w:tl2br w:val="nil"/>
              <w:tr2bl w:val="nil"/>
            </w:tcBorders>
            <w:shd w:val="clear" w:color="auto" w:fill="auto"/>
            <w:vAlign w:val="center"/>
          </w:tcPr>
          <w:p w14:paraId="252AFB83">
            <w:pPr>
              <w:spacing w:line="240" w:lineRule="auto"/>
              <w:ind w:firstLine="0" w:firstLineChars="0"/>
              <w:jc w:val="center"/>
              <w:textAlignment w:val="center"/>
              <w:rPr>
                <w:rStyle w:val="97"/>
                <w:rFonts w:hint="eastAsia" w:ascii="Times New Roman" w:hAnsi="Times New Roman" w:cs="Times New Roman"/>
                <w:color w:val="auto"/>
                <w:sz w:val="18"/>
                <w:szCs w:val="18"/>
                <w:lang w:val="en-US" w:eastAsia="zh-CN" w:bidi="ar"/>
              </w:rPr>
            </w:pPr>
          </w:p>
        </w:tc>
      </w:tr>
    </w:tbl>
    <w:p w14:paraId="16CFEB4D">
      <w:pPr>
        <w:pStyle w:val="6"/>
        <w:bidi w:val="0"/>
        <w:rPr>
          <w:rFonts w:hint="default"/>
        </w:rPr>
      </w:pPr>
      <w:r>
        <w:rPr>
          <w:rFonts w:hint="eastAsia"/>
          <w:lang w:eastAsia="zh-CN"/>
        </w:rPr>
        <w:t>道路及硬化区</w:t>
      </w:r>
    </w:p>
    <w:p w14:paraId="5278AAAA">
      <w:pPr>
        <w:pStyle w:val="93"/>
        <w:rPr>
          <w:rFonts w:hint="default" w:ascii="Times New Roman" w:hAnsi="Times New Roman" w:cs="Times New Roman"/>
          <w:lang w:val="zh-CN"/>
        </w:rPr>
      </w:pPr>
      <w:r>
        <w:rPr>
          <w:rFonts w:hint="default" w:ascii="Times New Roman" w:hAnsi="Times New Roman" w:cs="Times New Roman"/>
          <w:lang w:val="zh-CN"/>
        </w:rPr>
        <w:t>1、</w:t>
      </w:r>
      <w:r>
        <w:rPr>
          <w:rFonts w:hint="eastAsia" w:cs="Times New Roman"/>
          <w:lang w:val="en-US" w:eastAsia="zh-CN"/>
        </w:rPr>
        <w:t>道路及</w:t>
      </w:r>
      <w:r>
        <w:rPr>
          <w:rFonts w:hint="default" w:ascii="Times New Roman" w:hAnsi="Times New Roman" w:cs="Times New Roman"/>
          <w:lang w:val="zh-CN"/>
        </w:rPr>
        <w:t>硬化场地</w:t>
      </w:r>
    </w:p>
    <w:p w14:paraId="3714A9F0">
      <w:pPr>
        <w:pStyle w:val="93"/>
        <w:rPr>
          <w:rFonts w:hint="default" w:ascii="Times New Roman" w:hAnsi="Times New Roman" w:cs="Times New Roman"/>
          <w:lang w:val="zh-CN"/>
        </w:rPr>
      </w:pPr>
      <w:r>
        <w:rPr>
          <w:rFonts w:hint="default" w:ascii="Times New Roman" w:hAnsi="Times New Roman" w:cs="Times New Roman"/>
          <w:lang w:val="zh-CN"/>
        </w:rPr>
        <w:t>根据主体设计资料，针对</w:t>
      </w:r>
      <w:r>
        <w:rPr>
          <w:rFonts w:hint="eastAsia" w:cs="Times New Roman"/>
          <w:lang w:val="en-US" w:eastAsia="zh-CN"/>
        </w:rPr>
        <w:t>地块二在北侧及东侧布设场内道路衔接车间及周边已有市政道路，紧邻深加工间，</w:t>
      </w:r>
      <w:r>
        <w:rPr>
          <w:rFonts w:hint="eastAsia"/>
          <w:color w:val="auto"/>
          <w:lang w:val="en-US" w:eastAsia="zh-CN"/>
        </w:rPr>
        <w:t>路面为混凝土硬化路面，道路宽为6m，</w:t>
      </w:r>
      <w:r>
        <w:rPr>
          <w:color w:val="auto"/>
        </w:rPr>
        <w:t>设计时速20km/h，</w:t>
      </w:r>
      <w:r>
        <w:rPr>
          <w:color w:val="auto"/>
          <w:lang w:val="en-US" w:eastAsia="zh-CN"/>
        </w:rPr>
        <w:t>共计布设场内道路</w:t>
      </w:r>
      <w:r>
        <w:rPr>
          <w:rFonts w:hint="eastAsia"/>
          <w:color w:val="auto"/>
          <w:lang w:val="en-US" w:eastAsia="zh-CN"/>
        </w:rPr>
        <w:t>196</w:t>
      </w:r>
      <w:r>
        <w:rPr>
          <w:color w:val="auto"/>
          <w:lang w:val="en-US" w:eastAsia="zh-CN"/>
        </w:rPr>
        <w:t>m</w:t>
      </w:r>
      <w:r>
        <w:rPr>
          <w:rFonts w:hint="eastAsia"/>
          <w:color w:val="auto"/>
          <w:lang w:val="en-US" w:eastAsia="zh-CN"/>
        </w:rPr>
        <w:t>。硬化场地</w:t>
      </w:r>
      <w:r>
        <w:rPr>
          <w:color w:val="auto"/>
          <w:lang w:val="en-US" w:eastAsia="zh-CN"/>
        </w:rPr>
        <w:t>主要布设于</w:t>
      </w:r>
      <w:r>
        <w:rPr>
          <w:rFonts w:hint="eastAsia"/>
          <w:color w:val="auto"/>
          <w:lang w:val="en-US" w:eastAsia="zh-CN"/>
        </w:rPr>
        <w:t>建构筑物周边区域。道路及硬化场地共计0.20hm</w:t>
      </w:r>
      <w:r>
        <w:rPr>
          <w:rFonts w:hint="eastAsia"/>
          <w:color w:val="auto"/>
          <w:vertAlign w:val="superscript"/>
          <w:lang w:val="en-US" w:eastAsia="zh-CN"/>
        </w:rPr>
        <w:t>2</w:t>
      </w:r>
      <w:r>
        <w:rPr>
          <w:rFonts w:hint="eastAsia"/>
          <w:color w:val="auto"/>
          <w:lang w:val="en-US" w:eastAsia="zh-CN"/>
        </w:rPr>
        <w:t>。</w:t>
      </w:r>
    </w:p>
    <w:p w14:paraId="7D332FD2">
      <w:pPr>
        <w:pStyle w:val="93"/>
        <w:rPr>
          <w:rFonts w:hint="default" w:ascii="Times New Roman" w:hAnsi="Times New Roman" w:cs="Times New Roman"/>
          <w:lang w:val="zh-CN"/>
        </w:rPr>
      </w:pPr>
      <w:r>
        <w:rPr>
          <w:rFonts w:hint="default" w:ascii="Times New Roman" w:hAnsi="Times New Roman" w:cs="Times New Roman"/>
          <w:lang w:val="zh-CN"/>
        </w:rPr>
        <w:t>2、出入口</w:t>
      </w:r>
    </w:p>
    <w:p w14:paraId="71F86CC9">
      <w:pPr>
        <w:pStyle w:val="93"/>
        <w:rPr>
          <w:rFonts w:hint="default" w:ascii="Times New Roman" w:hAnsi="Times New Roman" w:eastAsia="仿宋_GB2312" w:cs="Times New Roman"/>
          <w:lang w:val="en-US" w:eastAsia="zh-CN"/>
        </w:rPr>
      </w:pPr>
      <w:r>
        <w:rPr>
          <w:rFonts w:hint="eastAsia" w:cs="Times New Roman"/>
          <w:lang w:val="en-US" w:eastAsia="zh-CN"/>
        </w:rPr>
        <w:t>地块二</w:t>
      </w:r>
      <w:r>
        <w:rPr>
          <w:rFonts w:hint="default" w:ascii="Times New Roman" w:hAnsi="Times New Roman" w:cs="Times New Roman"/>
          <w:lang w:val="zh-CN"/>
        </w:rPr>
        <w:t>共设置个出入口2处，位于项目区</w:t>
      </w:r>
      <w:r>
        <w:rPr>
          <w:rFonts w:hint="default" w:ascii="Times New Roman" w:hAnsi="Times New Roman" w:cs="Times New Roman"/>
        </w:rPr>
        <w:t>西</w:t>
      </w:r>
      <w:r>
        <w:rPr>
          <w:rFonts w:hint="eastAsia" w:cs="Times New Roman"/>
          <w:lang w:val="en-US" w:eastAsia="zh-CN"/>
        </w:rPr>
        <w:t>北</w:t>
      </w:r>
      <w:r>
        <w:rPr>
          <w:rFonts w:hint="default" w:ascii="Times New Roman" w:hAnsi="Times New Roman" w:cs="Times New Roman"/>
        </w:rPr>
        <w:t>侧</w:t>
      </w:r>
      <w:r>
        <w:rPr>
          <w:rFonts w:hint="eastAsia" w:cs="Times New Roman"/>
          <w:lang w:val="en-US" w:eastAsia="zh-CN"/>
        </w:rPr>
        <w:t>和东北侧</w:t>
      </w:r>
      <w:r>
        <w:rPr>
          <w:rFonts w:hint="eastAsia" w:cs="Times New Roman"/>
          <w:lang w:eastAsia="zh-CN"/>
        </w:rPr>
        <w:t>，</w:t>
      </w:r>
      <w:r>
        <w:rPr>
          <w:rFonts w:hint="eastAsia" w:cs="Times New Roman"/>
          <w:lang w:val="en-US" w:eastAsia="zh-CN"/>
        </w:rPr>
        <w:t>西侧连接雄鸡路，东侧连接现有市政道路（两个地块中间道路）。</w:t>
      </w:r>
    </w:p>
    <w:p w14:paraId="6933857C">
      <w:pPr>
        <w:pStyle w:val="93"/>
        <w:rPr>
          <w:rFonts w:hint="default" w:ascii="Times New Roman" w:hAnsi="Times New Roman" w:cs="Times New Roman"/>
          <w:lang w:val="zh-CN"/>
        </w:rPr>
      </w:pPr>
      <w:r>
        <w:rPr>
          <w:rFonts w:hint="default" w:ascii="Times New Roman" w:hAnsi="Times New Roman" w:cs="Times New Roman"/>
          <w:lang w:val="zh-CN"/>
        </w:rPr>
        <w:t>根据主体设计资料统计，</w:t>
      </w:r>
      <w:r>
        <w:rPr>
          <w:rFonts w:hint="eastAsia" w:cs="Times New Roman"/>
          <w:lang w:eastAsia="zh-CN"/>
        </w:rPr>
        <w:t>待补镇安康安置点帮扶车间建设项目</w:t>
      </w:r>
      <w:r>
        <w:rPr>
          <w:rFonts w:hint="eastAsia" w:cs="Times New Roman"/>
          <w:lang w:val="en-US" w:eastAsia="zh-CN"/>
        </w:rPr>
        <w:t>地块二</w:t>
      </w:r>
      <w:r>
        <w:rPr>
          <w:rFonts w:hint="eastAsia" w:cs="Times New Roman"/>
          <w:lang w:val="zh-CN"/>
        </w:rPr>
        <w:t>道路及硬化区</w:t>
      </w:r>
      <w:r>
        <w:rPr>
          <w:rFonts w:hint="default" w:ascii="Times New Roman" w:hAnsi="Times New Roman" w:cs="Times New Roman"/>
        </w:rPr>
        <w:t>总</w:t>
      </w:r>
      <w:r>
        <w:rPr>
          <w:rFonts w:hint="default" w:ascii="Times New Roman" w:hAnsi="Times New Roman" w:cs="Times New Roman"/>
          <w:lang w:val="zh-CN"/>
        </w:rPr>
        <w:t>占地面积为0.</w:t>
      </w:r>
      <w:r>
        <w:rPr>
          <w:rFonts w:hint="eastAsia" w:cs="Times New Roman"/>
          <w:lang w:val="en-US" w:eastAsia="zh-CN"/>
        </w:rPr>
        <w:t>20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p>
    <w:p w14:paraId="4CD90C2E">
      <w:pPr>
        <w:pStyle w:val="6"/>
        <w:bidi w:val="0"/>
        <w:ind w:left="0" w:firstLine="0"/>
        <w:rPr>
          <w:rFonts w:hint="default" w:ascii="Times New Roman" w:hAnsi="Times New Roman" w:cs="Times New Roman"/>
        </w:rPr>
      </w:pPr>
      <w:r>
        <w:rPr>
          <w:rFonts w:hint="default" w:ascii="Times New Roman" w:hAnsi="Times New Roman" w:cs="Times New Roman"/>
        </w:rPr>
        <w:t>绿化区</w:t>
      </w:r>
    </w:p>
    <w:p w14:paraId="570D3E5B">
      <w:pPr>
        <w:ind w:firstLine="480"/>
        <w:rPr>
          <w:rFonts w:hint="default" w:ascii="Times New Roman" w:hAnsi="Times New Roman" w:cs="Times New Roman"/>
          <w:lang w:val="zh-CN"/>
        </w:rPr>
      </w:pPr>
      <w:r>
        <w:rPr>
          <w:rFonts w:hint="default" w:ascii="Times New Roman" w:hAnsi="Times New Roman" w:cs="Times New Roman"/>
          <w:lang w:val="zh-CN"/>
        </w:rPr>
        <w:t>本项目景观绿化主要布置于建筑物、场地周边，</w:t>
      </w:r>
      <w:r>
        <w:rPr>
          <w:rFonts w:hint="eastAsia" w:cs="Times New Roman"/>
          <w:lang w:val="en-US" w:eastAsia="zh-CN"/>
        </w:rPr>
        <w:t>地块二绿化区域主要布置于北侧、西侧及东侧</w:t>
      </w:r>
      <w:r>
        <w:rPr>
          <w:rFonts w:hint="default" w:ascii="Times New Roman" w:hAnsi="Times New Roman" w:cs="Times New Roman"/>
          <w:lang w:val="zh-CN"/>
        </w:rPr>
        <w:t>区域，</w:t>
      </w:r>
      <w:r>
        <w:rPr>
          <w:rFonts w:hint="default" w:ascii="Times New Roman" w:hAnsi="Times New Roman" w:cs="Times New Roman"/>
          <w:color w:val="000000"/>
        </w:rPr>
        <w:t>通过布置乔木、灌木、草皮的选择与配置，做到与适定的形式</w:t>
      </w:r>
      <w:r>
        <w:rPr>
          <w:rStyle w:val="92"/>
          <w:rFonts w:hint="default" w:ascii="Times New Roman" w:hAnsi="Times New Roman" w:cs="Times New Roman"/>
        </w:rPr>
        <w:t>——</w:t>
      </w:r>
      <w:r>
        <w:rPr>
          <w:rFonts w:hint="default" w:ascii="Times New Roman" w:hAnsi="Times New Roman" w:cs="Times New Roman"/>
          <w:color w:val="000000"/>
        </w:rPr>
        <w:t>点、线、面的有机结合，丰富了空间对景的变化。最终使绿化景观与周边不同区域的功能与空间要求密切配合，从而达到一种最佳的生态景观效果。</w:t>
      </w:r>
      <w:r>
        <w:rPr>
          <w:rFonts w:hint="default" w:ascii="Times New Roman" w:hAnsi="Times New Roman" w:cs="Times New Roman"/>
          <w:lang w:val="zh-CN"/>
        </w:rPr>
        <w:t>绿化面积为</w:t>
      </w:r>
      <w:r>
        <w:rPr>
          <w:rFonts w:hint="default" w:ascii="Times New Roman" w:hAnsi="Times New Roman" w:cs="Times New Roman"/>
        </w:rPr>
        <w:t>0.</w:t>
      </w:r>
      <w:r>
        <w:rPr>
          <w:rFonts w:hint="eastAsia" w:cs="Times New Roman"/>
          <w:lang w:val="en-US" w:eastAsia="zh-CN"/>
        </w:rPr>
        <w:t>14</w:t>
      </w:r>
      <w:r>
        <w:rPr>
          <w:rFonts w:hint="default" w:ascii="Times New Roman" w:hAnsi="Times New Roman" w:cs="Times New Roman"/>
          <w:lang w:val="zh-CN"/>
        </w:rPr>
        <w:t>hm</w:t>
      </w:r>
      <w:r>
        <w:rPr>
          <w:rFonts w:hint="default" w:ascii="Times New Roman" w:hAnsi="Times New Roman" w:cs="Times New Roman"/>
          <w:vertAlign w:val="superscript"/>
        </w:rPr>
        <w:t>2</w:t>
      </w:r>
      <w:r>
        <w:rPr>
          <w:rFonts w:hint="default" w:ascii="Times New Roman" w:hAnsi="Times New Roman" w:cs="Times New Roman"/>
          <w:lang w:val="zh-CN"/>
        </w:rPr>
        <w:t>。</w:t>
      </w:r>
    </w:p>
    <w:p w14:paraId="1E0387B9">
      <w:pPr>
        <w:pStyle w:val="6"/>
        <w:bidi w:val="0"/>
        <w:ind w:left="0" w:firstLine="0"/>
        <w:rPr>
          <w:rFonts w:hint="default" w:ascii="Times New Roman" w:hAnsi="Times New Roman" w:cs="Times New Roman"/>
          <w:lang w:val="zh-CN"/>
        </w:rPr>
      </w:pPr>
      <w:r>
        <w:rPr>
          <w:rFonts w:hint="default" w:ascii="Times New Roman" w:hAnsi="Times New Roman" w:cs="Times New Roman"/>
        </w:rPr>
        <w:t>附属</w:t>
      </w:r>
      <w:r>
        <w:rPr>
          <w:rFonts w:hint="default" w:ascii="Times New Roman" w:hAnsi="Times New Roman" w:cs="Times New Roman"/>
          <w:lang w:val="zh-CN"/>
        </w:rPr>
        <w:t>设施</w:t>
      </w:r>
    </w:p>
    <w:p w14:paraId="27493099">
      <w:pPr>
        <w:pStyle w:val="93"/>
        <w:rPr>
          <w:rFonts w:hint="default" w:ascii="Times New Roman" w:hAnsi="Times New Roman" w:cs="Times New Roman"/>
          <w:lang w:val="zh-CN"/>
        </w:rPr>
      </w:pPr>
      <w:r>
        <w:rPr>
          <w:rFonts w:hint="default" w:ascii="Times New Roman" w:hAnsi="Times New Roman" w:cs="Times New Roman"/>
          <w:lang w:val="zh-CN"/>
        </w:rPr>
        <w:t>配套设施建设工程主要包括给排水系统、供电系统、通讯系统、供气系统和消防系统。配套设施建设占地计入建构筑物区、</w:t>
      </w:r>
      <w:r>
        <w:rPr>
          <w:rFonts w:hint="eastAsia" w:cs="Times New Roman"/>
          <w:lang w:val="zh-CN"/>
        </w:rPr>
        <w:t>道路及硬化区</w:t>
      </w:r>
      <w:r>
        <w:rPr>
          <w:rFonts w:hint="default" w:ascii="Times New Roman" w:hAnsi="Times New Roman" w:cs="Times New Roman"/>
          <w:lang w:val="zh-CN"/>
        </w:rPr>
        <w:t>、绿化区等相应占地中，不再单独计列。</w:t>
      </w:r>
    </w:p>
    <w:p w14:paraId="0754C56E">
      <w:pPr>
        <w:pStyle w:val="93"/>
        <w:rPr>
          <w:rFonts w:hint="default" w:ascii="Times New Roman" w:hAnsi="Times New Roman" w:cs="Times New Roman"/>
          <w:lang w:val="zh-CN"/>
        </w:rPr>
      </w:pPr>
      <w:r>
        <w:rPr>
          <w:rFonts w:hint="default" w:ascii="Times New Roman" w:hAnsi="Times New Roman" w:cs="Times New Roman"/>
          <w:lang w:val="zh-CN"/>
        </w:rPr>
        <w:t>1、给水系统</w:t>
      </w:r>
    </w:p>
    <w:p w14:paraId="3DBAE4AD">
      <w:pPr>
        <w:pStyle w:val="93"/>
        <w:rPr>
          <w:rFonts w:hint="default" w:ascii="Times New Roman" w:hAnsi="Times New Roman" w:cs="Times New Roman"/>
        </w:rPr>
      </w:pPr>
      <w:r>
        <w:rPr>
          <w:rFonts w:hint="default" w:ascii="Times New Roman" w:hAnsi="Times New Roman" w:cs="Times New Roman"/>
          <w:color w:val="auto"/>
        </w:rPr>
        <w:t>项目区</w:t>
      </w:r>
      <w:r>
        <w:rPr>
          <w:rFonts w:hint="eastAsia" w:cs="Times New Roman"/>
          <w:color w:val="auto"/>
          <w:lang w:val="en-US" w:eastAsia="zh-CN"/>
        </w:rPr>
        <w:t>紧邻</w:t>
      </w:r>
      <w:r>
        <w:rPr>
          <w:rFonts w:hint="default" w:ascii="Times New Roman" w:hAnsi="Times New Roman" w:cs="Times New Roman"/>
        </w:rPr>
        <w:t>鸡鸣山大道、雄鸡路、国道213线（骏宝路）</w:t>
      </w:r>
      <w:r>
        <w:rPr>
          <w:rFonts w:hint="eastAsia" w:cs="Times New Roman"/>
          <w:lang w:val="en-US" w:eastAsia="zh-CN"/>
        </w:rPr>
        <w:t>等已有市政道路</w:t>
      </w:r>
      <w:r>
        <w:rPr>
          <w:rFonts w:hint="default" w:ascii="Times New Roman" w:hAnsi="Times New Roman" w:cs="Times New Roman"/>
        </w:rPr>
        <w:t>，</w:t>
      </w:r>
      <w:r>
        <w:rPr>
          <w:rFonts w:hint="default" w:ascii="Times New Roman" w:hAnsi="Times New Roman" w:cs="Times New Roman"/>
          <w:color w:val="auto"/>
        </w:rPr>
        <w:t>周边布设有完善的市政供水管网，项目建设期间从市政给水主干道上引入</w:t>
      </w:r>
      <w:r>
        <w:rPr>
          <w:rFonts w:hint="eastAsia" w:cs="Times New Roman"/>
          <w:color w:val="auto"/>
          <w:lang w:val="en-US" w:eastAsia="zh-CN"/>
        </w:rPr>
        <w:t>一</w:t>
      </w:r>
      <w:r>
        <w:rPr>
          <w:rFonts w:hint="default" w:ascii="Times New Roman" w:hAnsi="Times New Roman" w:cs="Times New Roman"/>
          <w:color w:val="auto"/>
          <w:lang w:val="en-US" w:eastAsia="zh-CN"/>
        </w:rPr>
        <w:t>根</w:t>
      </w:r>
      <w:r>
        <w:rPr>
          <w:rStyle w:val="92"/>
          <w:rFonts w:hint="default" w:ascii="Times New Roman" w:hAnsi="Times New Roman" w:cs="Times New Roman"/>
        </w:rPr>
        <w:t>DN（150）</w:t>
      </w:r>
      <w:r>
        <w:rPr>
          <w:rFonts w:hint="default" w:ascii="Times New Roman" w:hAnsi="Times New Roman" w:cs="Times New Roman"/>
          <w:color w:val="auto"/>
        </w:rPr>
        <w:t>给水管，供本项目施工期间的用水，施工完成后用作后期的生活和消防用水水源。</w:t>
      </w:r>
    </w:p>
    <w:p w14:paraId="13FA5F07">
      <w:pPr>
        <w:pStyle w:val="93"/>
        <w:rPr>
          <w:rFonts w:hint="default" w:ascii="Times New Roman" w:hAnsi="Times New Roman" w:cs="Times New Roman"/>
          <w:lang w:val="zh-CN"/>
        </w:rPr>
      </w:pPr>
      <w:r>
        <w:rPr>
          <w:rFonts w:hint="default" w:ascii="Times New Roman" w:hAnsi="Times New Roman" w:cs="Times New Roman"/>
          <w:lang w:val="zh-CN"/>
        </w:rPr>
        <w:t>2、排水系统</w:t>
      </w:r>
    </w:p>
    <w:p w14:paraId="46AC2979">
      <w:pPr>
        <w:pStyle w:val="93"/>
        <w:rPr>
          <w:rFonts w:hint="default" w:ascii="Times New Roman" w:hAnsi="Times New Roman" w:eastAsia="仿宋_GB2312" w:cs="Times New Roman"/>
          <w:lang w:val="en-US" w:eastAsia="zh-CN"/>
        </w:rPr>
      </w:pPr>
      <w:r>
        <w:rPr>
          <w:rFonts w:hint="default" w:ascii="Times New Roman" w:hAnsi="Times New Roman" w:cs="Times New Roman"/>
          <w:lang w:val="zh-CN"/>
        </w:rPr>
        <w:t>本工程排水采用雨污分流制排水，项目区内雨水经</w:t>
      </w:r>
      <w:r>
        <w:rPr>
          <w:rFonts w:hint="default" w:ascii="Times New Roman" w:hAnsi="Times New Roman" w:cs="Times New Roman"/>
        </w:rPr>
        <w:t>雨水管</w:t>
      </w:r>
      <w:r>
        <w:rPr>
          <w:rFonts w:hint="default" w:ascii="Times New Roman" w:hAnsi="Times New Roman" w:cs="Times New Roman"/>
          <w:lang w:val="zh-CN"/>
        </w:rPr>
        <w:t>收集后，排放至</w:t>
      </w:r>
      <w:r>
        <w:rPr>
          <w:rFonts w:hint="default" w:ascii="Times New Roman" w:hAnsi="Times New Roman" w:cs="Times New Roman"/>
        </w:rPr>
        <w:t>项目区西侧</w:t>
      </w:r>
      <w:r>
        <w:rPr>
          <w:rFonts w:hint="eastAsia" w:cs="Times New Roman"/>
          <w:lang w:val="en-US" w:eastAsia="zh-CN"/>
        </w:rPr>
        <w:t>和东南侧市政道路已有雨水管网。</w:t>
      </w:r>
    </w:p>
    <w:p w14:paraId="15B9F879">
      <w:pPr>
        <w:pStyle w:val="93"/>
        <w:rPr>
          <w:rFonts w:hint="default" w:ascii="Times New Roman" w:hAnsi="Times New Roman" w:cs="Times New Roman"/>
          <w:lang w:val="zh-CN"/>
        </w:rPr>
      </w:pPr>
      <w:r>
        <w:rPr>
          <w:rFonts w:hint="default" w:ascii="Times New Roman" w:hAnsi="Times New Roman" w:cs="Times New Roman"/>
        </w:rPr>
        <w:t>生活污水汇集后，经污水处理装置进行初步处理后，接入西侧</w:t>
      </w:r>
      <w:r>
        <w:rPr>
          <w:rFonts w:hint="eastAsia" w:cs="Times New Roman"/>
          <w:lang w:val="en-US" w:eastAsia="zh-CN"/>
        </w:rPr>
        <w:t>和东南侧市政道路已有污水管网</w:t>
      </w:r>
      <w:r>
        <w:rPr>
          <w:rFonts w:hint="default" w:ascii="Times New Roman" w:hAnsi="Times New Roman" w:cs="Times New Roman"/>
        </w:rPr>
        <w:t>，由市政污水管排入污水处理厂处理。</w:t>
      </w:r>
    </w:p>
    <w:p w14:paraId="24E16D6E">
      <w:pPr>
        <w:pStyle w:val="93"/>
        <w:rPr>
          <w:rFonts w:hint="default" w:ascii="Times New Roman" w:hAnsi="Times New Roman" w:cs="Times New Roman"/>
          <w:lang w:val="zh-CN"/>
        </w:rPr>
      </w:pPr>
      <w:r>
        <w:rPr>
          <w:rFonts w:hint="default" w:ascii="Times New Roman" w:hAnsi="Times New Roman" w:cs="Times New Roman"/>
          <w:lang w:val="zh-CN"/>
        </w:rPr>
        <w:t>3、供电系统</w:t>
      </w:r>
    </w:p>
    <w:p w14:paraId="20545203">
      <w:pPr>
        <w:pStyle w:val="93"/>
        <w:rPr>
          <w:rFonts w:hint="default" w:ascii="Times New Roman" w:hAnsi="Times New Roman" w:cs="Times New Roman"/>
          <w:lang w:val="zh-CN"/>
        </w:rPr>
      </w:pPr>
      <w:r>
        <w:rPr>
          <w:rFonts w:hint="default" w:ascii="Times New Roman" w:hAnsi="Times New Roman" w:cs="Times New Roman"/>
          <w:color w:val="auto"/>
          <w:lang w:val="zh-CN"/>
        </w:rPr>
        <w:t>项目区</w:t>
      </w:r>
      <w:r>
        <w:rPr>
          <w:rFonts w:hint="default" w:ascii="Times New Roman" w:hAnsi="Times New Roman" w:cs="Times New Roman"/>
          <w:lang w:val="zh-CN"/>
        </w:rPr>
        <w:t>位于</w:t>
      </w:r>
      <w:r>
        <w:rPr>
          <w:rFonts w:hint="eastAsia" w:cs="Times New Roman"/>
          <w:lang w:val="en-US" w:eastAsia="zh-CN"/>
        </w:rPr>
        <w:t>城镇</w:t>
      </w:r>
      <w:r>
        <w:rPr>
          <w:rFonts w:hint="default" w:ascii="Times New Roman" w:hAnsi="Times New Roman" w:cs="Times New Roman"/>
          <w:lang w:val="zh-CN"/>
        </w:rPr>
        <w:t>，周边已有供电设施，</w:t>
      </w:r>
      <w:r>
        <w:rPr>
          <w:rFonts w:hint="default" w:ascii="Times New Roman" w:hAnsi="Times New Roman" w:cs="Times New Roman"/>
          <w:color w:val="auto"/>
          <w:lang w:val="zh-CN"/>
        </w:rPr>
        <w:t>项目区用电直接由现有的供电网引入，以满足区域的照明和动力等用电需求。</w:t>
      </w:r>
    </w:p>
    <w:p w14:paraId="06BD817D">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4、通讯系统</w:t>
      </w:r>
    </w:p>
    <w:p w14:paraId="2CDAA83D">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通讯线路全部由周边通讯系统引接入项目区，不涉及新增占地情况，可以满足本项目的通讯要求。</w:t>
      </w:r>
    </w:p>
    <w:p w14:paraId="15A19867">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5、消防系统</w:t>
      </w:r>
    </w:p>
    <w:p w14:paraId="63A18E36">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按国家相关规定，本工程室内设置消火栓，配置灭火器，并保证消防水源能24小时供水，设计的水量、水压均能满足建筑物灭火需要；在电气设备造型及安装上，均考虑了接地、防爆措施，对建筑物采取了防雷、防爆措施。室外设立消防栓，消防水泵采用自灌式引水，以保证迅速启动；区内按要求悬挂配备干粉式灭火器。</w:t>
      </w:r>
    </w:p>
    <w:p w14:paraId="33096B6D">
      <w:pPr>
        <w:pStyle w:val="4"/>
        <w:rPr>
          <w:rFonts w:hint="default" w:ascii="Times New Roman" w:hAnsi="Times New Roman" w:cs="Times New Roman"/>
        </w:rPr>
      </w:pPr>
      <w:r>
        <w:rPr>
          <w:rFonts w:hint="default" w:ascii="Times New Roman" w:hAnsi="Times New Roman" w:cs="Times New Roman"/>
        </w:rPr>
        <w:t>工程布置</w:t>
      </w:r>
    </w:p>
    <w:p w14:paraId="0AF9ADFD">
      <w:pPr>
        <w:pStyle w:val="5"/>
        <w:rPr>
          <w:rFonts w:hint="default" w:ascii="Times New Roman" w:hAnsi="Times New Roman" w:cs="Times New Roman"/>
        </w:rPr>
      </w:pPr>
      <w:r>
        <w:rPr>
          <w:rFonts w:hint="default" w:ascii="Times New Roman" w:hAnsi="Times New Roman" w:cs="Times New Roman"/>
        </w:rPr>
        <w:t>平面布置</w:t>
      </w:r>
    </w:p>
    <w:p w14:paraId="2D578867">
      <w:pPr>
        <w:pStyle w:val="93"/>
        <w:rPr>
          <w:rFonts w:hint="eastAsia" w:cs="Times New Roman"/>
          <w:lang w:val="en-US" w:eastAsia="zh-CN"/>
        </w:rPr>
      </w:pPr>
      <w:r>
        <w:rPr>
          <w:rFonts w:hint="eastAsia" w:cs="Times New Roman"/>
          <w:lang w:val="en-US" w:eastAsia="zh-CN"/>
        </w:rPr>
        <w:t>本项目由两个地块组成，两个地块均呈</w:t>
      </w:r>
      <w:r>
        <w:rPr>
          <w:rFonts w:hint="default" w:ascii="Times New Roman" w:hAnsi="Times New Roman" w:cs="Times New Roman"/>
        </w:rPr>
        <w:t>不规则多边形，</w:t>
      </w:r>
      <w:r>
        <w:rPr>
          <w:rFonts w:hint="eastAsia" w:cs="Times New Roman"/>
          <w:lang w:val="en-US" w:eastAsia="zh-CN"/>
        </w:rPr>
        <w:t>地块二位于地块一西侧位置，两个地块中间为现有市政道路，地块一北侧为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西侧为两个地块中间的已有市政道路；地块二北侧为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w:t>
      </w:r>
      <w:r>
        <w:rPr>
          <w:rFonts w:hint="default" w:ascii="Times New Roman" w:hAnsi="Times New Roman" w:cs="Times New Roman"/>
        </w:rPr>
        <w:t>雄鸡路</w:t>
      </w:r>
      <w:r>
        <w:rPr>
          <w:rFonts w:hint="eastAsia" w:cs="Times New Roman"/>
          <w:lang w:eastAsia="zh-CN"/>
        </w:rPr>
        <w:t>，</w:t>
      </w:r>
      <w:r>
        <w:rPr>
          <w:rFonts w:hint="eastAsia" w:cs="Times New Roman"/>
          <w:lang w:val="en-US" w:eastAsia="zh-CN"/>
        </w:rPr>
        <w:t>东侧为两个地块中间的已有市政道路。</w:t>
      </w:r>
    </w:p>
    <w:p w14:paraId="35F821A1">
      <w:pPr>
        <w:pStyle w:val="93"/>
        <w:rPr>
          <w:rFonts w:hint="default" w:ascii="Times New Roman" w:hAnsi="Times New Roman" w:eastAsia="仿宋_GB2312" w:cs="Times New Roman"/>
          <w:lang w:val="en-US" w:eastAsia="zh-CN"/>
        </w:rPr>
      </w:pPr>
      <w:r>
        <w:rPr>
          <w:rFonts w:hint="eastAsia" w:cs="Times New Roman"/>
          <w:lang w:val="en-US" w:eastAsia="zh-CN"/>
        </w:rPr>
        <w:t>地块一出入口位于地块西北侧和东南侧，地块一建构物由北向南依次布置低温仓储车间、常温仓储车间，装卸场地位于地块东北侧；场内道路布设在地块北侧及东侧，衔接各车间及周边已有市政道路；地块一绿化布置于地块西侧、北侧、东侧空地区域。</w:t>
      </w:r>
    </w:p>
    <w:p w14:paraId="17D8E01E">
      <w:pPr>
        <w:pStyle w:val="93"/>
        <w:rPr>
          <w:rFonts w:hint="default" w:ascii="Times New Roman" w:hAnsi="Times New Roman" w:eastAsia="仿宋_GB2312" w:cs="Times New Roman"/>
          <w:lang w:val="en-US" w:eastAsia="zh-CN"/>
        </w:rPr>
      </w:pPr>
      <w:r>
        <w:rPr>
          <w:rFonts w:hint="eastAsia" w:cs="Times New Roman"/>
          <w:lang w:val="en-US" w:eastAsia="zh-CN"/>
        </w:rPr>
        <w:t>地块二出入口位于地块西北侧和东北侧，地块二建构物由北向南依次布置设备用房、深加工车间、包装车间；场内道路布设在地块北侧，衔接各车间及周边已有市政道路；地块二绿化布置于地块西侧、北侧、东侧空地区域。</w:t>
      </w:r>
    </w:p>
    <w:p w14:paraId="282D8945">
      <w:pPr>
        <w:pStyle w:val="93"/>
        <w:rPr>
          <w:rFonts w:hint="default" w:ascii="Times New Roman" w:hAnsi="Times New Roman" w:cs="Times New Roman"/>
          <w:lang w:val="zh-CN"/>
        </w:rPr>
      </w:pPr>
      <w:r>
        <w:rPr>
          <w:rFonts w:hint="default" w:ascii="Times New Roman" w:hAnsi="Times New Roman" w:cs="Times New Roman"/>
          <w:lang w:val="zh-CN"/>
        </w:rPr>
        <w:t>根据主体设计</w:t>
      </w:r>
      <w:r>
        <w:rPr>
          <w:rFonts w:hint="eastAsia" w:cs="Times New Roman"/>
          <w:lang w:val="en-US" w:eastAsia="zh-CN"/>
        </w:rPr>
        <w:t>供电、消防设施</w:t>
      </w:r>
      <w:r>
        <w:rPr>
          <w:rFonts w:hint="default" w:ascii="Times New Roman" w:hAnsi="Times New Roman" w:cs="Times New Roman"/>
          <w:lang w:val="zh-CN"/>
        </w:rPr>
        <w:t>安装在</w:t>
      </w:r>
      <w:r>
        <w:rPr>
          <w:rFonts w:hint="default" w:ascii="Times New Roman" w:hAnsi="Times New Roman" w:cs="Times New Roman"/>
        </w:rPr>
        <w:t>建构筑物</w:t>
      </w:r>
      <w:r>
        <w:rPr>
          <w:rFonts w:hint="default" w:ascii="Times New Roman" w:hAnsi="Times New Roman" w:cs="Times New Roman"/>
          <w:lang w:val="zh-CN"/>
        </w:rPr>
        <w:t>内，给排水布置在构筑物周边，雨水管网</w:t>
      </w:r>
      <w:r>
        <w:rPr>
          <w:rFonts w:hint="eastAsia" w:cs="Times New Roman"/>
          <w:lang w:val="en-US" w:eastAsia="zh-CN"/>
        </w:rPr>
        <w:t>埋设于道路下侧，</w:t>
      </w:r>
      <w:r>
        <w:rPr>
          <w:rFonts w:hint="default" w:ascii="Times New Roman" w:hAnsi="Times New Roman" w:cs="Times New Roman"/>
          <w:lang w:val="zh-CN"/>
        </w:rPr>
        <w:t>与周边市政给排水设施连接；污水管网埋设于</w:t>
      </w:r>
      <w:r>
        <w:rPr>
          <w:rFonts w:hint="eastAsia" w:cs="Times New Roman"/>
          <w:lang w:val="en-US" w:eastAsia="zh-CN"/>
        </w:rPr>
        <w:t>道路下侧</w:t>
      </w:r>
      <w:r>
        <w:rPr>
          <w:rFonts w:hint="default" w:ascii="Times New Roman" w:hAnsi="Times New Roman" w:cs="Times New Roman"/>
          <w:lang w:val="zh-CN"/>
        </w:rPr>
        <w:t>，周边市政污水管网连接。</w:t>
      </w:r>
    </w:p>
    <w:p w14:paraId="398633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kern w:val="0"/>
          <w:highlight w:val="yellow"/>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5217795</wp:posOffset>
            </wp:positionH>
            <wp:positionV relativeFrom="paragraph">
              <wp:posOffset>-117475</wp:posOffset>
            </wp:positionV>
            <wp:extent cx="545465" cy="497205"/>
            <wp:effectExtent l="0" t="0" r="0" b="0"/>
            <wp:wrapNone/>
            <wp:docPr id="1813875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75257"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5465" cy="497205"/>
                    </a:xfrm>
                    <a:prstGeom prst="rect">
                      <a:avLst/>
                    </a:prstGeom>
                  </pic:spPr>
                </pic:pic>
              </a:graphicData>
            </a:graphic>
          </wp:anchor>
        </w:drawing>
      </w:r>
      <w:r>
        <w:drawing>
          <wp:inline distT="0" distB="0" distL="114300" distR="114300">
            <wp:extent cx="5675630" cy="2787015"/>
            <wp:effectExtent l="0" t="0" r="1270" b="133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1"/>
                    <a:stretch>
                      <a:fillRect/>
                    </a:stretch>
                  </pic:blipFill>
                  <pic:spPr>
                    <a:xfrm>
                      <a:off x="0" y="0"/>
                      <a:ext cx="5675630" cy="2787015"/>
                    </a:xfrm>
                    <a:prstGeom prst="rect">
                      <a:avLst/>
                    </a:prstGeom>
                    <a:noFill/>
                    <a:ln>
                      <a:noFill/>
                    </a:ln>
                  </pic:spPr>
                </pic:pic>
              </a:graphicData>
            </a:graphic>
          </wp:inline>
        </w:drawing>
      </w:r>
    </w:p>
    <w:p w14:paraId="74093BD7">
      <w:pPr>
        <w:adjustRightInd w:val="0"/>
        <w:snapToGrid w:val="0"/>
        <w:ind w:firstLine="482"/>
        <w:jc w:val="center"/>
        <w:rPr>
          <w:rFonts w:hint="default" w:ascii="Times New Roman" w:hAnsi="Times New Roman" w:cs="Times New Roman"/>
          <w:b/>
          <w:bCs/>
        </w:rPr>
      </w:pPr>
      <w:r>
        <w:rPr>
          <w:rFonts w:hint="default" w:ascii="Times New Roman" w:hAnsi="Times New Roman" w:cs="Times New Roman"/>
          <w:b/>
          <w:bCs/>
        </w:rPr>
        <w:t>图2-2       项目平面布置图</w:t>
      </w:r>
    </w:p>
    <w:p w14:paraId="32688295">
      <w:pPr>
        <w:pStyle w:val="5"/>
        <w:rPr>
          <w:rFonts w:hint="default" w:ascii="Times New Roman" w:hAnsi="Times New Roman" w:cs="Times New Roman"/>
        </w:rPr>
      </w:pPr>
      <w:r>
        <w:rPr>
          <w:rFonts w:hint="default" w:ascii="Times New Roman" w:hAnsi="Times New Roman" w:cs="Times New Roman"/>
        </w:rPr>
        <w:t>竖向布置</w:t>
      </w:r>
    </w:p>
    <w:p w14:paraId="6BEA9C6F">
      <w:pPr>
        <w:spacing w:line="500" w:lineRule="exact"/>
        <w:ind w:firstLine="480"/>
        <w:rPr>
          <w:rFonts w:hint="default" w:ascii="Times New Roman" w:hAnsi="Times New Roman" w:cs="Times New Roman"/>
          <w:lang w:val="zh-CN"/>
        </w:rPr>
      </w:pPr>
      <w:r>
        <w:rPr>
          <w:rFonts w:hint="default" w:ascii="Times New Roman" w:hAnsi="Times New Roman" w:cs="Times New Roman"/>
          <w:lang w:val="zh-CN"/>
        </w:rPr>
        <w:t>项目区</w:t>
      </w:r>
      <w:r>
        <w:rPr>
          <w:rFonts w:hint="eastAsia" w:cs="Times New Roman"/>
          <w:lang w:val="en-US" w:eastAsia="zh-CN"/>
        </w:rPr>
        <w:t>地块一</w:t>
      </w:r>
      <w:r>
        <w:rPr>
          <w:rFonts w:hint="default" w:ascii="Times New Roman" w:hAnsi="Times New Roman" w:cs="Times New Roman"/>
          <w:lang w:val="zh-CN"/>
        </w:rPr>
        <w:t>原始标高为</w:t>
      </w:r>
      <w:r>
        <w:rPr>
          <w:rFonts w:hint="eastAsia" w:cs="Times New Roman"/>
          <w:lang w:val="en-US" w:eastAsia="zh-CN"/>
        </w:rPr>
        <w:t>2291.65</w:t>
      </w:r>
      <w:r>
        <w:rPr>
          <w:rFonts w:hint="default" w:ascii="Times New Roman" w:hAnsi="Times New Roman" w:cs="Times New Roman"/>
          <w:lang w:val="zh-CN"/>
        </w:rPr>
        <w:t>~2</w:t>
      </w:r>
      <w:r>
        <w:rPr>
          <w:rFonts w:hint="eastAsia" w:cs="Times New Roman"/>
          <w:lang w:val="en-US" w:eastAsia="zh-CN"/>
        </w:rPr>
        <w:t>292.50</w:t>
      </w:r>
      <w:r>
        <w:rPr>
          <w:rFonts w:hint="default" w:ascii="Times New Roman" w:hAnsi="Times New Roman" w:cs="Times New Roman"/>
          <w:lang w:val="zh-CN"/>
        </w:rPr>
        <w:t>m，相对高差0.</w:t>
      </w:r>
      <w:r>
        <w:rPr>
          <w:rFonts w:hint="eastAsia" w:cs="Times New Roman"/>
          <w:lang w:val="en-US" w:eastAsia="zh-CN"/>
        </w:rPr>
        <w:t>85</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。根据主体工程设计布置，场地设计标高为2</w:t>
      </w:r>
      <w:r>
        <w:rPr>
          <w:rFonts w:hint="eastAsia" w:cs="Times New Roman"/>
          <w:lang w:val="en-US" w:eastAsia="zh-CN"/>
        </w:rPr>
        <w:t>292.30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室内地坪设计标高为</w:t>
      </w:r>
      <w:r>
        <w:rPr>
          <w:rFonts w:hint="default" w:ascii="Times New Roman" w:hAnsi="Times New Roman" w:cs="Times New Roman"/>
          <w:lang w:val="zh-CN"/>
        </w:rPr>
        <w:t>2</w:t>
      </w:r>
      <w:r>
        <w:rPr>
          <w:rFonts w:hint="eastAsia" w:cs="Times New Roman"/>
          <w:lang w:val="en-US" w:eastAsia="zh-CN"/>
        </w:rPr>
        <w:t>292.60</w:t>
      </w:r>
      <w:r>
        <w:rPr>
          <w:rFonts w:hint="default" w:ascii="Times New Roman" w:hAnsi="Times New Roman" w:cs="Times New Roman"/>
          <w:lang w:val="zh-CN"/>
        </w:rPr>
        <w:t>m，不分台布置，场地为平坡式布置。</w:t>
      </w:r>
    </w:p>
    <w:p w14:paraId="7A58983D">
      <w:pPr>
        <w:spacing w:line="500" w:lineRule="exact"/>
        <w:ind w:firstLine="480"/>
        <w:rPr>
          <w:rFonts w:hint="default" w:ascii="Times New Roman" w:hAnsi="Times New Roman" w:cs="Times New Roman"/>
          <w:lang w:val="zh-CN"/>
        </w:rPr>
      </w:pPr>
      <w:r>
        <w:rPr>
          <w:rFonts w:hint="eastAsia" w:cs="Times New Roman"/>
          <w:lang w:val="en-US" w:eastAsia="zh-CN"/>
        </w:rPr>
        <w:t>地块二</w:t>
      </w:r>
      <w:r>
        <w:rPr>
          <w:rFonts w:hint="default" w:ascii="Times New Roman" w:hAnsi="Times New Roman" w:cs="Times New Roman"/>
          <w:lang w:val="zh-CN"/>
        </w:rPr>
        <w:t>原始标高为</w:t>
      </w:r>
      <w:r>
        <w:rPr>
          <w:rFonts w:hint="eastAsia" w:cs="Times New Roman"/>
          <w:lang w:val="en-US" w:eastAsia="zh-CN"/>
        </w:rPr>
        <w:t>2290.36m</w:t>
      </w:r>
      <w:r>
        <w:rPr>
          <w:rFonts w:hint="default" w:ascii="Times New Roman" w:hAnsi="Times New Roman" w:cs="Times New Roman"/>
          <w:lang w:val="zh-CN"/>
        </w:rPr>
        <w:t>~2</w:t>
      </w:r>
      <w:r>
        <w:rPr>
          <w:rFonts w:hint="eastAsia" w:cs="Times New Roman"/>
          <w:lang w:val="en-US" w:eastAsia="zh-CN"/>
        </w:rPr>
        <w:t>291.74</w:t>
      </w:r>
      <w:r>
        <w:rPr>
          <w:rFonts w:hint="default" w:ascii="Times New Roman" w:hAnsi="Times New Roman" w:cs="Times New Roman"/>
          <w:lang w:val="zh-CN"/>
        </w:rPr>
        <w:t>m，相对高差</w:t>
      </w:r>
      <w:r>
        <w:rPr>
          <w:rFonts w:hint="eastAsia" w:cs="Times New Roman"/>
          <w:lang w:val="en-US" w:eastAsia="zh-CN"/>
        </w:rPr>
        <w:t>1.38</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。根据主体工程设计布置，场地设计标高为2</w:t>
      </w:r>
      <w:r>
        <w:rPr>
          <w:rFonts w:hint="eastAsia" w:cs="Times New Roman"/>
          <w:lang w:val="en-US" w:eastAsia="zh-CN"/>
        </w:rPr>
        <w:t>291.30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室内地坪设计标高为</w:t>
      </w:r>
      <w:r>
        <w:rPr>
          <w:rFonts w:hint="default" w:ascii="Times New Roman" w:hAnsi="Times New Roman" w:cs="Times New Roman"/>
          <w:lang w:val="zh-CN"/>
        </w:rPr>
        <w:t>2</w:t>
      </w:r>
      <w:r>
        <w:rPr>
          <w:rFonts w:hint="eastAsia" w:cs="Times New Roman"/>
          <w:lang w:val="en-US" w:eastAsia="zh-CN"/>
        </w:rPr>
        <w:t>291.60</w:t>
      </w:r>
      <w:r>
        <w:rPr>
          <w:rFonts w:hint="default" w:ascii="Times New Roman" w:hAnsi="Times New Roman" w:cs="Times New Roman"/>
          <w:lang w:val="zh-CN"/>
        </w:rPr>
        <w:t>m，不分台布置，场地为平坡式布置。</w:t>
      </w:r>
    </w:p>
    <w:p w14:paraId="6A2C010B">
      <w:pPr>
        <w:spacing w:line="500" w:lineRule="exact"/>
        <w:ind w:firstLine="480"/>
        <w:rPr>
          <w:rFonts w:hint="eastAsia" w:cs="Times New Roman"/>
          <w:lang w:val="en-US" w:eastAsia="zh-CN"/>
        </w:rPr>
      </w:pPr>
      <w:r>
        <w:rPr>
          <w:rFonts w:hint="default" w:ascii="Times New Roman" w:hAnsi="Times New Roman" w:cs="Times New Roman"/>
          <w:lang w:val="zh-CN"/>
        </w:rPr>
        <w:t>根据主体设计资料，</w:t>
      </w:r>
      <w:r>
        <w:rPr>
          <w:rFonts w:hint="default" w:ascii="Times New Roman" w:hAnsi="Times New Roman" w:cs="Times New Roman"/>
        </w:rPr>
        <w:t>项目区</w:t>
      </w:r>
      <w:r>
        <w:rPr>
          <w:rFonts w:hint="default" w:ascii="Times New Roman" w:hAnsi="Times New Roman" w:cs="Times New Roman"/>
          <w:lang w:val="zh-CN"/>
        </w:rPr>
        <w:t>场地为平坡式布置</w:t>
      </w:r>
      <w:r>
        <w:rPr>
          <w:rFonts w:hint="default" w:ascii="Times New Roman" w:hAnsi="Times New Roman" w:cs="Times New Roman"/>
        </w:rPr>
        <w:t>，</w:t>
      </w:r>
      <w:r>
        <w:rPr>
          <w:rFonts w:hint="eastAsia" w:cs="Times New Roman"/>
          <w:lang w:val="en-US" w:eastAsia="zh-CN"/>
        </w:rPr>
        <w:t>场地标高略高于周边道路，</w:t>
      </w:r>
      <w:r>
        <w:rPr>
          <w:rFonts w:hint="default" w:ascii="Times New Roman" w:hAnsi="Times New Roman" w:cs="Times New Roman"/>
        </w:rPr>
        <w:t>有利于场地汇水排至</w:t>
      </w:r>
      <w:r>
        <w:rPr>
          <w:rFonts w:hint="eastAsia" w:cs="Times New Roman"/>
          <w:lang w:val="en-US" w:eastAsia="zh-CN"/>
        </w:rPr>
        <w:t>雨水管网</w:t>
      </w:r>
      <w:r>
        <w:rPr>
          <w:rFonts w:hint="default" w:ascii="Times New Roman" w:hAnsi="Times New Roman" w:cs="Times New Roman"/>
        </w:rPr>
        <w:t>。</w:t>
      </w:r>
      <w:r>
        <w:rPr>
          <w:rFonts w:hint="eastAsia" w:cs="Times New Roman"/>
          <w:lang w:val="en-US" w:eastAsia="zh-CN"/>
        </w:rPr>
        <w:t>地块一西北侧排水出口接驳口井底标高为2288.90m，东南侧排水出口接驳口井底标高为2290.10m；地块二西北侧排水出口接驳口井底标高为2289.00m，东北侧排水出口接驳口井底标高为2288.90m。</w:t>
      </w:r>
    </w:p>
    <w:p w14:paraId="7292929B">
      <w:pPr>
        <w:spacing w:line="500" w:lineRule="exact"/>
        <w:ind w:firstLine="480"/>
        <w:rPr>
          <w:rFonts w:hint="default" w:ascii="Times New Roman" w:hAnsi="Times New Roman" w:eastAsia="仿宋_GB2312" w:cs="Times New Roman"/>
          <w:lang w:val="en-US" w:eastAsia="zh-CN"/>
        </w:rPr>
      </w:pPr>
      <w:r>
        <w:rPr>
          <w:rFonts w:hint="eastAsia" w:cs="Times New Roman"/>
          <w:lang w:val="en-US" w:eastAsia="zh-CN"/>
        </w:rPr>
        <w:t>两个地块通过围栏与周边市政道路过渡。</w:t>
      </w:r>
    </w:p>
    <w:p w14:paraId="33B372BE">
      <w:pPr>
        <w:pStyle w:val="3"/>
        <w:rPr>
          <w:rFonts w:hint="default" w:ascii="Times New Roman" w:hAnsi="Times New Roman" w:cs="Times New Roman"/>
        </w:rPr>
      </w:pPr>
      <w:bookmarkStart w:id="32" w:name="_Toc165223565"/>
      <w:r>
        <w:rPr>
          <w:rFonts w:hint="default" w:ascii="Times New Roman" w:hAnsi="Times New Roman" w:cs="Times New Roman"/>
        </w:rPr>
        <w:t>施工组织</w:t>
      </w:r>
      <w:bookmarkEnd w:id="32"/>
    </w:p>
    <w:p w14:paraId="67326FC8">
      <w:pPr>
        <w:pStyle w:val="4"/>
        <w:rPr>
          <w:rFonts w:hint="default" w:ascii="Times New Roman" w:hAnsi="Times New Roman" w:cs="Times New Roman"/>
        </w:rPr>
      </w:pPr>
      <w:r>
        <w:rPr>
          <w:rFonts w:hint="default" w:ascii="Times New Roman" w:hAnsi="Times New Roman" w:cs="Times New Roman"/>
        </w:rPr>
        <w:t>施工管理</w:t>
      </w:r>
    </w:p>
    <w:p w14:paraId="51CABD4A">
      <w:pPr>
        <w:ind w:firstLine="480"/>
        <w:rPr>
          <w:rFonts w:hint="default" w:ascii="Times New Roman" w:hAnsi="Times New Roman" w:cs="Times New Roman"/>
        </w:rPr>
      </w:pPr>
      <w:bookmarkStart w:id="33" w:name="_Hlk82375818"/>
      <w:r>
        <w:rPr>
          <w:rFonts w:hint="default" w:ascii="Times New Roman" w:hAnsi="Times New Roman" w:cs="Times New Roman"/>
        </w:rPr>
        <w:t>本项目由</w:t>
      </w:r>
      <w:r>
        <w:rPr>
          <w:rFonts w:hint="eastAsia" w:cs="Times New Roman"/>
          <w:lang w:eastAsia="zh-CN"/>
        </w:rPr>
        <w:t>会泽县待补镇人民政府</w:t>
      </w:r>
      <w:r>
        <w:rPr>
          <w:rFonts w:hint="default" w:ascii="Times New Roman" w:hAnsi="Times New Roman" w:cs="Times New Roman"/>
        </w:rPr>
        <w:t>全权负责项目的建设管理，并完善各项审批手续。</w:t>
      </w:r>
    </w:p>
    <w:p w14:paraId="1DC0B2EE">
      <w:pPr>
        <w:pStyle w:val="4"/>
        <w:rPr>
          <w:rFonts w:hint="default" w:ascii="Times New Roman" w:hAnsi="Times New Roman" w:cs="Times New Roman"/>
        </w:rPr>
      </w:pPr>
      <w:r>
        <w:rPr>
          <w:rFonts w:hint="default" w:ascii="Times New Roman" w:hAnsi="Times New Roman" w:cs="Times New Roman"/>
        </w:rPr>
        <w:t>交通运输及出入口布设</w:t>
      </w:r>
    </w:p>
    <w:p w14:paraId="7571A29C">
      <w:pPr>
        <w:adjustRightInd w:val="0"/>
        <w:snapToGrid w:val="0"/>
        <w:ind w:firstLine="480"/>
        <w:rPr>
          <w:rFonts w:hint="default" w:ascii="Times New Roman" w:hAnsi="Times New Roman" w:cs="Times New Roman"/>
        </w:rPr>
      </w:pPr>
      <w:r>
        <w:rPr>
          <w:rFonts w:hint="default" w:ascii="Times New Roman" w:hAnsi="Times New Roman" w:cs="Times New Roman"/>
        </w:rPr>
        <w:t>项目区紧邻待补镇旅游服务接待中心，</w:t>
      </w:r>
      <w:r>
        <w:rPr>
          <w:rFonts w:hint="eastAsia" w:cs="Times New Roman"/>
          <w:lang w:val="en-US" w:eastAsia="zh-CN"/>
        </w:rPr>
        <w:t>地块一北侧为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西侧为两个地块中间的已有市政道路；地块二北侧为</w:t>
      </w:r>
      <w:r>
        <w:rPr>
          <w:rFonts w:hint="default" w:ascii="Times New Roman" w:hAnsi="Times New Roman" w:cs="Times New Roman"/>
        </w:rPr>
        <w:t>国道213线（骏宝路）</w:t>
      </w:r>
      <w:r>
        <w:rPr>
          <w:rFonts w:hint="eastAsia" w:cs="Times New Roman"/>
          <w:lang w:eastAsia="zh-CN"/>
        </w:rPr>
        <w:t>，</w:t>
      </w:r>
      <w:r>
        <w:rPr>
          <w:rFonts w:hint="eastAsia" w:cs="Times New Roman"/>
          <w:lang w:val="en-US" w:eastAsia="zh-CN"/>
        </w:rPr>
        <w:t>南侧为</w:t>
      </w:r>
      <w:r>
        <w:rPr>
          <w:rFonts w:hint="default" w:ascii="Times New Roman" w:hAnsi="Times New Roman" w:cs="Times New Roman"/>
        </w:rPr>
        <w:t>鸡鸣山大道</w:t>
      </w:r>
      <w:r>
        <w:rPr>
          <w:rFonts w:hint="eastAsia" w:cs="Times New Roman"/>
          <w:lang w:eastAsia="zh-CN"/>
        </w:rPr>
        <w:t>，</w:t>
      </w:r>
      <w:r>
        <w:rPr>
          <w:rFonts w:hint="eastAsia" w:cs="Times New Roman"/>
          <w:lang w:val="en-US" w:eastAsia="zh-CN"/>
        </w:rPr>
        <w:t>西侧为</w:t>
      </w:r>
      <w:r>
        <w:rPr>
          <w:rFonts w:hint="default" w:ascii="Times New Roman" w:hAnsi="Times New Roman" w:cs="Times New Roman"/>
        </w:rPr>
        <w:t>雄鸡路</w:t>
      </w:r>
      <w:r>
        <w:rPr>
          <w:rFonts w:hint="eastAsia" w:cs="Times New Roman"/>
          <w:lang w:eastAsia="zh-CN"/>
        </w:rPr>
        <w:t>，</w:t>
      </w:r>
      <w:r>
        <w:rPr>
          <w:rFonts w:hint="eastAsia" w:cs="Times New Roman"/>
          <w:lang w:val="en-US" w:eastAsia="zh-CN"/>
        </w:rPr>
        <w:t>东侧为两个地块中间的已有市政道路。通过项目区周边已有市政道路</w:t>
      </w:r>
      <w:r>
        <w:rPr>
          <w:rFonts w:hint="default" w:ascii="Times New Roman" w:hAnsi="Times New Roman" w:cs="Times New Roman"/>
        </w:rPr>
        <w:t>可达周边高速公路</w:t>
      </w:r>
      <w:r>
        <w:rPr>
          <w:rFonts w:hint="eastAsia" w:cs="Times New Roman"/>
          <w:lang w:eastAsia="zh-CN"/>
        </w:rPr>
        <w:t>，</w:t>
      </w:r>
      <w:r>
        <w:rPr>
          <w:rFonts w:hint="default" w:ascii="Times New Roman" w:hAnsi="Times New Roman" w:cs="Times New Roman"/>
        </w:rPr>
        <w:t>项目建设过程中可直接利用周边现有道路，能满足项目施工交通运输需求，本项目交通较为便利。</w:t>
      </w:r>
    </w:p>
    <w:p w14:paraId="3F15300F">
      <w:pPr>
        <w:adjustRightInd w:val="0"/>
        <w:snapToGrid w:val="0"/>
        <w:ind w:firstLine="480"/>
        <w:rPr>
          <w:rFonts w:hint="default" w:ascii="Times New Roman" w:hAnsi="Times New Roman" w:eastAsia="仿宋_GB2312" w:cs="Times New Roman"/>
          <w:lang w:val="en-US" w:eastAsia="zh-CN"/>
        </w:rPr>
      </w:pPr>
      <w:r>
        <w:rPr>
          <w:rFonts w:hint="eastAsia" w:cs="Times New Roman"/>
          <w:lang w:val="en-US" w:eastAsia="zh-CN"/>
        </w:rPr>
        <w:t>项目区地块一施工出入口位于地块西北侧，地块二施工出入口位于地块东北侧。</w:t>
      </w:r>
    </w:p>
    <w:p w14:paraId="318C8318">
      <w:pPr>
        <w:pStyle w:val="4"/>
        <w:rPr>
          <w:rFonts w:hint="default" w:ascii="Times New Roman" w:hAnsi="Times New Roman" w:cs="Times New Roman"/>
        </w:rPr>
      </w:pPr>
      <w:r>
        <w:rPr>
          <w:rFonts w:hint="default" w:ascii="Times New Roman" w:hAnsi="Times New Roman" w:cs="Times New Roman"/>
        </w:rPr>
        <w:t>施工营场地布置</w:t>
      </w:r>
    </w:p>
    <w:p w14:paraId="432402F2">
      <w:pPr>
        <w:adjustRightInd w:val="0"/>
        <w:snapToGrid w:val="0"/>
        <w:ind w:firstLine="480"/>
        <w:rPr>
          <w:rFonts w:hint="default" w:ascii="Times New Roman" w:hAnsi="Times New Roman" w:cs="Times New Roman"/>
        </w:rPr>
      </w:pPr>
      <w:r>
        <w:rPr>
          <w:rFonts w:hint="default" w:ascii="Times New Roman" w:hAnsi="Times New Roman" w:cs="Times New Roman"/>
        </w:rPr>
        <w:t>本工程所需混凝土、砂浆及其它建筑材料全部外购，故不设混凝土、砂浆生产场地。</w:t>
      </w:r>
    </w:p>
    <w:p w14:paraId="20708E4D">
      <w:pPr>
        <w:adjustRightInd w:val="0"/>
        <w:snapToGrid w:val="0"/>
        <w:ind w:firstLine="480"/>
        <w:rPr>
          <w:rFonts w:hint="default" w:ascii="Times New Roman" w:hAnsi="Times New Roman" w:cs="Times New Roman"/>
        </w:rPr>
      </w:pPr>
      <w:r>
        <w:rPr>
          <w:rFonts w:hint="default" w:ascii="Times New Roman" w:hAnsi="Times New Roman" w:cs="Times New Roman"/>
        </w:rPr>
        <w:t>项目区位于会泽县</w:t>
      </w:r>
      <w:r>
        <w:rPr>
          <w:rFonts w:hint="eastAsia" w:cs="Times New Roman"/>
          <w:lang w:val="en-US" w:eastAsia="zh-CN"/>
        </w:rPr>
        <w:t>待补集镇</w:t>
      </w:r>
      <w:r>
        <w:rPr>
          <w:rFonts w:hint="default" w:ascii="Times New Roman" w:hAnsi="Times New Roman" w:cs="Times New Roman"/>
        </w:rPr>
        <w:t>，施工人员住宿</w:t>
      </w:r>
      <w:r>
        <w:rPr>
          <w:rFonts w:hint="eastAsia" w:cs="Times New Roman"/>
          <w:lang w:val="en-US" w:eastAsia="zh-CN"/>
        </w:rPr>
        <w:t>及</w:t>
      </w:r>
      <w:r>
        <w:rPr>
          <w:rFonts w:hint="default" w:ascii="Times New Roman" w:hAnsi="Times New Roman" w:cs="Times New Roman"/>
        </w:rPr>
        <w:t>施工临时用房主要租用当地居民住房。</w:t>
      </w:r>
    </w:p>
    <w:p w14:paraId="26FE00D8">
      <w:pPr>
        <w:adjustRightInd w:val="0"/>
        <w:snapToGrid w:val="0"/>
        <w:ind w:firstLine="480"/>
        <w:rPr>
          <w:rFonts w:hint="default" w:ascii="Times New Roman" w:hAnsi="Times New Roman" w:cs="Times New Roman"/>
        </w:rPr>
      </w:pPr>
      <w:r>
        <w:rPr>
          <w:rFonts w:hint="default" w:ascii="Times New Roman" w:hAnsi="Times New Roman" w:cs="Times New Roman"/>
        </w:rPr>
        <w:t>本项目临时施工场地主要用于原材料的堆放等，本项目施工期间临时施工场地布设于</w:t>
      </w:r>
      <w:r>
        <w:rPr>
          <w:rFonts w:hint="eastAsia" w:cs="Times New Roman"/>
          <w:lang w:eastAsia="zh-CN"/>
        </w:rPr>
        <w:t>道路及硬化区</w:t>
      </w:r>
      <w:r>
        <w:rPr>
          <w:rFonts w:hint="default" w:ascii="Times New Roman" w:hAnsi="Times New Roman" w:cs="Times New Roman"/>
        </w:rPr>
        <w:t>和绿化区，占地面积200m</w:t>
      </w:r>
      <w:r>
        <w:rPr>
          <w:rFonts w:hint="default" w:ascii="Times New Roman" w:hAnsi="Times New Roman" w:cs="Times New Roman"/>
          <w:vertAlign w:val="superscript"/>
        </w:rPr>
        <w:t>2</w:t>
      </w:r>
      <w:r>
        <w:rPr>
          <w:rFonts w:hint="default" w:ascii="Times New Roman" w:hAnsi="Times New Roman" w:cs="Times New Roman"/>
        </w:rPr>
        <w:t>，不新增占地，占地计入</w:t>
      </w:r>
      <w:r>
        <w:rPr>
          <w:rFonts w:hint="eastAsia" w:cs="Times New Roman"/>
          <w:lang w:eastAsia="zh-CN"/>
        </w:rPr>
        <w:t>道路及硬化区</w:t>
      </w:r>
      <w:r>
        <w:rPr>
          <w:rFonts w:hint="default" w:ascii="Times New Roman" w:hAnsi="Times New Roman" w:cs="Times New Roman"/>
        </w:rPr>
        <w:t>和绿化区。</w:t>
      </w:r>
    </w:p>
    <w:p w14:paraId="70E7D04E">
      <w:pPr>
        <w:pStyle w:val="4"/>
        <w:rPr>
          <w:rFonts w:hint="default" w:ascii="Times New Roman" w:hAnsi="Times New Roman" w:cs="Times New Roman"/>
        </w:rPr>
      </w:pPr>
      <w:r>
        <w:rPr>
          <w:rFonts w:hint="default" w:ascii="Times New Roman" w:hAnsi="Times New Roman" w:cs="Times New Roman"/>
        </w:rPr>
        <w:t>主要材料及来源</w:t>
      </w:r>
    </w:p>
    <w:p w14:paraId="5F3D5080">
      <w:pPr>
        <w:adjustRightInd w:val="0"/>
        <w:snapToGrid w:val="0"/>
        <w:ind w:firstLine="480"/>
        <w:rPr>
          <w:rFonts w:hint="default" w:ascii="Times New Roman" w:hAnsi="Times New Roman" w:cs="Times New Roman"/>
        </w:rPr>
      </w:pPr>
      <w:r>
        <w:rPr>
          <w:rFonts w:hint="default" w:ascii="Times New Roman" w:hAnsi="Times New Roman" w:cs="Times New Roman"/>
        </w:rPr>
        <w:t>本工程主体建设砼采用外购商品砼，不进行现场搅拌，也避免了大量砂石料及砼搅拌场的施工占地；工程建设过程中的水泥、钢材、砖块、砂石料及其它建筑材料，按工程计划购买，临时堆放在</w:t>
      </w:r>
      <w:r>
        <w:rPr>
          <w:rFonts w:hint="eastAsia" w:cs="Times New Roman"/>
          <w:lang w:eastAsia="zh-CN"/>
        </w:rPr>
        <w:t>道路及硬化区</w:t>
      </w:r>
      <w:r>
        <w:rPr>
          <w:rFonts w:hint="default" w:ascii="Times New Roman" w:hAnsi="Times New Roman" w:cs="Times New Roman"/>
        </w:rPr>
        <w:t>和绿化区，减少新增占地。所需材料均从附近具有合法手续的供应站购买，材料开采生产期间造成的水土流失由供应单位负责治理。</w:t>
      </w:r>
    </w:p>
    <w:p w14:paraId="37354466">
      <w:pPr>
        <w:pStyle w:val="4"/>
        <w:rPr>
          <w:rFonts w:hint="default" w:ascii="Times New Roman" w:hAnsi="Times New Roman" w:cs="Times New Roman"/>
        </w:rPr>
      </w:pPr>
      <w:r>
        <w:rPr>
          <w:rFonts w:hint="default" w:ascii="Times New Roman" w:hAnsi="Times New Roman" w:cs="Times New Roman"/>
        </w:rPr>
        <w:t>施工给排水、供电及通讯</w:t>
      </w:r>
    </w:p>
    <w:p w14:paraId="1CA80E38">
      <w:pPr>
        <w:adjustRightInd w:val="0"/>
        <w:snapToGrid w:val="0"/>
        <w:ind w:firstLine="480"/>
        <w:rPr>
          <w:rFonts w:hint="default" w:ascii="Times New Roman" w:hAnsi="Times New Roman" w:cs="Times New Roman"/>
        </w:rPr>
      </w:pPr>
      <w:r>
        <w:rPr>
          <w:rFonts w:hint="default" w:ascii="Times New Roman" w:hAnsi="Times New Roman" w:cs="Times New Roman"/>
        </w:rPr>
        <w:t>（1）施工用水：项目区周边布设有完善的市政供水管网，项目建设期间从市政给水主干道上引入</w:t>
      </w:r>
      <w:r>
        <w:rPr>
          <w:rFonts w:hint="eastAsia" w:cs="Times New Roman"/>
          <w:lang w:val="en-US" w:eastAsia="zh-CN"/>
        </w:rPr>
        <w:t>一</w:t>
      </w:r>
      <w:r>
        <w:rPr>
          <w:rFonts w:hint="eastAsia" w:cs="Times New Roman"/>
          <w:lang w:eastAsia="zh-CN"/>
        </w:rPr>
        <w:t>根</w:t>
      </w:r>
      <w:r>
        <w:rPr>
          <w:rFonts w:hint="default" w:ascii="Times New Roman" w:hAnsi="Times New Roman" w:cs="Times New Roman"/>
        </w:rPr>
        <w:t>给水管，供本项目施工期间的用水，施工完成后用作后期的生活和消防用水。</w:t>
      </w:r>
    </w:p>
    <w:p w14:paraId="3C61FBA4">
      <w:pPr>
        <w:adjustRightInd w:val="0"/>
        <w:snapToGrid w:val="0"/>
        <w:ind w:firstLine="480"/>
        <w:rPr>
          <w:rFonts w:hint="default" w:ascii="Times New Roman" w:hAnsi="Times New Roman" w:cs="Times New Roman"/>
        </w:rPr>
      </w:pPr>
      <w:r>
        <w:rPr>
          <w:rFonts w:hint="default" w:ascii="Times New Roman" w:hAnsi="Times New Roman" w:cs="Times New Roman"/>
        </w:rPr>
        <w:t>（2）施工期排水：施工期排水主要结合主体设计</w:t>
      </w:r>
      <w:r>
        <w:rPr>
          <w:rFonts w:hint="eastAsia" w:cs="Times New Roman"/>
          <w:lang w:val="en-US" w:eastAsia="zh-CN"/>
        </w:rPr>
        <w:t>雨水管网</w:t>
      </w:r>
      <w:r>
        <w:rPr>
          <w:rFonts w:hint="default" w:ascii="Times New Roman" w:hAnsi="Times New Roman" w:cs="Times New Roman"/>
        </w:rPr>
        <w:t>，永临结合布置临时排水沟，经沉淀后排入市政雨水管网。</w:t>
      </w:r>
    </w:p>
    <w:p w14:paraId="52D643B2">
      <w:pPr>
        <w:adjustRightInd w:val="0"/>
        <w:snapToGrid w:val="0"/>
        <w:ind w:firstLine="480"/>
        <w:rPr>
          <w:rFonts w:hint="default" w:ascii="Times New Roman" w:hAnsi="Times New Roman" w:cs="Times New Roman"/>
        </w:rPr>
      </w:pPr>
      <w:r>
        <w:rPr>
          <w:rFonts w:hint="default" w:ascii="Times New Roman" w:hAnsi="Times New Roman" w:cs="Times New Roman"/>
        </w:rPr>
        <w:t>（3）施工用电：本项目用电利用项目周边现有供电管网，能满足项目区施工期间用电需求。</w:t>
      </w:r>
    </w:p>
    <w:p w14:paraId="0B3AB333">
      <w:pPr>
        <w:adjustRightInd w:val="0"/>
        <w:snapToGrid w:val="0"/>
        <w:ind w:firstLine="480"/>
        <w:rPr>
          <w:rFonts w:hint="default" w:ascii="Times New Roman" w:hAnsi="Times New Roman" w:cs="Times New Roman"/>
        </w:rPr>
      </w:pPr>
      <w:r>
        <w:rPr>
          <w:rFonts w:hint="default" w:ascii="Times New Roman" w:hAnsi="Times New Roman" w:cs="Times New Roman"/>
        </w:rPr>
        <w:t>（4）施工通讯：项目区周边目前已有移动电话信号覆盖，不需新建通信系统。</w:t>
      </w:r>
    </w:p>
    <w:bookmarkEnd w:id="33"/>
    <w:p w14:paraId="1CE34457">
      <w:pPr>
        <w:pStyle w:val="4"/>
        <w:rPr>
          <w:rFonts w:hint="default" w:ascii="Times New Roman" w:hAnsi="Times New Roman" w:cs="Times New Roman"/>
        </w:rPr>
      </w:pPr>
      <w:r>
        <w:rPr>
          <w:rFonts w:hint="default" w:ascii="Times New Roman" w:hAnsi="Times New Roman" w:cs="Times New Roman"/>
        </w:rPr>
        <w:t>施工工艺</w:t>
      </w:r>
    </w:p>
    <w:p w14:paraId="02AC6EF7">
      <w:pPr>
        <w:ind w:firstLine="480"/>
        <w:rPr>
          <w:rFonts w:hint="default" w:ascii="Times New Roman" w:hAnsi="Times New Roman" w:cs="Times New Roman"/>
        </w:rPr>
      </w:pPr>
      <w:r>
        <w:rPr>
          <w:rFonts w:hint="default" w:ascii="Times New Roman" w:hAnsi="Times New Roman" w:cs="Times New Roman"/>
        </w:rPr>
        <w:t>根据该项目工程建设的特点，本工程的施工划分为场地平整、土方开挖及回填、建筑工程、</w:t>
      </w:r>
      <w:r>
        <w:rPr>
          <w:rFonts w:hint="eastAsia" w:cs="Times New Roman"/>
          <w:lang w:val="en-US" w:eastAsia="zh-CN"/>
        </w:rPr>
        <w:t>道路及</w:t>
      </w:r>
      <w:r>
        <w:rPr>
          <w:rFonts w:hint="default" w:ascii="Times New Roman" w:hAnsi="Times New Roman" w:cs="Times New Roman"/>
        </w:rPr>
        <w:t>场地硬化（包括配套管网工程)、绿化工程以及部分临时工程。</w:t>
      </w:r>
    </w:p>
    <w:p w14:paraId="425D3EDA">
      <w:pPr>
        <w:ind w:firstLine="480"/>
        <w:rPr>
          <w:rFonts w:hint="default" w:ascii="Times New Roman" w:hAnsi="Times New Roman" w:cs="Times New Roman"/>
        </w:rPr>
      </w:pPr>
      <w:r>
        <w:rPr>
          <w:rFonts w:hint="default" w:ascii="Times New Roman" w:hAnsi="Times New Roman" w:cs="Times New Roman"/>
        </w:rPr>
        <w:t>本项目与水土保持关系密切的主要施工环节的施工工艺如下:</w:t>
      </w:r>
    </w:p>
    <w:p w14:paraId="7EA87417">
      <w:pPr>
        <w:ind w:firstLine="480"/>
        <w:rPr>
          <w:rFonts w:hint="default" w:ascii="Times New Roman" w:hAnsi="Times New Roman" w:cs="Times New Roman"/>
        </w:rPr>
      </w:pPr>
      <w:r>
        <w:rPr>
          <w:rFonts w:hint="default" w:ascii="Times New Roman" w:hAnsi="Times New Roman" w:cs="Times New Roman"/>
        </w:rPr>
        <w:t>一、场地平整施工工艺</w:t>
      </w:r>
    </w:p>
    <w:p w14:paraId="50417F17">
      <w:pPr>
        <w:ind w:firstLine="480"/>
        <w:rPr>
          <w:rFonts w:hint="default" w:ascii="Times New Roman" w:hAnsi="Times New Roman" w:cs="Times New Roman"/>
        </w:rPr>
      </w:pPr>
      <w:r>
        <w:rPr>
          <w:rFonts w:hint="default" w:ascii="Times New Roman" w:hAnsi="Times New Roman" w:cs="Times New Roman"/>
        </w:rPr>
        <w:t>施工时采用15t自卸车运土，推土机和挖掘机施工，并使厚度满足要求，振动碾压密实，进行挖高填低，尽可能减少土方施工工程量。地形条件允许的地方，采用机械施工，以节约人力，提高工效。常用的施工机械有:推土机、铲运机、挖掘机、自卸汽车等。</w:t>
      </w:r>
    </w:p>
    <w:p w14:paraId="443B1BD5">
      <w:pPr>
        <w:ind w:firstLine="480"/>
        <w:rPr>
          <w:rFonts w:hint="default" w:ascii="Times New Roman" w:hAnsi="Times New Roman" w:cs="Times New Roman"/>
        </w:rPr>
      </w:pPr>
      <w:r>
        <w:rPr>
          <w:rFonts w:hint="default" w:ascii="Times New Roman" w:hAnsi="Times New Roman" w:cs="Times New Roman"/>
        </w:rPr>
        <w:t>二、土石方开挖及回填施工工艺</w:t>
      </w:r>
    </w:p>
    <w:p w14:paraId="31D87329">
      <w:pPr>
        <w:ind w:firstLine="480"/>
        <w:rPr>
          <w:rFonts w:hint="default" w:ascii="Times New Roman" w:hAnsi="Times New Roman" w:cs="Times New Roman"/>
        </w:rPr>
      </w:pPr>
      <w:r>
        <w:rPr>
          <w:rFonts w:hint="default" w:ascii="Times New Roman" w:hAnsi="Times New Roman" w:cs="Times New Roman"/>
        </w:rPr>
        <w:t>土方开挖采用机械和人工相结合的方法。面状大开挖主要采用大型挖土机械开挖，主要建筑基础施工采用反铲掘机挖土，从外往内掏挖进去，开挖土方及时回填场地。回填采用机械和人工相结合的方法，土方由挖掘机装土，自卸汽车用途，推土机铺土、摊平，用振动碾压机碾实夯实。</w:t>
      </w:r>
    </w:p>
    <w:p w14:paraId="0D62D263">
      <w:pPr>
        <w:numPr>
          <w:ilvl w:val="0"/>
          <w:numId w:val="2"/>
        </w:numPr>
        <w:ind w:firstLine="480"/>
        <w:rPr>
          <w:rFonts w:hint="default" w:ascii="Times New Roman" w:hAnsi="Times New Roman" w:cs="Times New Roman"/>
        </w:rPr>
      </w:pPr>
      <w:r>
        <w:rPr>
          <w:rFonts w:hint="default" w:ascii="Times New Roman" w:hAnsi="Times New Roman" w:cs="Times New Roman"/>
        </w:rPr>
        <w:t>建构筑物施工工艺</w:t>
      </w:r>
    </w:p>
    <w:p w14:paraId="3C2171F2">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施工工序：土方开挖→地基处理→垫层、基础施工→构造柱钢筋→砖砌体→屋盖模板、钢筋、混凝土→装饰装修</w:t>
      </w:r>
    </w:p>
    <w:p w14:paraId="6CB83F99">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基础施工：地槽开挖采用人力开挖方式进行，地槽开挖施工应有序进行，不得随意切断场内临时排水沟道，开挖某处地槽前应将要切断的临时排水沟道改道后再行施工，以免造成现场排水不畅。垫层砼浇好后，在垫层上抄平并弹好中心线，再砌条石基础、关模扎筋浇地圈梁。</w:t>
      </w:r>
    </w:p>
    <w:p w14:paraId="318466B6">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主体结构施工：</w:t>
      </w:r>
    </w:p>
    <w:p w14:paraId="7ADBA078">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（1）组砌方法：组砌方法应符合规范的规定，同一道墙体严禁有两种以上的砌筑形成，并不得有通缝。砌体宜采用一顺一丁、梅花丁或三顺一丁砌法。砖柱不得采用包心砌法。</w:t>
      </w:r>
    </w:p>
    <w:p w14:paraId="3FE04E22">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（2）排砖撂底：按设计要求经测量放出轴线和门窗洞口位置的尺寸线。采用千砖排砖撂底，以砖的模数按测量放线，标出位置尺寸进行排砖撂底，两山墙排丁砖，前后纵墙排条砖。</w:t>
      </w:r>
    </w:p>
    <w:p w14:paraId="30E1FCEA">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3）盘角：砌筑砖砌体前应先进行盘角，每次盘角高度应以3—5层砖为宜，盘角要及时、准确地用吊线及靠尺检查。若有偏差应随时修整。盘角应严格对照底盘线、皮数杆的竖向标高，水平灰缝要均匀一致。盘角应坚持及时检查和修整，保持新盘角的平整和垂直，方可挂线砌砖。</w:t>
      </w:r>
    </w:p>
    <w:p w14:paraId="08790914">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（4）挂线：砌筑一砖半及其以上厚墙体时，应及时双面挂线进行砌筑。砌一砖厚清水墙与混水墙体的时候。应挂外手线进行砌筑。</w:t>
      </w:r>
    </w:p>
    <w:p w14:paraId="5D9E4AF3">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（5）构造柱马牙搓设置：砌体留置马牙搓要求先退后进，应于每层往脚开始先退五皮砖、后挑出五皮砖做马牙搓，搓宽为60mm，搓高为300mm，以保证柱脚为大断面。</w:t>
      </w:r>
    </w:p>
    <w:p w14:paraId="25E8F770">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（6）砌砖：砖砌体的砌筑，应上下错缝，内外搭砌。砌筑时上口拉线采用一铲灰、一块砖、一挤揉的“三、一”砌砖法进行作业。</w:t>
      </w:r>
    </w:p>
    <w:p w14:paraId="0106E404">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（7）过梁安装：在砌体中安装过梁时，必需严格控制其位置、标高及型号等的准确性。支承处座浆应饱满，如座浆厚度超过20mm时，要用细石混凝土铺垫，过梁两端的支承高度应相同、长度应相等。</w:t>
      </w:r>
    </w:p>
    <w:p w14:paraId="4D0D0641">
      <w:pPr>
        <w:adjustRightInd w:val="0"/>
        <w:snapToGrid w:val="0"/>
        <w:ind w:firstLine="480"/>
        <w:textAlignment w:val="baseline"/>
        <w:rPr>
          <w:rFonts w:hint="default" w:ascii="Times New Roman" w:hAnsi="Times New Roman" w:cs="Times New Roman"/>
        </w:rPr>
      </w:pPr>
      <w:r>
        <w:rPr>
          <w:rFonts w:hint="default" w:ascii="Times New Roman" w:hAnsi="Times New Roman" w:cs="Times New Roman"/>
        </w:rPr>
        <w:t>（8）构造柱、圈梁施工圈梁用工具式模板，构造柱两侧砖墙每米高留60mm×60mm洞口，穿φ48的钢管夹具。板缝用木模拉吊。钢筋规格、数量、位置及搭接长度，均应符合设计要求，浇筑混凝土前搁好保护层垫块。对构造柱，砌筑前先调整竖筋插铁，绑扎钢筋骨架，砌筑时加支方木斜撑，封闭构造柱模板前彻底清除柱根杂物，并调整钢筋位置；浇筑圈梁砼以前，再次校正伸向上层的竖筋位置。浇筑时用振捣棒捣实。构造柱应分层下料，振捣适度防止挤动外模。</w:t>
      </w:r>
    </w:p>
    <w:p w14:paraId="13AC1C20">
      <w:pPr>
        <w:ind w:firstLine="480"/>
        <w:rPr>
          <w:rFonts w:hint="default" w:ascii="Times New Roman" w:hAnsi="Times New Roman" w:cs="Times New Roman"/>
        </w:rPr>
      </w:pPr>
      <w:r>
        <w:rPr>
          <w:rFonts w:hint="default" w:ascii="Times New Roman" w:hAnsi="Times New Roman" w:cs="Times New Roman"/>
        </w:rPr>
        <w:t>四、场内</w:t>
      </w:r>
      <w:r>
        <w:rPr>
          <w:rFonts w:hint="eastAsia" w:cs="Times New Roman"/>
          <w:lang w:eastAsia="zh-CN"/>
        </w:rPr>
        <w:t>道路及硬化区</w:t>
      </w:r>
      <w:r>
        <w:rPr>
          <w:rFonts w:hint="default" w:ascii="Times New Roman" w:hAnsi="Times New Roman" w:cs="Times New Roman"/>
        </w:rPr>
        <w:t>施工工艺</w:t>
      </w:r>
    </w:p>
    <w:p w14:paraId="3DDF12C4">
      <w:pPr>
        <w:ind w:firstLine="480"/>
        <w:rPr>
          <w:rFonts w:hint="default" w:ascii="Times New Roman" w:hAnsi="Times New Roman" w:cs="Times New Roman"/>
        </w:rPr>
      </w:pPr>
      <w:r>
        <w:rPr>
          <w:rFonts w:hint="default" w:ascii="Times New Roman" w:hAnsi="Times New Roman" w:cs="Times New Roman"/>
        </w:rPr>
        <w:t>先进行基础及管网预埋区的开挖，管道施工主要为供水管网、雨水管道和污水管道的埋设。管道施工中最大开挖深度1.5m，拟采用1m</w:t>
      </w:r>
      <w:r>
        <w:rPr>
          <w:rFonts w:hint="default" w:ascii="Times New Roman" w:hAnsi="Times New Roman" w:cs="Times New Roman"/>
          <w:vertAlign w:val="superscript"/>
        </w:rPr>
        <w:t>3</w:t>
      </w:r>
      <w:r>
        <w:rPr>
          <w:rFonts w:hint="default" w:ascii="Times New Roman" w:hAnsi="Times New Roman" w:cs="Times New Roman"/>
        </w:rPr>
        <w:t>挖掘机沿管道线路开挖后直接装5t自卸车运输至需要回填的地方。管道安装采用8t起重机吊装，人工焊接。后期采用5t自卸车运输土方倾倒于管道周围，1m</w:t>
      </w:r>
      <w:r>
        <w:rPr>
          <w:rFonts w:hint="default" w:ascii="Times New Roman" w:hAnsi="Times New Roman" w:cs="Times New Roman"/>
          <w:vertAlign w:val="superscript"/>
        </w:rPr>
        <w:t>3</w:t>
      </w:r>
      <w:r>
        <w:rPr>
          <w:rFonts w:hint="default" w:ascii="Times New Roman" w:hAnsi="Times New Roman" w:cs="Times New Roman"/>
        </w:rPr>
        <w:t>挖掘机回填。</w:t>
      </w:r>
    </w:p>
    <w:p w14:paraId="0E801707">
      <w:pPr>
        <w:ind w:firstLine="480"/>
        <w:rPr>
          <w:rFonts w:hint="default" w:ascii="Times New Roman" w:hAnsi="Times New Roman" w:cs="Times New Roman"/>
        </w:rPr>
      </w:pPr>
      <w:r>
        <w:rPr>
          <w:rFonts w:hint="default" w:ascii="Times New Roman" w:hAnsi="Times New Roman" w:cs="Times New Roman"/>
        </w:rPr>
        <w:t>五、绿化工程</w:t>
      </w:r>
    </w:p>
    <w:p w14:paraId="4220022F">
      <w:pPr>
        <w:ind w:firstLine="480"/>
        <w:rPr>
          <w:rFonts w:hint="default" w:ascii="Times New Roman" w:hAnsi="Times New Roman" w:cs="Times New Roman"/>
        </w:rPr>
      </w:pPr>
      <w:r>
        <w:rPr>
          <w:rFonts w:hint="default" w:ascii="Times New Roman" w:hAnsi="Times New Roman" w:cs="Times New Roman"/>
        </w:rPr>
        <w:t>绿化工程安排在建构筑物和场地硬化基本完工后实施。绿化工程施工前，在绿地内按照图纸布置和要求先进行整地，完成的工程应符合施工图所要求的线形、坡度、边坡；然后应施足基肥，翻耕&gt;30cm，耙平耙细，除杂物。种植树种生长茁壮，无病虫害，规格及形态符合绿化设计要求。</w:t>
      </w:r>
    </w:p>
    <w:p w14:paraId="5ADA4346">
      <w:pPr>
        <w:ind w:firstLine="480"/>
        <w:rPr>
          <w:rFonts w:hint="default" w:ascii="Times New Roman" w:hAnsi="Times New Roman" w:cs="Times New Roman"/>
        </w:rPr>
      </w:pPr>
      <w:r>
        <w:rPr>
          <w:rFonts w:hint="default" w:ascii="Times New Roman" w:hAnsi="Times New Roman" w:cs="Times New Roman"/>
        </w:rPr>
        <w:t>绿化工作主要分为:覆土、种植、养护。乔灌木采用带土球移栽，草坪采用草皮铺设和撒播草籽相结合的方式，覆土来源主要以剥离表土的形式获得。</w:t>
      </w:r>
    </w:p>
    <w:p w14:paraId="495E0D46">
      <w:pPr>
        <w:ind w:firstLine="480"/>
        <w:rPr>
          <w:rFonts w:hint="default" w:ascii="Times New Roman" w:hAnsi="Times New Roman" w:cs="Times New Roman"/>
        </w:rPr>
      </w:pPr>
      <w:r>
        <w:rPr>
          <w:rFonts w:hint="default" w:ascii="Times New Roman" w:hAnsi="Times New Roman" w:cs="Times New Roman"/>
        </w:rPr>
        <w:t>六、临时工程施工工艺</w:t>
      </w:r>
    </w:p>
    <w:p w14:paraId="7935FF76">
      <w:pPr>
        <w:ind w:firstLine="480"/>
        <w:rPr>
          <w:rFonts w:hint="default" w:ascii="Times New Roman" w:hAnsi="Times New Roman" w:cs="Times New Roman"/>
        </w:rPr>
      </w:pPr>
      <w:r>
        <w:rPr>
          <w:rFonts w:hint="default" w:ascii="Times New Roman" w:hAnsi="Times New Roman" w:cs="Times New Roman"/>
        </w:rPr>
        <w:t>主要完成临时电力、电讯线路以及临时用水等工作，位于本项目永久占地区内。在施工过程中，裸露地表的临时覆盖，还要做好排水及沉砂工作，以免在雨季时引起水土流失或影响周边环境。</w:t>
      </w:r>
    </w:p>
    <w:p w14:paraId="193E7B72">
      <w:pPr>
        <w:pStyle w:val="3"/>
        <w:rPr>
          <w:rFonts w:hint="default" w:ascii="Times New Roman" w:hAnsi="Times New Roman" w:cs="Times New Roman"/>
        </w:rPr>
      </w:pPr>
      <w:bookmarkStart w:id="34" w:name="_Toc165223566"/>
      <w:r>
        <w:rPr>
          <w:rFonts w:hint="default" w:ascii="Times New Roman" w:hAnsi="Times New Roman" w:cs="Times New Roman"/>
        </w:rPr>
        <w:t>工程占地</w:t>
      </w:r>
      <w:bookmarkEnd w:id="34"/>
    </w:p>
    <w:p w14:paraId="62DBF6AC">
      <w:pPr>
        <w:adjustRightInd w:val="0"/>
        <w:snapToGrid w:val="0"/>
        <w:ind w:firstLine="480"/>
        <w:rPr>
          <w:rFonts w:hint="default" w:ascii="Times New Roman" w:hAnsi="Times New Roman" w:eastAsia="仿宋_GB2312" w:cs="Times New Roman"/>
          <w:lang w:val="en-US" w:eastAsia="zh-CN"/>
        </w:rPr>
      </w:pPr>
      <w:r>
        <w:rPr>
          <w:rFonts w:hint="default" w:ascii="Times New Roman" w:hAnsi="Times New Roman" w:cs="Times New Roman"/>
          <w:lang w:val="zh-CN"/>
        </w:rPr>
        <w:t>根据主体工程设计资料，结合项目区土地利用现状统计及现场调查结果进行量图计算分析，项目总占地面积为</w:t>
      </w:r>
      <w:r>
        <w:rPr>
          <w:rFonts w:hint="eastAsia" w:cs="Times New Roman"/>
          <w:lang w:val="en-US" w:eastAsia="zh-CN"/>
        </w:rPr>
        <w:t>1.51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en-US" w:eastAsia="zh-CN"/>
        </w:rPr>
        <w:t>其中地块一</w:t>
      </w:r>
      <w:r>
        <w:rPr>
          <w:rFonts w:hint="default" w:ascii="Times New Roman" w:hAnsi="Times New Roman" w:cs="Times New Roman"/>
          <w:lang w:val="zh-CN"/>
        </w:rPr>
        <w:t>占地面积为</w:t>
      </w:r>
      <w:r>
        <w:rPr>
          <w:rFonts w:hint="eastAsia" w:cs="Times New Roman"/>
          <w:lang w:val="en-US" w:eastAsia="zh-CN"/>
        </w:rPr>
        <w:t>0.60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30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0.0</w:t>
      </w:r>
      <w:r>
        <w:rPr>
          <w:rFonts w:hint="eastAsia" w:cs="Times New Roman"/>
          <w:lang w:val="en-US" w:eastAsia="zh-CN"/>
        </w:rPr>
        <w:t>9</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地块二</w:t>
      </w:r>
      <w:r>
        <w:rPr>
          <w:rFonts w:hint="default" w:ascii="Times New Roman" w:hAnsi="Times New Roman" w:cs="Times New Roman"/>
          <w:lang w:val="zh-CN"/>
        </w:rPr>
        <w:t>占地面积为</w:t>
      </w:r>
      <w:r>
        <w:rPr>
          <w:rFonts w:hint="eastAsia" w:cs="Times New Roman"/>
          <w:lang w:val="en-US" w:eastAsia="zh-CN"/>
        </w:rPr>
        <w:t>0.91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57</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w:t>
      </w:r>
      <w:r>
        <w:rPr>
          <w:rFonts w:hint="eastAsia" w:cs="Times New Roman"/>
          <w:lang w:val="en-US" w:eastAsia="zh-CN"/>
        </w:rPr>
        <w:t>14</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w:t>
      </w:r>
    </w:p>
    <w:p w14:paraId="0093E169">
      <w:pPr>
        <w:adjustRightInd w:val="0"/>
        <w:snapToGrid w:val="0"/>
        <w:ind w:firstLine="480"/>
        <w:rPr>
          <w:rFonts w:hint="default" w:ascii="Times New Roman" w:hAnsi="Times New Roman" w:eastAsia="仿宋_GB2312" w:cs="Times New Roman"/>
          <w:lang w:val="en-US" w:eastAsia="zh-CN"/>
        </w:rPr>
      </w:pPr>
      <w:r>
        <w:rPr>
          <w:rFonts w:hint="default" w:ascii="Times New Roman" w:hAnsi="Times New Roman" w:cs="Times New Roman"/>
          <w:lang w:val="zh-CN"/>
        </w:rPr>
        <w:t>本项目占地类型为建设用地，</w:t>
      </w:r>
      <w:r>
        <w:rPr>
          <w:rFonts w:hint="eastAsia" w:cs="Times New Roman"/>
          <w:lang w:val="en-US" w:eastAsia="zh-CN"/>
        </w:rPr>
        <w:t>地块一西南侧有原始建筑及硬化地表，东北侧也有部分硬化地表，其余区域原始地表为草坪。地块二原始地表也为草坪。针对原建筑及硬化地表需要拆除。</w:t>
      </w:r>
    </w:p>
    <w:p w14:paraId="27906E70">
      <w:pPr>
        <w:adjustRightInd w:val="0"/>
        <w:snapToGrid w:val="0"/>
        <w:ind w:firstLine="480"/>
        <w:rPr>
          <w:rFonts w:hint="default" w:ascii="Times New Roman" w:hAnsi="Times New Roman" w:cs="Times New Roman"/>
          <w:lang w:val="zh-CN"/>
        </w:rPr>
      </w:pPr>
      <w:r>
        <w:rPr>
          <w:rFonts w:hint="default" w:ascii="Times New Roman" w:hAnsi="Times New Roman" w:cs="Times New Roman"/>
          <w:lang w:val="zh-CN"/>
        </w:rPr>
        <w:t>项目具体占地情况详见表</w:t>
      </w:r>
      <w:r>
        <w:rPr>
          <w:rFonts w:hint="default" w:ascii="Times New Roman" w:hAnsi="Times New Roman" w:cs="Times New Roman"/>
        </w:rPr>
        <w:t>2-4</w:t>
      </w:r>
      <w:r>
        <w:rPr>
          <w:rFonts w:hint="default" w:ascii="Times New Roman" w:hAnsi="Times New Roman" w:cs="Times New Roman"/>
          <w:lang w:val="zh-CN"/>
        </w:rPr>
        <w:t>。</w:t>
      </w:r>
    </w:p>
    <w:p w14:paraId="5E20730A">
      <w:pPr>
        <w:pStyle w:val="83"/>
        <w:jc w:val="center"/>
        <w:rPr>
          <w:rFonts w:hint="default" w:ascii="Times New Roman" w:hAnsi="Times New Roman" w:cs="Times New Roman"/>
          <w:vertAlign w:val="superscript"/>
        </w:rPr>
      </w:pPr>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1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lang w:bidi="en-US"/>
        </w:rPr>
        <w:t>项目占地类型及面积</w:t>
      </w:r>
      <w:r>
        <w:rPr>
          <w:rFonts w:hint="default" w:ascii="Times New Roman" w:hAnsi="Times New Roman" w:cs="Times New Roman"/>
        </w:rPr>
        <w:t>统计表         单位：hm</w:t>
      </w:r>
      <w:r>
        <w:rPr>
          <w:rFonts w:hint="default" w:ascii="Times New Roman" w:hAnsi="Times New Roman" w:cs="Times New Roman"/>
          <w:vertAlign w:val="superscript"/>
        </w:rPr>
        <w:t>2</w:t>
      </w:r>
    </w:p>
    <w:tbl>
      <w:tblPr>
        <w:tblStyle w:val="27"/>
        <w:tblW w:w="89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02"/>
        <w:gridCol w:w="1932"/>
        <w:gridCol w:w="2430"/>
        <w:gridCol w:w="1738"/>
        <w:gridCol w:w="1481"/>
      </w:tblGrid>
      <w:tr w14:paraId="374BB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02" w:type="dxa"/>
            <w:vMerge w:val="restart"/>
            <w:tcBorders>
              <w:top w:val="single" w:color="000000" w:sz="12"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F194B9B">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w:t>
            </w:r>
          </w:p>
        </w:tc>
        <w:tc>
          <w:tcPr>
            <w:tcW w:w="1932" w:type="dxa"/>
            <w:vMerge w:val="restart"/>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5F8427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项目分区</w:t>
            </w:r>
          </w:p>
        </w:tc>
        <w:tc>
          <w:tcPr>
            <w:tcW w:w="2430" w:type="dxa"/>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1812BA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占地类型及数量（hm2）</w:t>
            </w:r>
          </w:p>
        </w:tc>
        <w:tc>
          <w:tcPr>
            <w:tcW w:w="1738" w:type="dxa"/>
            <w:vMerge w:val="restart"/>
            <w:tcBorders>
              <w:top w:val="single" w:color="000000" w:sz="12"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2ACADC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占地面积（hm2）</w:t>
            </w:r>
          </w:p>
        </w:tc>
        <w:tc>
          <w:tcPr>
            <w:tcW w:w="1481" w:type="dxa"/>
            <w:vMerge w:val="restart"/>
            <w:tcBorders>
              <w:top w:val="single" w:color="000000" w:sz="12"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6C633E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占地性质</w:t>
            </w:r>
          </w:p>
        </w:tc>
      </w:tr>
      <w:tr w14:paraId="1B13B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13F051">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32198E">
            <w:pPr>
              <w:spacing w:line="240" w:lineRule="auto"/>
              <w:ind w:firstLine="0" w:firstLineChars="0"/>
              <w:jc w:val="center"/>
              <w:rPr>
                <w:rFonts w:hint="eastAsia" w:ascii="Times New Roman" w:hAnsi="Times New Roman" w:cs="Times New Roman"/>
                <w:color w:val="000000"/>
                <w:kern w:val="0"/>
                <w:sz w:val="21"/>
                <w:szCs w:val="21"/>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75C0AF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建设用地</w:t>
            </w: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0B217E8">
            <w:pPr>
              <w:spacing w:line="240" w:lineRule="auto"/>
              <w:ind w:firstLine="0" w:firstLineChars="0"/>
              <w:jc w:val="center"/>
              <w:rPr>
                <w:rFonts w:hint="eastAsia" w:ascii="Times New Roman" w:hAnsi="Times New Roman" w:cs="Times New Roman"/>
                <w:color w:val="000000"/>
                <w:kern w:val="0"/>
                <w:sz w:val="21"/>
                <w:szCs w:val="21"/>
              </w:rPr>
            </w:pPr>
          </w:p>
        </w:tc>
        <w:tc>
          <w:tcPr>
            <w:tcW w:w="1481" w:type="dxa"/>
            <w:vMerge w:val="continue"/>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4E1FAB69">
            <w:pPr>
              <w:spacing w:line="240" w:lineRule="auto"/>
              <w:ind w:firstLine="0" w:firstLineChars="0"/>
              <w:jc w:val="center"/>
              <w:rPr>
                <w:rFonts w:hint="eastAsia" w:ascii="Times New Roman" w:hAnsi="Times New Roman" w:cs="Times New Roman"/>
                <w:color w:val="000000"/>
                <w:kern w:val="0"/>
                <w:sz w:val="21"/>
                <w:szCs w:val="21"/>
              </w:rPr>
            </w:pPr>
          </w:p>
        </w:tc>
      </w:tr>
      <w:tr w14:paraId="3C3C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0D7796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地块一</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26472F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92BB5FF">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0.30</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2DA79E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0.30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4086026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20FD1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9161D46">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30D2F9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2126D9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0.21</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64DA41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0.21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563CD3C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33CD9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B7DF40B">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D27E82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B1AB92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0.09</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D4E941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0.09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09336C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2C2BF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EB1BA89">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6B6597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663E2F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0.60</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F77C24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0.60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69B0D791">
            <w:pPr>
              <w:spacing w:line="240" w:lineRule="auto"/>
              <w:ind w:firstLine="0" w:firstLineChars="0"/>
              <w:jc w:val="center"/>
              <w:rPr>
                <w:rFonts w:hint="eastAsia" w:ascii="Times New Roman" w:hAnsi="Times New Roman" w:cs="Times New Roman"/>
                <w:color w:val="000000"/>
                <w:kern w:val="0"/>
                <w:sz w:val="21"/>
                <w:szCs w:val="21"/>
              </w:rPr>
            </w:pPr>
          </w:p>
        </w:tc>
      </w:tr>
      <w:tr w14:paraId="0D6BB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2D10956">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地块二</w:t>
            </w: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B1BCB2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DDD045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0.57</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4CEE78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0.57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30B3BF2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1F6CA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5B2D085">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42D9746">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6B8983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0.20</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FAFA65B">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0.20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5E4DA6D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04FA6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4076090">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34C971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568CD7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0.14</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482C60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0.14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95CFF4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406F3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0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C2D539C">
            <w:pPr>
              <w:spacing w:line="240" w:lineRule="auto"/>
              <w:ind w:firstLine="0" w:firstLineChars="0"/>
              <w:jc w:val="center"/>
              <w:rPr>
                <w:rFonts w:hint="eastAsia" w:ascii="Times New Roman" w:hAnsi="Times New Roman" w:cs="Times New Roman"/>
                <w:color w:val="000000"/>
                <w:kern w:val="0"/>
                <w:sz w:val="21"/>
                <w:szCs w:val="21"/>
              </w:rPr>
            </w:pPr>
          </w:p>
        </w:tc>
        <w:tc>
          <w:tcPr>
            <w:tcW w:w="1932"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A0044FB">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2430"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8589FC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0.91</w:t>
            </w:r>
          </w:p>
        </w:tc>
        <w:tc>
          <w:tcPr>
            <w:tcW w:w="173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BCD9DD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0.91 </w:t>
            </w:r>
          </w:p>
        </w:tc>
        <w:tc>
          <w:tcPr>
            <w:tcW w:w="1481"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54B8CCA">
            <w:pPr>
              <w:spacing w:line="240" w:lineRule="auto"/>
              <w:ind w:firstLine="0" w:firstLineChars="0"/>
              <w:jc w:val="center"/>
              <w:rPr>
                <w:rFonts w:hint="eastAsia" w:ascii="Times New Roman" w:hAnsi="Times New Roman" w:cs="Times New Roman"/>
                <w:color w:val="000000"/>
                <w:kern w:val="0"/>
                <w:sz w:val="21"/>
                <w:szCs w:val="21"/>
              </w:rPr>
            </w:pPr>
          </w:p>
        </w:tc>
      </w:tr>
      <w:tr w14:paraId="4DAEF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3334" w:type="dxa"/>
            <w:gridSpan w:val="2"/>
            <w:tcBorders>
              <w:top w:val="single" w:color="000000" w:sz="4" w:space="0"/>
              <w:left w:val="single" w:color="000000" w:sz="12"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3C95F15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合计</w:t>
            </w:r>
          </w:p>
        </w:tc>
        <w:tc>
          <w:tcPr>
            <w:tcW w:w="2430"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73D3A0A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1.51</w:t>
            </w:r>
          </w:p>
        </w:tc>
        <w:tc>
          <w:tcPr>
            <w:tcW w:w="1738"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563E69C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1.51</w:t>
            </w:r>
          </w:p>
        </w:tc>
        <w:tc>
          <w:tcPr>
            <w:tcW w:w="1481" w:type="dxa"/>
            <w:tcBorders>
              <w:top w:val="single" w:color="000000" w:sz="4" w:space="0"/>
              <w:left w:val="single" w:color="000000" w:sz="4" w:space="0"/>
              <w:bottom w:val="single" w:color="000000" w:sz="12" w:space="0"/>
              <w:right w:val="single" w:color="000000" w:sz="12" w:space="0"/>
            </w:tcBorders>
            <w:shd w:val="clear" w:color="auto" w:fill="auto"/>
            <w:noWrap/>
            <w:tcMar>
              <w:top w:w="0" w:type="dxa"/>
              <w:left w:w="0" w:type="dxa"/>
              <w:bottom w:w="0" w:type="dxa"/>
              <w:right w:w="0" w:type="dxa"/>
            </w:tcMar>
            <w:vAlign w:val="center"/>
          </w:tcPr>
          <w:p w14:paraId="7074E812">
            <w:pPr>
              <w:spacing w:line="240" w:lineRule="auto"/>
              <w:ind w:firstLine="0" w:firstLineChars="0"/>
              <w:jc w:val="center"/>
              <w:rPr>
                <w:rFonts w:hint="eastAsia" w:ascii="Times New Roman" w:hAnsi="Times New Roman" w:cs="Times New Roman"/>
                <w:color w:val="000000"/>
                <w:kern w:val="0"/>
                <w:sz w:val="21"/>
                <w:szCs w:val="21"/>
              </w:rPr>
            </w:pPr>
          </w:p>
        </w:tc>
      </w:tr>
    </w:tbl>
    <w:p w14:paraId="2390301C">
      <w:pPr>
        <w:pStyle w:val="3"/>
        <w:rPr>
          <w:rFonts w:hint="default" w:ascii="Times New Roman" w:hAnsi="Times New Roman" w:cs="Times New Roman"/>
          <w:lang w:bidi="ar"/>
        </w:rPr>
      </w:pPr>
      <w:bookmarkStart w:id="35" w:name="_Toc165223567"/>
      <w:r>
        <w:rPr>
          <w:rFonts w:hint="default" w:ascii="Times New Roman" w:hAnsi="Times New Roman" w:cs="Times New Roman"/>
          <w:lang w:bidi="ar"/>
        </w:rPr>
        <w:t>土石方平衡</w:t>
      </w:r>
      <w:bookmarkEnd w:id="35"/>
    </w:p>
    <w:p w14:paraId="59EF9165">
      <w:pPr>
        <w:pStyle w:val="4"/>
        <w:rPr>
          <w:rFonts w:hint="default" w:ascii="Times New Roman" w:hAnsi="Times New Roman" w:cs="Times New Roman"/>
          <w:lang w:bidi="ar"/>
        </w:rPr>
      </w:pPr>
      <w:r>
        <w:rPr>
          <w:rFonts w:hint="default" w:ascii="Times New Roman" w:hAnsi="Times New Roman" w:cs="Times New Roman"/>
          <w:lang w:bidi="ar"/>
        </w:rPr>
        <w:t>表土平衡分析</w:t>
      </w:r>
    </w:p>
    <w:p w14:paraId="6ED586D7">
      <w:pPr>
        <w:ind w:firstLine="480"/>
        <w:rPr>
          <w:rFonts w:hint="default" w:ascii="Times New Roman" w:hAnsi="Times New Roman" w:eastAsia="仿宋_GB2312" w:cs="Times New Roman"/>
          <w:lang w:val="en-US" w:eastAsia="zh-CN"/>
        </w:rPr>
      </w:pPr>
      <w:r>
        <w:rPr>
          <w:rFonts w:hint="default" w:ascii="Times New Roman" w:hAnsi="Times New Roman" w:cs="Times New Roman"/>
        </w:rPr>
        <w:t>根据现场调查，</w:t>
      </w:r>
      <w:r>
        <w:rPr>
          <w:rFonts w:hint="eastAsia" w:cs="Times New Roman"/>
          <w:lang w:val="en-US" w:eastAsia="zh-CN"/>
        </w:rPr>
        <w:t>方案介入时，本项目已开工建设，地块一已完成西南侧原建筑拆除，还未对场地进行清表及场平工作，地表表层土还未进行剥离，现状为草坪。地块二已完成场平工作，目前正在进行建构筑物基础施工，施工前针对场地表土进行了剥离，方案介入时堆放在场地西侧，堆放零乱，本方案要求建设单位将表土运至绿化区规划表土堆场进行堆存，集中保护。</w:t>
      </w:r>
    </w:p>
    <w:p w14:paraId="090BBD0E">
      <w:pPr>
        <w:pStyle w:val="5"/>
        <w:rPr>
          <w:rFonts w:hint="default" w:ascii="Times New Roman" w:hAnsi="Times New Roman" w:cs="Times New Roman"/>
          <w:lang w:bidi="ar"/>
        </w:rPr>
      </w:pPr>
      <w:r>
        <w:rPr>
          <w:rFonts w:hint="eastAsia" w:ascii="Times New Roman" w:hAnsi="Times New Roman" w:cs="Times New Roman"/>
          <w:lang w:val="en-US" w:eastAsia="zh-CN" w:bidi="ar"/>
        </w:rPr>
        <w:t>方案介入前已产生</w:t>
      </w:r>
      <w:r>
        <w:rPr>
          <w:rFonts w:hint="default"/>
        </w:rPr>
        <w:t>表土资源剥离及保护调查</w:t>
      </w:r>
    </w:p>
    <w:p w14:paraId="7E73EB62">
      <w:pPr>
        <w:ind w:firstLine="480"/>
        <w:rPr>
          <w:rFonts w:hint="default" w:ascii="Times New Roman" w:hAnsi="Times New Roman" w:eastAsia="仿宋_GB2312" w:cs="Times New Roman"/>
          <w:lang w:val="en-US" w:eastAsia="zh-CN"/>
        </w:rPr>
      </w:pPr>
      <w:r>
        <w:rPr>
          <w:rFonts w:hint="default" w:ascii="Times New Roman" w:hAnsi="Times New Roman" w:cs="Times New Roman"/>
        </w:rPr>
        <w:t>根据现场调查，</w:t>
      </w:r>
      <w:r>
        <w:rPr>
          <w:rFonts w:hint="eastAsia" w:cs="Times New Roman"/>
          <w:lang w:val="en-US" w:eastAsia="zh-CN"/>
        </w:rPr>
        <w:t>方案介入前地块二已经进行了表土剥离，表土剥离面积为0.91hm</w:t>
      </w:r>
      <w:r>
        <w:rPr>
          <w:rFonts w:hint="eastAsia" w:cs="Times New Roman"/>
          <w:vertAlign w:val="superscript"/>
          <w:lang w:val="en-US" w:eastAsia="zh-CN"/>
        </w:rPr>
        <w:t>2</w:t>
      </w:r>
      <w:r>
        <w:rPr>
          <w:rFonts w:hint="eastAsia" w:cs="Times New Roman"/>
          <w:lang w:val="en-US" w:eastAsia="zh-CN"/>
        </w:rPr>
        <w:t>，表土剥离量为1365m</w:t>
      </w:r>
      <w:r>
        <w:rPr>
          <w:rFonts w:hint="eastAsia" w:cs="Times New Roman"/>
          <w:vertAlign w:val="superscript"/>
          <w:lang w:val="en-US" w:eastAsia="zh-CN"/>
        </w:rPr>
        <w:t>3</w:t>
      </w:r>
      <w:r>
        <w:rPr>
          <w:rFonts w:hint="eastAsia" w:cs="Times New Roman"/>
          <w:lang w:val="en-US" w:eastAsia="zh-CN"/>
        </w:rPr>
        <w:t>，表土剥离厚度约为15cm。本方案要求建设单位将表土运至绿化区规划的2#表土堆场和3#表土堆场进行堆存，集中保护。</w:t>
      </w:r>
    </w:p>
    <w:tbl>
      <w:tblPr>
        <w:tblStyle w:val="28"/>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613"/>
        <w:gridCol w:w="4913"/>
      </w:tblGrid>
      <w:tr w14:paraId="6790C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4613" w:type="dxa"/>
            <w:vAlign w:val="center"/>
          </w:tcPr>
          <w:p w14:paraId="7716088B">
            <w:pPr>
              <w:widowControl w:val="0"/>
              <w:adjustRightInd w:val="0"/>
              <w:snapToGrid w:val="0"/>
              <w:spacing w:line="240" w:lineRule="auto"/>
              <w:ind w:firstLine="0" w:firstLineChars="0"/>
              <w:jc w:val="center"/>
              <w:rPr>
                <w:rFonts w:hint="default" w:ascii="Times New Roman" w:hAnsi="Times New Roman" w:cs="Times New Roman"/>
                <w:color w:val="auto"/>
              </w:rPr>
            </w:pPr>
            <w:r>
              <w:drawing>
                <wp:inline distT="0" distB="0" distL="114300" distR="114300">
                  <wp:extent cx="2911475" cy="2061845"/>
                  <wp:effectExtent l="0" t="0" r="3175"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8"/>
                          <a:stretch>
                            <a:fillRect/>
                          </a:stretch>
                        </pic:blipFill>
                        <pic:spPr>
                          <a:xfrm>
                            <a:off x="0" y="0"/>
                            <a:ext cx="2911475" cy="2061845"/>
                          </a:xfrm>
                          <a:prstGeom prst="rect">
                            <a:avLst/>
                          </a:prstGeom>
                          <a:noFill/>
                          <a:ln>
                            <a:noFill/>
                          </a:ln>
                        </pic:spPr>
                      </pic:pic>
                    </a:graphicData>
                  </a:graphic>
                </wp:inline>
              </w:drawing>
            </w:r>
          </w:p>
        </w:tc>
        <w:tc>
          <w:tcPr>
            <w:tcW w:w="4913" w:type="dxa"/>
            <w:vAlign w:val="center"/>
          </w:tcPr>
          <w:p w14:paraId="0B1F7B1C">
            <w:pPr>
              <w:widowControl w:val="0"/>
              <w:adjustRightInd w:val="0"/>
              <w:snapToGrid w:val="0"/>
              <w:spacing w:line="240" w:lineRule="auto"/>
              <w:ind w:firstLine="0" w:firstLineChars="0"/>
              <w:jc w:val="center"/>
              <w:rPr>
                <w:rFonts w:hint="default" w:ascii="Times New Roman" w:hAnsi="Times New Roman" w:cs="Times New Roman"/>
                <w:color w:val="auto"/>
              </w:rPr>
            </w:pPr>
            <w:r>
              <w:drawing>
                <wp:inline distT="0" distB="0" distL="114300" distR="114300">
                  <wp:extent cx="3088640" cy="2015490"/>
                  <wp:effectExtent l="0" t="0" r="16510" b="381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39"/>
                          <a:stretch>
                            <a:fillRect/>
                          </a:stretch>
                        </pic:blipFill>
                        <pic:spPr>
                          <a:xfrm>
                            <a:off x="0" y="0"/>
                            <a:ext cx="3088640" cy="2015490"/>
                          </a:xfrm>
                          <a:prstGeom prst="rect">
                            <a:avLst/>
                          </a:prstGeom>
                          <a:noFill/>
                          <a:ln>
                            <a:noFill/>
                          </a:ln>
                        </pic:spPr>
                      </pic:pic>
                    </a:graphicData>
                  </a:graphic>
                </wp:inline>
              </w:drawing>
            </w:r>
          </w:p>
        </w:tc>
      </w:tr>
      <w:tr w14:paraId="5B034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526" w:type="dxa"/>
            <w:gridSpan w:val="2"/>
            <w:vAlign w:val="center"/>
          </w:tcPr>
          <w:p w14:paraId="13F38F70">
            <w:pPr>
              <w:widowControl w:val="0"/>
              <w:adjustRightInd w:val="0"/>
              <w:snapToGrid w:val="0"/>
              <w:spacing w:line="240" w:lineRule="auto"/>
              <w:ind w:firstLine="0" w:firstLineChars="0"/>
              <w:jc w:val="center"/>
              <w:rPr>
                <w:rFonts w:hint="default" w:ascii="Times New Roman" w:hAnsi="Times New Roman" w:cs="Times New Roman"/>
                <w:color w:val="auto"/>
              </w:rPr>
            </w:pPr>
            <w:r>
              <w:rPr>
                <w:rFonts w:hint="eastAsia" w:cs="Times New Roman"/>
                <w:lang w:val="en-US" w:eastAsia="zh-CN"/>
              </w:rPr>
              <w:t>场地西侧场平施工前剥离的表土</w:t>
            </w:r>
          </w:p>
        </w:tc>
      </w:tr>
    </w:tbl>
    <w:p w14:paraId="26761510">
      <w:pPr>
        <w:ind w:firstLine="480"/>
        <w:rPr>
          <w:rFonts w:hint="default" w:ascii="Times New Roman" w:hAnsi="Times New Roman" w:cs="Times New Roman"/>
        </w:rPr>
      </w:pPr>
      <w:r>
        <w:rPr>
          <w:rFonts w:hint="default" w:ascii="Times New Roman" w:hAnsi="Times New Roman" w:cs="Times New Roman"/>
        </w:rPr>
        <w:t>根据现场调查，查阅施工及监理资料，本项目</w:t>
      </w:r>
      <w:r>
        <w:rPr>
          <w:rFonts w:hint="eastAsia" w:cs="Times New Roman"/>
          <w:lang w:val="en-US" w:eastAsia="zh-CN"/>
        </w:rPr>
        <w:t>地块二已</w:t>
      </w:r>
      <w:r>
        <w:rPr>
          <w:rFonts w:hint="default" w:ascii="Times New Roman" w:hAnsi="Times New Roman" w:cs="Times New Roman"/>
        </w:rPr>
        <w:t>收集保护表土</w:t>
      </w:r>
      <w:r>
        <w:rPr>
          <w:rFonts w:hint="eastAsia" w:cs="Times New Roman"/>
          <w:lang w:val="en-US" w:eastAsia="zh-CN"/>
        </w:rPr>
        <w:t>1365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，剥离厚度</w:t>
      </w:r>
      <w:r>
        <w:rPr>
          <w:rFonts w:hint="eastAsia" w:cs="Times New Roman"/>
          <w:lang w:val="en-US" w:eastAsia="zh-CN"/>
        </w:rPr>
        <w:t>15</w:t>
      </w:r>
      <w:r>
        <w:rPr>
          <w:rFonts w:hint="default" w:ascii="Times New Roman" w:hAnsi="Times New Roman" w:cs="Times New Roman"/>
        </w:rPr>
        <w:t>cm，剥离（收集）表土面积有</w:t>
      </w:r>
      <w:r>
        <w:rPr>
          <w:rFonts w:hint="eastAsia" w:cs="Times New Roman"/>
          <w:lang w:val="en-US" w:eastAsia="zh-CN"/>
        </w:rPr>
        <w:t>0.91h</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，收集的表土用于后期</w:t>
      </w:r>
      <w:r>
        <w:rPr>
          <w:rFonts w:hint="eastAsia" w:cs="Times New Roman"/>
          <w:lang w:val="en-US" w:eastAsia="zh-CN"/>
        </w:rPr>
        <w:t>地块二</w:t>
      </w:r>
      <w:r>
        <w:rPr>
          <w:rFonts w:hint="default" w:ascii="Times New Roman" w:hAnsi="Times New Roman" w:cs="Times New Roman"/>
        </w:rPr>
        <w:t>绿化区域覆土</w:t>
      </w:r>
      <w:r>
        <w:rPr>
          <w:rFonts w:hint="eastAsia" w:cs="Times New Roman"/>
          <w:lang w:eastAsia="zh-CN"/>
        </w:rPr>
        <w:t>，</w:t>
      </w:r>
      <w:r>
        <w:rPr>
          <w:rFonts w:hint="eastAsia" w:cs="Times New Roman"/>
          <w:lang w:val="en-US" w:eastAsia="zh-CN"/>
        </w:rPr>
        <w:t>并调运196.30</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val="en-US" w:eastAsia="zh-CN"/>
        </w:rPr>
        <w:t>至地块一绿化区域</w:t>
      </w:r>
      <w:r>
        <w:rPr>
          <w:rFonts w:hint="default" w:ascii="Times New Roman" w:hAnsi="Times New Roman" w:cs="Times New Roman"/>
        </w:rPr>
        <w:t>覆土。</w:t>
      </w:r>
    </w:p>
    <w:p w14:paraId="66C1A4AC">
      <w:pPr>
        <w:pStyle w:val="83"/>
        <w:jc w:val="center"/>
        <w:rPr>
          <w:rFonts w:hint="default" w:ascii="Times New Roman" w:hAnsi="Times New Roman" w:eastAsia="仿宋_GB2312" w:cs="Times New Roman"/>
          <w:b/>
          <w:bCs w:val="0"/>
        </w:rPr>
      </w:pPr>
      <w:r>
        <w:rPr>
          <w:rFonts w:hint="default" w:ascii="Times New Roman" w:hAnsi="Times New Roman" w:eastAsia="仿宋_GB2312" w:cs="Times New Roman"/>
          <w:b/>
          <w:bCs w:val="0"/>
        </w:rPr>
        <w:t xml:space="preserve">表2-5                   </w:t>
      </w:r>
      <w:r>
        <w:rPr>
          <w:rFonts w:hint="eastAsia" w:eastAsia="仿宋_GB2312" w:cs="Times New Roman"/>
          <w:b/>
          <w:bCs w:val="0"/>
          <w:lang w:val="en-US" w:eastAsia="zh-CN"/>
        </w:rPr>
        <w:t>地块二</w:t>
      </w:r>
      <w:r>
        <w:rPr>
          <w:rFonts w:hint="default" w:ascii="Times New Roman" w:hAnsi="Times New Roman" w:eastAsia="仿宋_GB2312" w:cs="Times New Roman"/>
          <w:b/>
          <w:bCs w:val="0"/>
        </w:rPr>
        <w:t>剥离（收集）表土统计表</w:t>
      </w:r>
    </w:p>
    <w:tbl>
      <w:tblPr>
        <w:tblStyle w:val="27"/>
        <w:tblW w:w="93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05"/>
        <w:gridCol w:w="1102"/>
        <w:gridCol w:w="901"/>
        <w:gridCol w:w="737"/>
        <w:gridCol w:w="1005"/>
        <w:gridCol w:w="619"/>
        <w:gridCol w:w="731"/>
        <w:gridCol w:w="546"/>
        <w:gridCol w:w="1108"/>
        <w:gridCol w:w="672"/>
        <w:gridCol w:w="1065"/>
        <w:gridCol w:w="241"/>
        <w:gridCol w:w="170"/>
      </w:tblGrid>
      <w:tr w14:paraId="4CCCD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05" w:type="dxa"/>
            <w:vMerge w:val="restart"/>
            <w:tcBorders>
              <w:tl2br w:val="nil"/>
              <w:tr2bl w:val="nil"/>
            </w:tcBorders>
            <w:shd w:val="clear" w:color="auto" w:fill="auto"/>
            <w:noWrap/>
            <w:vAlign w:val="center"/>
          </w:tcPr>
          <w:p w14:paraId="2F4C6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地块</w:t>
            </w:r>
          </w:p>
        </w:tc>
        <w:tc>
          <w:tcPr>
            <w:tcW w:w="1102" w:type="dxa"/>
            <w:vMerge w:val="restart"/>
            <w:tcBorders>
              <w:tl2br w:val="nil"/>
              <w:tr2bl w:val="nil"/>
            </w:tcBorders>
            <w:shd w:val="clear" w:color="auto" w:fill="auto"/>
            <w:noWrap/>
            <w:vAlign w:val="center"/>
          </w:tcPr>
          <w:p w14:paraId="4C8E0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项目分区</w:t>
            </w:r>
          </w:p>
        </w:tc>
        <w:tc>
          <w:tcPr>
            <w:tcW w:w="901" w:type="dxa"/>
            <w:vMerge w:val="restart"/>
            <w:tcBorders>
              <w:tl2br w:val="nil"/>
              <w:tr2bl w:val="nil"/>
            </w:tcBorders>
            <w:shd w:val="clear" w:color="auto" w:fill="auto"/>
            <w:noWrap/>
            <w:vAlign w:val="center"/>
          </w:tcPr>
          <w:p w14:paraId="6DFB8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剥离面积（hm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737" w:type="dxa"/>
            <w:vMerge w:val="restart"/>
            <w:tcBorders>
              <w:tl2br w:val="nil"/>
              <w:tr2bl w:val="nil"/>
            </w:tcBorders>
            <w:shd w:val="clear" w:color="auto" w:fill="auto"/>
            <w:noWrap/>
            <w:vAlign w:val="center"/>
          </w:tcPr>
          <w:p w14:paraId="1DCE7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平均剥离厚度（cm）</w:t>
            </w:r>
          </w:p>
        </w:tc>
        <w:tc>
          <w:tcPr>
            <w:tcW w:w="1005" w:type="dxa"/>
            <w:vMerge w:val="restart"/>
            <w:tcBorders>
              <w:tl2br w:val="nil"/>
              <w:tr2bl w:val="nil"/>
            </w:tcBorders>
            <w:shd w:val="clear" w:color="auto" w:fill="auto"/>
            <w:noWrap/>
            <w:vAlign w:val="center"/>
          </w:tcPr>
          <w:p w14:paraId="1F6D3F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表土剥离量（m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3</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619" w:type="dxa"/>
            <w:vMerge w:val="restart"/>
            <w:tcBorders>
              <w:tl2br w:val="nil"/>
              <w:tr2bl w:val="nil"/>
            </w:tcBorders>
            <w:shd w:val="clear" w:color="auto" w:fill="auto"/>
            <w:vAlign w:val="center"/>
          </w:tcPr>
          <w:p w14:paraId="61D284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绿化面积（hm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731" w:type="dxa"/>
            <w:vMerge w:val="restart"/>
            <w:tcBorders>
              <w:tl2br w:val="nil"/>
              <w:tr2bl w:val="nil"/>
            </w:tcBorders>
            <w:shd w:val="clear" w:color="auto" w:fill="auto"/>
            <w:vAlign w:val="center"/>
          </w:tcPr>
          <w:p w14:paraId="5A95BC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绿化覆土量（m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3</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1654" w:type="dxa"/>
            <w:gridSpan w:val="2"/>
            <w:tcBorders>
              <w:tl2br w:val="nil"/>
              <w:tr2bl w:val="nil"/>
            </w:tcBorders>
            <w:shd w:val="clear" w:color="auto" w:fill="auto"/>
            <w:vAlign w:val="center"/>
          </w:tcPr>
          <w:p w14:paraId="519685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调入</w:t>
            </w:r>
          </w:p>
        </w:tc>
        <w:tc>
          <w:tcPr>
            <w:tcW w:w="1737" w:type="dxa"/>
            <w:gridSpan w:val="2"/>
            <w:tcBorders>
              <w:tl2br w:val="nil"/>
              <w:tr2bl w:val="nil"/>
            </w:tcBorders>
            <w:shd w:val="clear" w:color="auto" w:fill="auto"/>
            <w:vAlign w:val="center"/>
          </w:tcPr>
          <w:p w14:paraId="76F14A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调出</w:t>
            </w:r>
          </w:p>
        </w:tc>
        <w:tc>
          <w:tcPr>
            <w:tcW w:w="411" w:type="dxa"/>
            <w:gridSpan w:val="2"/>
            <w:tcBorders>
              <w:tl2br w:val="nil"/>
              <w:tr2bl w:val="nil"/>
            </w:tcBorders>
            <w:shd w:val="clear" w:color="auto" w:fill="auto"/>
            <w:vAlign w:val="center"/>
          </w:tcPr>
          <w:p w14:paraId="5E8F23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外借</w:t>
            </w:r>
          </w:p>
        </w:tc>
      </w:tr>
      <w:tr w14:paraId="7361BA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05" w:type="dxa"/>
            <w:vMerge w:val="continue"/>
            <w:tcBorders>
              <w:tl2br w:val="nil"/>
              <w:tr2bl w:val="nil"/>
            </w:tcBorders>
            <w:shd w:val="clear" w:color="auto" w:fill="auto"/>
            <w:noWrap/>
            <w:vAlign w:val="center"/>
          </w:tcPr>
          <w:p w14:paraId="2E055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102" w:type="dxa"/>
            <w:vMerge w:val="continue"/>
            <w:tcBorders>
              <w:tl2br w:val="nil"/>
              <w:tr2bl w:val="nil"/>
            </w:tcBorders>
            <w:shd w:val="clear" w:color="auto" w:fill="auto"/>
            <w:noWrap/>
            <w:vAlign w:val="center"/>
          </w:tcPr>
          <w:p w14:paraId="1ECF12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901" w:type="dxa"/>
            <w:vMerge w:val="continue"/>
            <w:tcBorders>
              <w:tl2br w:val="nil"/>
              <w:tr2bl w:val="nil"/>
            </w:tcBorders>
            <w:shd w:val="clear" w:color="auto" w:fill="auto"/>
            <w:noWrap/>
            <w:vAlign w:val="center"/>
          </w:tcPr>
          <w:p w14:paraId="2B104A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737" w:type="dxa"/>
            <w:vMerge w:val="continue"/>
            <w:tcBorders>
              <w:tl2br w:val="nil"/>
              <w:tr2bl w:val="nil"/>
            </w:tcBorders>
            <w:shd w:val="clear" w:color="auto" w:fill="auto"/>
            <w:noWrap/>
            <w:vAlign w:val="center"/>
          </w:tcPr>
          <w:p w14:paraId="53E79D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005" w:type="dxa"/>
            <w:vMerge w:val="continue"/>
            <w:tcBorders>
              <w:tl2br w:val="nil"/>
              <w:tr2bl w:val="nil"/>
            </w:tcBorders>
            <w:shd w:val="clear" w:color="auto" w:fill="auto"/>
            <w:noWrap/>
            <w:vAlign w:val="center"/>
          </w:tcPr>
          <w:p w14:paraId="39C1A4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619" w:type="dxa"/>
            <w:vMerge w:val="continue"/>
            <w:tcBorders>
              <w:tl2br w:val="nil"/>
              <w:tr2bl w:val="nil"/>
            </w:tcBorders>
            <w:shd w:val="clear" w:color="auto" w:fill="auto"/>
            <w:vAlign w:val="center"/>
          </w:tcPr>
          <w:p w14:paraId="2AD05F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731" w:type="dxa"/>
            <w:vMerge w:val="continue"/>
            <w:tcBorders>
              <w:tl2br w:val="nil"/>
              <w:tr2bl w:val="nil"/>
            </w:tcBorders>
            <w:shd w:val="clear" w:color="auto" w:fill="auto"/>
            <w:vAlign w:val="center"/>
          </w:tcPr>
          <w:p w14:paraId="4A4BFA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46" w:type="dxa"/>
            <w:tcBorders>
              <w:tl2br w:val="nil"/>
              <w:tr2bl w:val="nil"/>
            </w:tcBorders>
            <w:shd w:val="clear" w:color="auto" w:fill="auto"/>
            <w:vAlign w:val="center"/>
          </w:tcPr>
          <w:p w14:paraId="7C52DB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数量</w:t>
            </w:r>
          </w:p>
        </w:tc>
        <w:tc>
          <w:tcPr>
            <w:tcW w:w="1108" w:type="dxa"/>
            <w:tcBorders>
              <w:tl2br w:val="nil"/>
              <w:tr2bl w:val="nil"/>
            </w:tcBorders>
            <w:shd w:val="clear" w:color="auto" w:fill="auto"/>
            <w:vAlign w:val="center"/>
          </w:tcPr>
          <w:p w14:paraId="508ED1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来源</w:t>
            </w:r>
          </w:p>
        </w:tc>
        <w:tc>
          <w:tcPr>
            <w:tcW w:w="672" w:type="dxa"/>
            <w:tcBorders>
              <w:tl2br w:val="nil"/>
              <w:tr2bl w:val="nil"/>
            </w:tcBorders>
            <w:shd w:val="clear" w:color="auto" w:fill="auto"/>
            <w:vAlign w:val="center"/>
          </w:tcPr>
          <w:p w14:paraId="5AFC2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数量</w:t>
            </w:r>
          </w:p>
        </w:tc>
        <w:tc>
          <w:tcPr>
            <w:tcW w:w="1065" w:type="dxa"/>
            <w:tcBorders>
              <w:tl2br w:val="nil"/>
              <w:tr2bl w:val="nil"/>
            </w:tcBorders>
            <w:shd w:val="clear" w:color="auto" w:fill="auto"/>
            <w:vAlign w:val="center"/>
          </w:tcPr>
          <w:p w14:paraId="39B2D9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去向</w:t>
            </w:r>
          </w:p>
        </w:tc>
        <w:tc>
          <w:tcPr>
            <w:tcW w:w="241" w:type="dxa"/>
            <w:tcBorders>
              <w:tl2br w:val="nil"/>
              <w:tr2bl w:val="nil"/>
            </w:tcBorders>
            <w:shd w:val="clear" w:color="auto" w:fill="auto"/>
            <w:vAlign w:val="center"/>
          </w:tcPr>
          <w:p w14:paraId="4EA522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数量</w:t>
            </w:r>
          </w:p>
        </w:tc>
        <w:tc>
          <w:tcPr>
            <w:tcW w:w="170" w:type="dxa"/>
            <w:tcBorders>
              <w:tl2br w:val="nil"/>
              <w:tr2bl w:val="nil"/>
            </w:tcBorders>
            <w:shd w:val="clear" w:color="auto" w:fill="auto"/>
            <w:vAlign w:val="center"/>
          </w:tcPr>
          <w:p w14:paraId="4DB405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来源</w:t>
            </w:r>
          </w:p>
        </w:tc>
      </w:tr>
      <w:tr w14:paraId="5DFEC0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05" w:type="dxa"/>
            <w:vMerge w:val="restart"/>
            <w:tcBorders>
              <w:tl2br w:val="nil"/>
              <w:tr2bl w:val="nil"/>
            </w:tcBorders>
            <w:shd w:val="clear" w:color="auto" w:fill="auto"/>
            <w:noWrap/>
            <w:vAlign w:val="center"/>
          </w:tcPr>
          <w:p w14:paraId="5B5E15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地块二</w:t>
            </w:r>
          </w:p>
        </w:tc>
        <w:tc>
          <w:tcPr>
            <w:tcW w:w="1102" w:type="dxa"/>
            <w:tcBorders>
              <w:tl2br w:val="nil"/>
              <w:tr2bl w:val="nil"/>
            </w:tcBorders>
            <w:shd w:val="clear" w:color="auto" w:fill="auto"/>
            <w:noWrap/>
            <w:vAlign w:val="center"/>
          </w:tcPr>
          <w:p w14:paraId="7079C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建构筑物区</w:t>
            </w:r>
          </w:p>
        </w:tc>
        <w:tc>
          <w:tcPr>
            <w:tcW w:w="901" w:type="dxa"/>
            <w:tcBorders>
              <w:tl2br w:val="nil"/>
              <w:tr2bl w:val="nil"/>
            </w:tcBorders>
            <w:shd w:val="clear" w:color="auto" w:fill="auto"/>
            <w:noWrap/>
            <w:vAlign w:val="center"/>
          </w:tcPr>
          <w:p w14:paraId="7F8BAC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0.57 </w:t>
            </w:r>
          </w:p>
        </w:tc>
        <w:tc>
          <w:tcPr>
            <w:tcW w:w="737" w:type="dxa"/>
            <w:tcBorders>
              <w:tl2br w:val="nil"/>
              <w:tr2bl w:val="nil"/>
            </w:tcBorders>
            <w:shd w:val="clear" w:color="auto" w:fill="auto"/>
            <w:noWrap/>
            <w:vAlign w:val="center"/>
          </w:tcPr>
          <w:p w14:paraId="51E21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15</w:t>
            </w:r>
          </w:p>
        </w:tc>
        <w:tc>
          <w:tcPr>
            <w:tcW w:w="1005" w:type="dxa"/>
            <w:tcBorders>
              <w:tl2br w:val="nil"/>
              <w:tr2bl w:val="nil"/>
            </w:tcBorders>
            <w:shd w:val="clear" w:color="auto" w:fill="auto"/>
            <w:noWrap/>
            <w:vAlign w:val="center"/>
          </w:tcPr>
          <w:p w14:paraId="30CA32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855.00 </w:t>
            </w:r>
          </w:p>
        </w:tc>
        <w:tc>
          <w:tcPr>
            <w:tcW w:w="619" w:type="dxa"/>
            <w:tcBorders>
              <w:tl2br w:val="nil"/>
              <w:tr2bl w:val="nil"/>
            </w:tcBorders>
            <w:shd w:val="clear" w:color="auto" w:fill="auto"/>
            <w:noWrap/>
            <w:vAlign w:val="center"/>
          </w:tcPr>
          <w:p w14:paraId="487CFC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731" w:type="dxa"/>
            <w:tcBorders>
              <w:tl2br w:val="nil"/>
              <w:tr2bl w:val="nil"/>
            </w:tcBorders>
            <w:shd w:val="clear" w:color="auto" w:fill="auto"/>
            <w:noWrap/>
            <w:vAlign w:val="center"/>
          </w:tcPr>
          <w:p w14:paraId="0358C1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46" w:type="dxa"/>
            <w:tcBorders>
              <w:tl2br w:val="nil"/>
              <w:tr2bl w:val="nil"/>
            </w:tcBorders>
            <w:shd w:val="clear" w:color="auto" w:fill="auto"/>
            <w:noWrap/>
            <w:vAlign w:val="center"/>
          </w:tcPr>
          <w:p w14:paraId="608E156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108" w:type="dxa"/>
            <w:tcBorders>
              <w:tl2br w:val="nil"/>
              <w:tr2bl w:val="nil"/>
            </w:tcBorders>
            <w:shd w:val="clear" w:color="auto" w:fill="auto"/>
            <w:noWrap/>
            <w:vAlign w:val="center"/>
          </w:tcPr>
          <w:p w14:paraId="7CAE650F">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672" w:type="dxa"/>
            <w:tcBorders>
              <w:tl2br w:val="nil"/>
              <w:tr2bl w:val="nil"/>
            </w:tcBorders>
            <w:shd w:val="clear" w:color="auto" w:fill="auto"/>
            <w:noWrap/>
            <w:vAlign w:val="center"/>
          </w:tcPr>
          <w:p w14:paraId="07FF5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855.00 </w:t>
            </w:r>
          </w:p>
        </w:tc>
        <w:tc>
          <w:tcPr>
            <w:tcW w:w="1065" w:type="dxa"/>
            <w:tcBorders>
              <w:tl2br w:val="nil"/>
              <w:tr2bl w:val="nil"/>
            </w:tcBorders>
            <w:shd w:val="clear" w:color="auto" w:fill="auto"/>
            <w:noWrap/>
            <w:vAlign w:val="center"/>
          </w:tcPr>
          <w:p w14:paraId="5ABDB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2#表土堆场、3#表土堆场</w:t>
            </w:r>
          </w:p>
        </w:tc>
        <w:tc>
          <w:tcPr>
            <w:tcW w:w="241" w:type="dxa"/>
            <w:tcBorders>
              <w:tl2br w:val="nil"/>
              <w:tr2bl w:val="nil"/>
            </w:tcBorders>
            <w:shd w:val="clear" w:color="auto" w:fill="auto"/>
            <w:noWrap/>
            <w:vAlign w:val="center"/>
          </w:tcPr>
          <w:p w14:paraId="4BFC36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70" w:type="dxa"/>
            <w:tcBorders>
              <w:tl2br w:val="nil"/>
              <w:tr2bl w:val="nil"/>
            </w:tcBorders>
            <w:shd w:val="clear" w:color="auto" w:fill="auto"/>
            <w:noWrap/>
            <w:vAlign w:val="center"/>
          </w:tcPr>
          <w:p w14:paraId="5EA4E7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r>
      <w:tr w14:paraId="779F69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05" w:type="dxa"/>
            <w:vMerge w:val="continue"/>
            <w:tcBorders>
              <w:tl2br w:val="nil"/>
              <w:tr2bl w:val="nil"/>
            </w:tcBorders>
            <w:shd w:val="clear" w:color="auto" w:fill="auto"/>
            <w:noWrap/>
            <w:vAlign w:val="center"/>
          </w:tcPr>
          <w:p w14:paraId="326D88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102" w:type="dxa"/>
            <w:tcBorders>
              <w:tl2br w:val="nil"/>
              <w:tr2bl w:val="nil"/>
            </w:tcBorders>
            <w:shd w:val="clear" w:color="auto" w:fill="auto"/>
            <w:noWrap/>
            <w:vAlign w:val="center"/>
          </w:tcPr>
          <w:p w14:paraId="316458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道路及硬化区</w:t>
            </w:r>
          </w:p>
        </w:tc>
        <w:tc>
          <w:tcPr>
            <w:tcW w:w="901" w:type="dxa"/>
            <w:tcBorders>
              <w:tl2br w:val="nil"/>
              <w:tr2bl w:val="nil"/>
            </w:tcBorders>
            <w:shd w:val="clear" w:color="auto" w:fill="auto"/>
            <w:noWrap/>
            <w:vAlign w:val="center"/>
          </w:tcPr>
          <w:p w14:paraId="08E73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0.20 </w:t>
            </w:r>
          </w:p>
        </w:tc>
        <w:tc>
          <w:tcPr>
            <w:tcW w:w="737" w:type="dxa"/>
            <w:tcBorders>
              <w:tl2br w:val="nil"/>
              <w:tr2bl w:val="nil"/>
            </w:tcBorders>
            <w:shd w:val="clear" w:color="auto" w:fill="auto"/>
            <w:noWrap/>
            <w:vAlign w:val="center"/>
          </w:tcPr>
          <w:p w14:paraId="1EC45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15</w:t>
            </w:r>
          </w:p>
        </w:tc>
        <w:tc>
          <w:tcPr>
            <w:tcW w:w="1005" w:type="dxa"/>
            <w:tcBorders>
              <w:tl2br w:val="nil"/>
              <w:tr2bl w:val="nil"/>
            </w:tcBorders>
            <w:shd w:val="clear" w:color="auto" w:fill="auto"/>
            <w:noWrap/>
            <w:vAlign w:val="center"/>
          </w:tcPr>
          <w:p w14:paraId="29B407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300.00 </w:t>
            </w:r>
          </w:p>
        </w:tc>
        <w:tc>
          <w:tcPr>
            <w:tcW w:w="619" w:type="dxa"/>
            <w:tcBorders>
              <w:tl2br w:val="nil"/>
              <w:tr2bl w:val="nil"/>
            </w:tcBorders>
            <w:shd w:val="clear" w:color="auto" w:fill="auto"/>
            <w:noWrap/>
            <w:vAlign w:val="center"/>
          </w:tcPr>
          <w:p w14:paraId="457358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731" w:type="dxa"/>
            <w:tcBorders>
              <w:tl2br w:val="nil"/>
              <w:tr2bl w:val="nil"/>
            </w:tcBorders>
            <w:shd w:val="clear" w:color="auto" w:fill="auto"/>
            <w:noWrap/>
            <w:vAlign w:val="center"/>
          </w:tcPr>
          <w:p w14:paraId="503BAD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46" w:type="dxa"/>
            <w:tcBorders>
              <w:tl2br w:val="nil"/>
              <w:tr2bl w:val="nil"/>
            </w:tcBorders>
            <w:shd w:val="clear" w:color="auto" w:fill="auto"/>
            <w:noWrap/>
            <w:vAlign w:val="center"/>
          </w:tcPr>
          <w:p w14:paraId="317E948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108" w:type="dxa"/>
            <w:tcBorders>
              <w:tl2br w:val="nil"/>
              <w:tr2bl w:val="nil"/>
            </w:tcBorders>
            <w:shd w:val="clear" w:color="auto" w:fill="auto"/>
            <w:noWrap/>
            <w:vAlign w:val="center"/>
          </w:tcPr>
          <w:p w14:paraId="0E8355E4">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672" w:type="dxa"/>
            <w:tcBorders>
              <w:tl2br w:val="nil"/>
              <w:tr2bl w:val="nil"/>
            </w:tcBorders>
            <w:shd w:val="clear" w:color="auto" w:fill="auto"/>
            <w:noWrap/>
            <w:vAlign w:val="center"/>
          </w:tcPr>
          <w:p w14:paraId="5C6AA3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300.00 </w:t>
            </w:r>
          </w:p>
        </w:tc>
        <w:tc>
          <w:tcPr>
            <w:tcW w:w="1065" w:type="dxa"/>
            <w:tcBorders>
              <w:tl2br w:val="nil"/>
              <w:tr2bl w:val="nil"/>
            </w:tcBorders>
            <w:shd w:val="clear" w:color="auto" w:fill="auto"/>
            <w:noWrap/>
            <w:vAlign w:val="center"/>
          </w:tcPr>
          <w:p w14:paraId="04BA2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2#表土堆场、3#表土堆场</w:t>
            </w:r>
          </w:p>
        </w:tc>
        <w:tc>
          <w:tcPr>
            <w:tcW w:w="241" w:type="dxa"/>
            <w:tcBorders>
              <w:tl2br w:val="nil"/>
              <w:tr2bl w:val="nil"/>
            </w:tcBorders>
            <w:shd w:val="clear" w:color="auto" w:fill="auto"/>
            <w:noWrap/>
            <w:vAlign w:val="center"/>
          </w:tcPr>
          <w:p w14:paraId="019B5C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70" w:type="dxa"/>
            <w:tcBorders>
              <w:tl2br w:val="nil"/>
              <w:tr2bl w:val="nil"/>
            </w:tcBorders>
            <w:shd w:val="clear" w:color="auto" w:fill="auto"/>
            <w:noWrap/>
            <w:vAlign w:val="center"/>
          </w:tcPr>
          <w:p w14:paraId="2D9824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r>
      <w:tr w14:paraId="5836C9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05" w:type="dxa"/>
            <w:vMerge w:val="continue"/>
            <w:tcBorders>
              <w:tl2br w:val="nil"/>
              <w:tr2bl w:val="nil"/>
            </w:tcBorders>
            <w:shd w:val="clear" w:color="auto" w:fill="auto"/>
            <w:noWrap/>
            <w:vAlign w:val="center"/>
          </w:tcPr>
          <w:p w14:paraId="35EC0C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102" w:type="dxa"/>
            <w:tcBorders>
              <w:tl2br w:val="nil"/>
              <w:tr2bl w:val="nil"/>
            </w:tcBorders>
            <w:shd w:val="clear" w:color="auto" w:fill="auto"/>
            <w:noWrap/>
            <w:vAlign w:val="center"/>
          </w:tcPr>
          <w:p w14:paraId="242C8C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绿化区</w:t>
            </w:r>
          </w:p>
        </w:tc>
        <w:tc>
          <w:tcPr>
            <w:tcW w:w="901" w:type="dxa"/>
            <w:tcBorders>
              <w:tl2br w:val="nil"/>
              <w:tr2bl w:val="nil"/>
            </w:tcBorders>
            <w:shd w:val="clear" w:color="auto" w:fill="auto"/>
            <w:noWrap/>
            <w:vAlign w:val="center"/>
          </w:tcPr>
          <w:p w14:paraId="4C8B0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0.14 </w:t>
            </w:r>
          </w:p>
        </w:tc>
        <w:tc>
          <w:tcPr>
            <w:tcW w:w="737" w:type="dxa"/>
            <w:tcBorders>
              <w:tl2br w:val="nil"/>
              <w:tr2bl w:val="nil"/>
            </w:tcBorders>
            <w:shd w:val="clear" w:color="auto" w:fill="auto"/>
            <w:noWrap/>
            <w:vAlign w:val="center"/>
          </w:tcPr>
          <w:p w14:paraId="4797E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15</w:t>
            </w:r>
          </w:p>
        </w:tc>
        <w:tc>
          <w:tcPr>
            <w:tcW w:w="1005" w:type="dxa"/>
            <w:tcBorders>
              <w:tl2br w:val="nil"/>
              <w:tr2bl w:val="nil"/>
            </w:tcBorders>
            <w:shd w:val="clear" w:color="auto" w:fill="auto"/>
            <w:noWrap/>
            <w:vAlign w:val="center"/>
          </w:tcPr>
          <w:p w14:paraId="3AADB5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210.00 </w:t>
            </w:r>
          </w:p>
        </w:tc>
        <w:tc>
          <w:tcPr>
            <w:tcW w:w="619" w:type="dxa"/>
            <w:tcBorders>
              <w:tl2br w:val="nil"/>
              <w:tr2bl w:val="nil"/>
            </w:tcBorders>
            <w:shd w:val="clear" w:color="auto" w:fill="auto"/>
            <w:noWrap/>
            <w:vAlign w:val="center"/>
          </w:tcPr>
          <w:p w14:paraId="5FBCDD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0.14 </w:t>
            </w:r>
          </w:p>
        </w:tc>
        <w:tc>
          <w:tcPr>
            <w:tcW w:w="731" w:type="dxa"/>
            <w:tcBorders>
              <w:tl2br w:val="nil"/>
              <w:tr2bl w:val="nil"/>
            </w:tcBorders>
            <w:shd w:val="clear" w:color="auto" w:fill="auto"/>
            <w:noWrap/>
            <w:vAlign w:val="center"/>
          </w:tcPr>
          <w:p w14:paraId="6F8BFE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1168.70 </w:t>
            </w:r>
          </w:p>
        </w:tc>
        <w:tc>
          <w:tcPr>
            <w:tcW w:w="546" w:type="dxa"/>
            <w:tcBorders>
              <w:tl2br w:val="nil"/>
              <w:tr2bl w:val="nil"/>
            </w:tcBorders>
            <w:shd w:val="clear" w:color="auto" w:fill="auto"/>
            <w:noWrap/>
            <w:vAlign w:val="center"/>
          </w:tcPr>
          <w:p w14:paraId="347A40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958.70 </w:t>
            </w:r>
          </w:p>
        </w:tc>
        <w:tc>
          <w:tcPr>
            <w:tcW w:w="1108" w:type="dxa"/>
            <w:tcBorders>
              <w:tl2br w:val="nil"/>
              <w:tr2bl w:val="nil"/>
            </w:tcBorders>
            <w:shd w:val="clear" w:color="auto" w:fill="auto"/>
            <w:noWrap/>
            <w:vAlign w:val="center"/>
          </w:tcPr>
          <w:p w14:paraId="305CE7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2#表土堆场、3#表土堆场</w:t>
            </w:r>
          </w:p>
        </w:tc>
        <w:tc>
          <w:tcPr>
            <w:tcW w:w="672" w:type="dxa"/>
            <w:tcBorders>
              <w:tl2br w:val="nil"/>
              <w:tr2bl w:val="nil"/>
            </w:tcBorders>
            <w:shd w:val="clear" w:color="auto" w:fill="auto"/>
            <w:noWrap/>
            <w:vAlign w:val="center"/>
          </w:tcPr>
          <w:p w14:paraId="007913B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065" w:type="dxa"/>
            <w:tcBorders>
              <w:tl2br w:val="nil"/>
              <w:tr2bl w:val="nil"/>
            </w:tcBorders>
            <w:shd w:val="clear" w:color="auto" w:fill="auto"/>
            <w:noWrap/>
            <w:vAlign w:val="center"/>
          </w:tcPr>
          <w:p w14:paraId="52E06C3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241" w:type="dxa"/>
            <w:tcBorders>
              <w:tl2br w:val="nil"/>
              <w:tr2bl w:val="nil"/>
            </w:tcBorders>
            <w:shd w:val="clear" w:color="auto" w:fill="auto"/>
            <w:noWrap/>
            <w:vAlign w:val="center"/>
          </w:tcPr>
          <w:p w14:paraId="25A96E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70" w:type="dxa"/>
            <w:tcBorders>
              <w:tl2br w:val="nil"/>
              <w:tr2bl w:val="nil"/>
            </w:tcBorders>
            <w:shd w:val="clear" w:color="auto" w:fill="auto"/>
            <w:noWrap/>
            <w:vAlign w:val="center"/>
          </w:tcPr>
          <w:p w14:paraId="624DD1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r>
      <w:tr w14:paraId="3949D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05" w:type="dxa"/>
            <w:vMerge w:val="continue"/>
            <w:tcBorders>
              <w:tl2br w:val="nil"/>
              <w:tr2bl w:val="nil"/>
            </w:tcBorders>
            <w:shd w:val="clear" w:color="auto" w:fill="auto"/>
            <w:noWrap/>
            <w:vAlign w:val="center"/>
          </w:tcPr>
          <w:p w14:paraId="0D49AA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102" w:type="dxa"/>
            <w:tcBorders>
              <w:tl2br w:val="nil"/>
              <w:tr2bl w:val="nil"/>
            </w:tcBorders>
            <w:shd w:val="clear" w:color="auto" w:fill="auto"/>
            <w:noWrap/>
            <w:vAlign w:val="center"/>
          </w:tcPr>
          <w:p w14:paraId="4C4D6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小计</w:t>
            </w:r>
          </w:p>
        </w:tc>
        <w:tc>
          <w:tcPr>
            <w:tcW w:w="901" w:type="dxa"/>
            <w:tcBorders>
              <w:tl2br w:val="nil"/>
              <w:tr2bl w:val="nil"/>
            </w:tcBorders>
            <w:shd w:val="clear" w:color="auto" w:fill="auto"/>
            <w:noWrap/>
            <w:vAlign w:val="center"/>
          </w:tcPr>
          <w:p w14:paraId="3F206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0.91 </w:t>
            </w:r>
          </w:p>
        </w:tc>
        <w:tc>
          <w:tcPr>
            <w:tcW w:w="737" w:type="dxa"/>
            <w:tcBorders>
              <w:tl2br w:val="nil"/>
              <w:tr2bl w:val="nil"/>
            </w:tcBorders>
            <w:shd w:val="clear" w:color="auto" w:fill="auto"/>
            <w:noWrap/>
            <w:vAlign w:val="center"/>
          </w:tcPr>
          <w:p w14:paraId="21B03B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005" w:type="dxa"/>
            <w:tcBorders>
              <w:tl2br w:val="nil"/>
              <w:tr2bl w:val="nil"/>
            </w:tcBorders>
            <w:shd w:val="clear" w:color="auto" w:fill="auto"/>
            <w:noWrap/>
            <w:vAlign w:val="center"/>
          </w:tcPr>
          <w:p w14:paraId="2F671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1365.00</w:t>
            </w:r>
          </w:p>
        </w:tc>
        <w:tc>
          <w:tcPr>
            <w:tcW w:w="619" w:type="dxa"/>
            <w:tcBorders>
              <w:tl2br w:val="nil"/>
              <w:tr2bl w:val="nil"/>
            </w:tcBorders>
            <w:shd w:val="clear" w:color="auto" w:fill="auto"/>
            <w:noWrap/>
            <w:vAlign w:val="center"/>
          </w:tcPr>
          <w:p w14:paraId="3BA6F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0.14</w:t>
            </w:r>
          </w:p>
        </w:tc>
        <w:tc>
          <w:tcPr>
            <w:tcW w:w="731" w:type="dxa"/>
            <w:tcBorders>
              <w:tl2br w:val="nil"/>
              <w:tr2bl w:val="nil"/>
            </w:tcBorders>
            <w:shd w:val="clear" w:color="auto" w:fill="auto"/>
            <w:noWrap/>
            <w:vAlign w:val="center"/>
          </w:tcPr>
          <w:p w14:paraId="5BA2BC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1168.70</w:t>
            </w:r>
          </w:p>
        </w:tc>
        <w:tc>
          <w:tcPr>
            <w:tcW w:w="546" w:type="dxa"/>
            <w:tcBorders>
              <w:tl2br w:val="nil"/>
              <w:tr2bl w:val="nil"/>
            </w:tcBorders>
            <w:shd w:val="clear" w:color="auto" w:fill="auto"/>
            <w:noWrap/>
            <w:vAlign w:val="center"/>
          </w:tcPr>
          <w:p w14:paraId="2CBE6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958.70</w:t>
            </w:r>
          </w:p>
        </w:tc>
        <w:tc>
          <w:tcPr>
            <w:tcW w:w="1108" w:type="dxa"/>
            <w:tcBorders>
              <w:tl2br w:val="nil"/>
              <w:tr2bl w:val="nil"/>
            </w:tcBorders>
            <w:shd w:val="clear" w:color="auto" w:fill="auto"/>
            <w:noWrap/>
            <w:vAlign w:val="center"/>
          </w:tcPr>
          <w:p w14:paraId="536AE2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672" w:type="dxa"/>
            <w:tcBorders>
              <w:tl2br w:val="nil"/>
              <w:tr2bl w:val="nil"/>
            </w:tcBorders>
            <w:shd w:val="clear" w:color="auto" w:fill="auto"/>
            <w:noWrap/>
            <w:vAlign w:val="center"/>
          </w:tcPr>
          <w:p w14:paraId="6B5B19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1155.00</w:t>
            </w:r>
          </w:p>
        </w:tc>
        <w:tc>
          <w:tcPr>
            <w:tcW w:w="1065" w:type="dxa"/>
            <w:tcBorders>
              <w:tl2br w:val="nil"/>
              <w:tr2bl w:val="nil"/>
            </w:tcBorders>
            <w:shd w:val="clear" w:color="auto" w:fill="auto"/>
            <w:noWrap/>
            <w:vAlign w:val="center"/>
          </w:tcPr>
          <w:p w14:paraId="29B0C5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241" w:type="dxa"/>
            <w:tcBorders>
              <w:tl2br w:val="nil"/>
              <w:tr2bl w:val="nil"/>
            </w:tcBorders>
            <w:shd w:val="clear" w:color="auto" w:fill="auto"/>
            <w:noWrap/>
            <w:vAlign w:val="center"/>
          </w:tcPr>
          <w:p w14:paraId="7D5A59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70" w:type="dxa"/>
            <w:tcBorders>
              <w:tl2br w:val="nil"/>
              <w:tr2bl w:val="nil"/>
            </w:tcBorders>
            <w:shd w:val="clear" w:color="auto" w:fill="auto"/>
            <w:noWrap/>
            <w:vAlign w:val="center"/>
          </w:tcPr>
          <w:p w14:paraId="4F44D2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r>
    </w:tbl>
    <w:p w14:paraId="6B049843">
      <w:pPr>
        <w:pStyle w:val="5"/>
        <w:rPr>
          <w:rFonts w:hint="default" w:ascii="Times New Roman" w:hAnsi="Times New Roman" w:cs="Times New Roman"/>
          <w:lang w:bidi="ar"/>
        </w:rPr>
      </w:pPr>
      <w:r>
        <w:rPr>
          <w:rFonts w:hint="eastAsia" w:ascii="Times New Roman" w:hAnsi="Times New Roman" w:cs="Times New Roman"/>
          <w:lang w:val="en-US" w:eastAsia="zh-CN" w:bidi="ar"/>
        </w:rPr>
        <w:t>方案介入后将产生</w:t>
      </w:r>
      <w:r>
        <w:rPr>
          <w:rFonts w:hint="default"/>
        </w:rPr>
        <w:t>表土剥离</w:t>
      </w:r>
      <w:r>
        <w:rPr>
          <w:rFonts w:hint="eastAsia"/>
          <w:lang w:val="en-US" w:eastAsia="zh-CN"/>
        </w:rPr>
        <w:t>平衡分析</w:t>
      </w:r>
    </w:p>
    <w:p w14:paraId="4580FA54">
      <w:pPr>
        <w:ind w:firstLine="480"/>
        <w:rPr>
          <w:rFonts w:hint="default" w:cs="Times New Roman"/>
          <w:lang w:val="en-US" w:eastAsia="zh-CN"/>
        </w:rPr>
      </w:pPr>
      <w:r>
        <w:rPr>
          <w:rFonts w:hint="default" w:ascii="Times New Roman" w:hAnsi="Times New Roman" w:cs="Times New Roman"/>
        </w:rPr>
        <w:t>根据现场调查，</w:t>
      </w:r>
      <w:r>
        <w:rPr>
          <w:rFonts w:hint="eastAsia" w:cs="Times New Roman"/>
          <w:lang w:val="en-US" w:eastAsia="zh-CN"/>
        </w:rPr>
        <w:t>方案介入后地块一已完成西南侧原建筑拆除，还未对场地进行清表及场平工作，地表表土还未进行剥离，通过现场调查，地块一除原建筑及硬化区域，其余区域目前为草坪，表层土壤能满足后期绿化覆土要求，本方案考虑对其进行剥离，可剥离面积为0.37hm</w:t>
      </w:r>
      <w:r>
        <w:rPr>
          <w:rFonts w:hint="eastAsia" w:cs="Times New Roman"/>
          <w:vertAlign w:val="superscript"/>
          <w:lang w:val="en-US" w:eastAsia="zh-CN"/>
        </w:rPr>
        <w:t>2</w:t>
      </w:r>
      <w:r>
        <w:rPr>
          <w:rFonts w:hint="eastAsia" w:cs="Times New Roman"/>
          <w:lang w:val="en-US" w:eastAsia="zh-CN"/>
        </w:rPr>
        <w:t>，剥离厚度为15cm，表土可剥离量为555.00m</w:t>
      </w:r>
      <w:r>
        <w:rPr>
          <w:rFonts w:hint="eastAsia" w:cs="Times New Roman"/>
          <w:vertAlign w:val="superscript"/>
          <w:lang w:val="en-US" w:eastAsia="zh-CN"/>
        </w:rPr>
        <w:t>3</w:t>
      </w:r>
      <w:r>
        <w:rPr>
          <w:rFonts w:hint="eastAsia" w:cs="Times New Roman"/>
          <w:lang w:val="en-US" w:eastAsia="zh-CN"/>
        </w:rPr>
        <w:t>。</w:t>
      </w:r>
    </w:p>
    <w:p w14:paraId="3C053BCD">
      <w:pPr>
        <w:ind w:firstLine="480"/>
        <w:rPr>
          <w:rFonts w:hint="default" w:ascii="Times New Roman" w:hAnsi="Times New Roman" w:cs="Times New Roman"/>
        </w:rPr>
      </w:pPr>
      <w:r>
        <w:rPr>
          <w:rFonts w:hint="default" w:ascii="Times New Roman" w:hAnsi="Times New Roman" w:cs="Times New Roman"/>
        </w:rPr>
        <w:t>根据现场调查，查阅施工及监理资料，本项目</w:t>
      </w:r>
      <w:r>
        <w:rPr>
          <w:rFonts w:hint="eastAsia" w:cs="Times New Roman"/>
          <w:lang w:val="en-US" w:eastAsia="zh-CN"/>
        </w:rPr>
        <w:t>地块一可剥离面积为0.37hm</w:t>
      </w:r>
      <w:r>
        <w:rPr>
          <w:rFonts w:hint="eastAsia" w:cs="Times New Roman"/>
          <w:vertAlign w:val="superscript"/>
          <w:lang w:val="en-US" w:eastAsia="zh-CN"/>
        </w:rPr>
        <w:t>2</w:t>
      </w:r>
      <w:r>
        <w:rPr>
          <w:rFonts w:hint="eastAsia" w:cs="Times New Roman"/>
          <w:lang w:val="en-US" w:eastAsia="zh-CN"/>
        </w:rPr>
        <w:t>，剥离厚度为15cm，表土可剥离量为555.00m</w:t>
      </w:r>
      <w:r>
        <w:rPr>
          <w:rFonts w:hint="eastAsia" w:cs="Times New Roman"/>
          <w:vertAlign w:val="superscript"/>
          <w:lang w:val="en-US" w:eastAsia="zh-CN"/>
        </w:rPr>
        <w:t>3</w:t>
      </w:r>
      <w:r>
        <w:rPr>
          <w:rFonts w:hint="eastAsia" w:cs="Times New Roman"/>
          <w:lang w:val="en-US" w:eastAsia="zh-CN"/>
        </w:rPr>
        <w:t>。剥离的</w:t>
      </w:r>
      <w:r>
        <w:rPr>
          <w:rFonts w:hint="default" w:ascii="Times New Roman" w:hAnsi="Times New Roman" w:cs="Times New Roman"/>
        </w:rPr>
        <w:t>表土用于后期</w:t>
      </w:r>
      <w:r>
        <w:rPr>
          <w:rFonts w:hint="eastAsia" w:cs="Times New Roman"/>
          <w:lang w:val="en-US" w:eastAsia="zh-CN"/>
        </w:rPr>
        <w:t>地块一</w:t>
      </w:r>
      <w:r>
        <w:rPr>
          <w:rFonts w:hint="default" w:ascii="Times New Roman" w:hAnsi="Times New Roman" w:cs="Times New Roman"/>
        </w:rPr>
        <w:t>绿化区域覆土。</w:t>
      </w:r>
    </w:p>
    <w:p w14:paraId="211B7506">
      <w:pPr>
        <w:rPr>
          <w:rFonts w:hint="default" w:ascii="Times New Roman" w:hAnsi="Times New Roman" w:eastAsia="仿宋_GB2312" w:cs="Times New Roman"/>
          <w:b/>
          <w:bCs w:val="0"/>
        </w:rPr>
      </w:pPr>
      <w:r>
        <w:rPr>
          <w:rFonts w:hint="default" w:ascii="Times New Roman" w:hAnsi="Times New Roman" w:eastAsia="仿宋_GB2312" w:cs="Times New Roman"/>
          <w:b/>
          <w:bCs w:val="0"/>
        </w:rPr>
        <w:br w:type="page"/>
      </w:r>
    </w:p>
    <w:p w14:paraId="64149CAA">
      <w:pPr>
        <w:pStyle w:val="83"/>
        <w:jc w:val="center"/>
        <w:rPr>
          <w:rFonts w:hint="default" w:ascii="Times New Roman" w:hAnsi="Times New Roman" w:eastAsia="仿宋_GB2312" w:cs="Times New Roman"/>
          <w:b/>
          <w:bCs w:val="0"/>
        </w:rPr>
      </w:pPr>
      <w:r>
        <w:rPr>
          <w:rFonts w:hint="default" w:ascii="Times New Roman" w:hAnsi="Times New Roman" w:eastAsia="仿宋_GB2312" w:cs="Times New Roman"/>
          <w:b/>
          <w:bCs w:val="0"/>
        </w:rPr>
        <w:t xml:space="preserve">表2-5                   </w:t>
      </w:r>
      <w:r>
        <w:rPr>
          <w:rFonts w:hint="eastAsia" w:eastAsia="仿宋_GB2312" w:cs="Times New Roman"/>
          <w:b/>
          <w:bCs w:val="0"/>
          <w:lang w:val="en-US" w:eastAsia="zh-CN"/>
        </w:rPr>
        <w:t>地块一</w:t>
      </w:r>
      <w:r>
        <w:rPr>
          <w:rFonts w:hint="default" w:ascii="Times New Roman" w:hAnsi="Times New Roman" w:eastAsia="仿宋_GB2312" w:cs="Times New Roman"/>
          <w:b/>
          <w:bCs w:val="0"/>
        </w:rPr>
        <w:t>剥离（收集）表土统计表</w:t>
      </w:r>
    </w:p>
    <w:tbl>
      <w:tblPr>
        <w:tblStyle w:val="27"/>
        <w:tblW w:w="908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97"/>
        <w:gridCol w:w="983"/>
        <w:gridCol w:w="778"/>
        <w:gridCol w:w="893"/>
        <w:gridCol w:w="1191"/>
        <w:gridCol w:w="1089"/>
        <w:gridCol w:w="540"/>
        <w:gridCol w:w="651"/>
        <w:gridCol w:w="739"/>
        <w:gridCol w:w="559"/>
        <w:gridCol w:w="823"/>
        <w:gridCol w:w="169"/>
        <w:gridCol w:w="171"/>
      </w:tblGrid>
      <w:tr w14:paraId="711C76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7" w:type="dxa"/>
            <w:vMerge w:val="restart"/>
            <w:tcBorders>
              <w:tl2br w:val="nil"/>
              <w:tr2bl w:val="nil"/>
            </w:tcBorders>
            <w:shd w:val="clear" w:color="auto" w:fill="auto"/>
            <w:noWrap/>
            <w:vAlign w:val="center"/>
          </w:tcPr>
          <w:p w14:paraId="514E3B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地块</w:t>
            </w:r>
          </w:p>
        </w:tc>
        <w:tc>
          <w:tcPr>
            <w:tcW w:w="983" w:type="dxa"/>
            <w:vMerge w:val="restart"/>
            <w:tcBorders>
              <w:tl2br w:val="nil"/>
              <w:tr2bl w:val="nil"/>
            </w:tcBorders>
            <w:shd w:val="clear" w:color="auto" w:fill="auto"/>
            <w:noWrap/>
            <w:vAlign w:val="center"/>
          </w:tcPr>
          <w:p w14:paraId="0C61FF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项目分区</w:t>
            </w:r>
          </w:p>
        </w:tc>
        <w:tc>
          <w:tcPr>
            <w:tcW w:w="778" w:type="dxa"/>
            <w:vMerge w:val="restart"/>
            <w:tcBorders>
              <w:tl2br w:val="nil"/>
              <w:tr2bl w:val="nil"/>
            </w:tcBorders>
            <w:shd w:val="clear" w:color="auto" w:fill="auto"/>
            <w:noWrap/>
            <w:vAlign w:val="center"/>
          </w:tcPr>
          <w:p w14:paraId="797600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剥离面积（hm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893" w:type="dxa"/>
            <w:vMerge w:val="restart"/>
            <w:tcBorders>
              <w:tl2br w:val="nil"/>
              <w:tr2bl w:val="nil"/>
            </w:tcBorders>
            <w:shd w:val="clear" w:color="auto" w:fill="auto"/>
            <w:noWrap/>
            <w:vAlign w:val="center"/>
          </w:tcPr>
          <w:p w14:paraId="61924C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平均剥离厚度（cm）</w:t>
            </w:r>
          </w:p>
        </w:tc>
        <w:tc>
          <w:tcPr>
            <w:tcW w:w="1191" w:type="dxa"/>
            <w:vMerge w:val="restart"/>
            <w:tcBorders>
              <w:tl2br w:val="nil"/>
              <w:tr2bl w:val="nil"/>
            </w:tcBorders>
            <w:shd w:val="clear" w:color="auto" w:fill="auto"/>
            <w:noWrap/>
            <w:vAlign w:val="center"/>
          </w:tcPr>
          <w:p w14:paraId="2426DC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表土剥离量（m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3</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1089" w:type="dxa"/>
            <w:vMerge w:val="restart"/>
            <w:tcBorders>
              <w:tl2br w:val="nil"/>
              <w:tr2bl w:val="nil"/>
            </w:tcBorders>
            <w:shd w:val="clear" w:color="auto" w:fill="auto"/>
            <w:vAlign w:val="center"/>
          </w:tcPr>
          <w:p w14:paraId="7A6F7B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绿化面积（hm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540" w:type="dxa"/>
            <w:vMerge w:val="restart"/>
            <w:tcBorders>
              <w:tl2br w:val="nil"/>
              <w:tr2bl w:val="nil"/>
            </w:tcBorders>
            <w:shd w:val="clear" w:color="auto" w:fill="auto"/>
            <w:vAlign w:val="center"/>
          </w:tcPr>
          <w:p w14:paraId="4AF7BE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绿化覆土量（m</w:t>
            </w:r>
            <w:r>
              <w:rPr>
                <w:rFonts w:hint="default" w:ascii="Times New Roman" w:hAnsi="Times New Roman" w:eastAsia="仿宋_GB2312" w:cs="Times New Roman"/>
                <w:i w:val="0"/>
                <w:iCs w:val="0"/>
                <w:color w:val="000000" w:themeColor="text1"/>
                <w:kern w:val="0"/>
                <w:sz w:val="18"/>
                <w:szCs w:val="18"/>
                <w:u w:val="none"/>
                <w:vertAlign w:val="superscript"/>
                <w:lang w:val="en-US" w:eastAsia="zh-CN" w:bidi="ar"/>
              </w:rPr>
              <w:t>3</w:t>
            </w:r>
            <w:r>
              <w:rPr>
                <w:rFonts w:hint="default" w:ascii="Times New Roman" w:hAnsi="Times New Roman" w:eastAsia="仿宋_GB2312" w:cs="Times New Roman"/>
                <w:i w:val="0"/>
                <w:iCs w:val="0"/>
                <w:color w:val="000000" w:themeColor="text1"/>
                <w:kern w:val="0"/>
                <w:sz w:val="18"/>
                <w:szCs w:val="18"/>
                <w:u w:val="none"/>
                <w:lang w:val="en-US" w:eastAsia="zh-CN" w:bidi="ar"/>
              </w:rPr>
              <w:t>）</w:t>
            </w:r>
          </w:p>
        </w:tc>
        <w:tc>
          <w:tcPr>
            <w:tcW w:w="1390" w:type="dxa"/>
            <w:gridSpan w:val="2"/>
            <w:tcBorders>
              <w:tl2br w:val="nil"/>
              <w:tr2bl w:val="nil"/>
            </w:tcBorders>
            <w:shd w:val="clear" w:color="auto" w:fill="auto"/>
            <w:vAlign w:val="center"/>
          </w:tcPr>
          <w:p w14:paraId="0FE3DC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调入</w:t>
            </w:r>
          </w:p>
        </w:tc>
        <w:tc>
          <w:tcPr>
            <w:tcW w:w="1382" w:type="dxa"/>
            <w:gridSpan w:val="2"/>
            <w:tcBorders>
              <w:tl2br w:val="nil"/>
              <w:tr2bl w:val="nil"/>
            </w:tcBorders>
            <w:shd w:val="clear" w:color="auto" w:fill="auto"/>
            <w:vAlign w:val="center"/>
          </w:tcPr>
          <w:p w14:paraId="3DAD5B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调出</w:t>
            </w:r>
          </w:p>
        </w:tc>
        <w:tc>
          <w:tcPr>
            <w:tcW w:w="340" w:type="dxa"/>
            <w:gridSpan w:val="2"/>
            <w:tcBorders>
              <w:tl2br w:val="nil"/>
              <w:tr2bl w:val="nil"/>
            </w:tcBorders>
            <w:shd w:val="clear" w:color="auto" w:fill="auto"/>
            <w:vAlign w:val="center"/>
          </w:tcPr>
          <w:p w14:paraId="2BC244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外借</w:t>
            </w:r>
          </w:p>
        </w:tc>
      </w:tr>
      <w:tr w14:paraId="61D335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7" w:type="dxa"/>
            <w:vMerge w:val="continue"/>
            <w:tcBorders>
              <w:tl2br w:val="nil"/>
              <w:tr2bl w:val="nil"/>
            </w:tcBorders>
            <w:shd w:val="clear" w:color="auto" w:fill="auto"/>
            <w:noWrap/>
            <w:vAlign w:val="center"/>
          </w:tcPr>
          <w:p w14:paraId="0F553F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983" w:type="dxa"/>
            <w:vMerge w:val="continue"/>
            <w:tcBorders>
              <w:tl2br w:val="nil"/>
              <w:tr2bl w:val="nil"/>
            </w:tcBorders>
            <w:shd w:val="clear" w:color="auto" w:fill="auto"/>
            <w:noWrap/>
            <w:vAlign w:val="center"/>
          </w:tcPr>
          <w:p w14:paraId="3324CB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778" w:type="dxa"/>
            <w:vMerge w:val="continue"/>
            <w:tcBorders>
              <w:tl2br w:val="nil"/>
              <w:tr2bl w:val="nil"/>
            </w:tcBorders>
            <w:shd w:val="clear" w:color="auto" w:fill="auto"/>
            <w:noWrap/>
            <w:vAlign w:val="center"/>
          </w:tcPr>
          <w:p w14:paraId="6E17A7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893" w:type="dxa"/>
            <w:vMerge w:val="continue"/>
            <w:tcBorders>
              <w:tl2br w:val="nil"/>
              <w:tr2bl w:val="nil"/>
            </w:tcBorders>
            <w:shd w:val="clear" w:color="auto" w:fill="auto"/>
            <w:noWrap/>
            <w:vAlign w:val="center"/>
          </w:tcPr>
          <w:p w14:paraId="06F667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191" w:type="dxa"/>
            <w:vMerge w:val="continue"/>
            <w:tcBorders>
              <w:tl2br w:val="nil"/>
              <w:tr2bl w:val="nil"/>
            </w:tcBorders>
            <w:shd w:val="clear" w:color="auto" w:fill="auto"/>
            <w:noWrap/>
            <w:vAlign w:val="center"/>
          </w:tcPr>
          <w:p w14:paraId="2F84A8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089" w:type="dxa"/>
            <w:vMerge w:val="continue"/>
            <w:tcBorders>
              <w:tl2br w:val="nil"/>
              <w:tr2bl w:val="nil"/>
            </w:tcBorders>
            <w:shd w:val="clear" w:color="auto" w:fill="auto"/>
            <w:vAlign w:val="center"/>
          </w:tcPr>
          <w:p w14:paraId="796071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40" w:type="dxa"/>
            <w:vMerge w:val="continue"/>
            <w:tcBorders>
              <w:tl2br w:val="nil"/>
              <w:tr2bl w:val="nil"/>
            </w:tcBorders>
            <w:shd w:val="clear" w:color="auto" w:fill="auto"/>
            <w:vAlign w:val="center"/>
          </w:tcPr>
          <w:p w14:paraId="2FE154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651" w:type="dxa"/>
            <w:tcBorders>
              <w:tl2br w:val="nil"/>
              <w:tr2bl w:val="nil"/>
            </w:tcBorders>
            <w:shd w:val="clear" w:color="auto" w:fill="auto"/>
            <w:vAlign w:val="center"/>
          </w:tcPr>
          <w:p w14:paraId="4A244E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数量</w:t>
            </w:r>
          </w:p>
        </w:tc>
        <w:tc>
          <w:tcPr>
            <w:tcW w:w="739" w:type="dxa"/>
            <w:tcBorders>
              <w:tl2br w:val="nil"/>
              <w:tr2bl w:val="nil"/>
            </w:tcBorders>
            <w:shd w:val="clear" w:color="auto" w:fill="auto"/>
            <w:vAlign w:val="center"/>
          </w:tcPr>
          <w:p w14:paraId="27F005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来源</w:t>
            </w:r>
          </w:p>
        </w:tc>
        <w:tc>
          <w:tcPr>
            <w:tcW w:w="559" w:type="dxa"/>
            <w:tcBorders>
              <w:tl2br w:val="nil"/>
              <w:tr2bl w:val="nil"/>
            </w:tcBorders>
            <w:shd w:val="clear" w:color="auto" w:fill="auto"/>
            <w:vAlign w:val="center"/>
          </w:tcPr>
          <w:p w14:paraId="36F357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数量</w:t>
            </w:r>
          </w:p>
        </w:tc>
        <w:tc>
          <w:tcPr>
            <w:tcW w:w="823" w:type="dxa"/>
            <w:tcBorders>
              <w:tl2br w:val="nil"/>
              <w:tr2bl w:val="nil"/>
            </w:tcBorders>
            <w:shd w:val="clear" w:color="auto" w:fill="auto"/>
            <w:vAlign w:val="center"/>
          </w:tcPr>
          <w:p w14:paraId="5AE3DA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去向</w:t>
            </w:r>
          </w:p>
        </w:tc>
        <w:tc>
          <w:tcPr>
            <w:tcW w:w="169" w:type="dxa"/>
            <w:tcBorders>
              <w:tl2br w:val="nil"/>
              <w:tr2bl w:val="nil"/>
            </w:tcBorders>
            <w:shd w:val="clear" w:color="auto" w:fill="auto"/>
            <w:vAlign w:val="center"/>
          </w:tcPr>
          <w:p w14:paraId="715431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数量</w:t>
            </w:r>
          </w:p>
        </w:tc>
        <w:tc>
          <w:tcPr>
            <w:tcW w:w="171" w:type="dxa"/>
            <w:tcBorders>
              <w:tl2br w:val="nil"/>
              <w:tr2bl w:val="nil"/>
            </w:tcBorders>
            <w:shd w:val="clear" w:color="auto" w:fill="auto"/>
            <w:vAlign w:val="center"/>
          </w:tcPr>
          <w:p w14:paraId="1ABEAC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来源</w:t>
            </w:r>
          </w:p>
        </w:tc>
      </w:tr>
      <w:tr w14:paraId="665674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7" w:type="dxa"/>
            <w:vMerge w:val="restart"/>
            <w:tcBorders>
              <w:tl2br w:val="nil"/>
              <w:tr2bl w:val="nil"/>
            </w:tcBorders>
            <w:shd w:val="clear" w:color="auto" w:fill="auto"/>
            <w:noWrap/>
            <w:vAlign w:val="center"/>
          </w:tcPr>
          <w:p w14:paraId="5C8AC5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地块一</w:t>
            </w:r>
          </w:p>
        </w:tc>
        <w:tc>
          <w:tcPr>
            <w:tcW w:w="983" w:type="dxa"/>
            <w:tcBorders>
              <w:tl2br w:val="nil"/>
              <w:tr2bl w:val="nil"/>
            </w:tcBorders>
            <w:shd w:val="clear" w:color="auto" w:fill="auto"/>
            <w:noWrap/>
            <w:vAlign w:val="center"/>
          </w:tcPr>
          <w:p w14:paraId="4D4D41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建构筑物区</w:t>
            </w:r>
          </w:p>
        </w:tc>
        <w:tc>
          <w:tcPr>
            <w:tcW w:w="778" w:type="dxa"/>
            <w:tcBorders>
              <w:tl2br w:val="nil"/>
              <w:tr2bl w:val="nil"/>
            </w:tcBorders>
            <w:shd w:val="clear" w:color="auto" w:fill="auto"/>
            <w:noWrap/>
            <w:vAlign w:val="center"/>
          </w:tcPr>
          <w:p w14:paraId="6185DF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0.07 </w:t>
            </w:r>
          </w:p>
        </w:tc>
        <w:tc>
          <w:tcPr>
            <w:tcW w:w="893" w:type="dxa"/>
            <w:tcBorders>
              <w:tl2br w:val="nil"/>
              <w:tr2bl w:val="nil"/>
            </w:tcBorders>
            <w:shd w:val="clear" w:color="auto" w:fill="auto"/>
            <w:noWrap/>
            <w:vAlign w:val="center"/>
          </w:tcPr>
          <w:p w14:paraId="21391E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15 </w:t>
            </w:r>
          </w:p>
        </w:tc>
        <w:tc>
          <w:tcPr>
            <w:tcW w:w="1191" w:type="dxa"/>
            <w:tcBorders>
              <w:tl2br w:val="nil"/>
              <w:tr2bl w:val="nil"/>
            </w:tcBorders>
            <w:shd w:val="clear" w:color="auto" w:fill="auto"/>
            <w:noWrap/>
            <w:vAlign w:val="center"/>
          </w:tcPr>
          <w:p w14:paraId="2A9249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105.00 </w:t>
            </w:r>
          </w:p>
        </w:tc>
        <w:tc>
          <w:tcPr>
            <w:tcW w:w="1089" w:type="dxa"/>
            <w:tcBorders>
              <w:tl2br w:val="nil"/>
              <w:tr2bl w:val="nil"/>
            </w:tcBorders>
            <w:shd w:val="clear" w:color="auto" w:fill="auto"/>
            <w:noWrap/>
            <w:vAlign w:val="center"/>
          </w:tcPr>
          <w:p w14:paraId="3AC0D6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40" w:type="dxa"/>
            <w:tcBorders>
              <w:tl2br w:val="nil"/>
              <w:tr2bl w:val="nil"/>
            </w:tcBorders>
            <w:shd w:val="clear" w:color="auto" w:fill="auto"/>
            <w:noWrap/>
            <w:vAlign w:val="center"/>
          </w:tcPr>
          <w:p w14:paraId="1A0C6046">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651" w:type="dxa"/>
            <w:tcBorders>
              <w:tl2br w:val="nil"/>
              <w:tr2bl w:val="nil"/>
            </w:tcBorders>
            <w:shd w:val="clear" w:color="auto" w:fill="auto"/>
            <w:noWrap/>
            <w:vAlign w:val="center"/>
          </w:tcPr>
          <w:p w14:paraId="4F435F94">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739" w:type="dxa"/>
            <w:tcBorders>
              <w:tl2br w:val="nil"/>
              <w:tr2bl w:val="nil"/>
            </w:tcBorders>
            <w:shd w:val="clear" w:color="auto" w:fill="auto"/>
            <w:noWrap/>
            <w:vAlign w:val="center"/>
          </w:tcPr>
          <w:p w14:paraId="3A25D4FE">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559" w:type="dxa"/>
            <w:tcBorders>
              <w:tl2br w:val="nil"/>
              <w:tr2bl w:val="nil"/>
            </w:tcBorders>
            <w:shd w:val="clear" w:color="auto" w:fill="auto"/>
            <w:noWrap/>
            <w:vAlign w:val="center"/>
          </w:tcPr>
          <w:p w14:paraId="5F03A7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105.00 </w:t>
            </w:r>
          </w:p>
        </w:tc>
        <w:tc>
          <w:tcPr>
            <w:tcW w:w="823" w:type="dxa"/>
            <w:tcBorders>
              <w:tl2br w:val="nil"/>
              <w:tr2bl w:val="nil"/>
            </w:tcBorders>
            <w:shd w:val="clear" w:color="auto" w:fill="auto"/>
            <w:noWrap/>
            <w:vAlign w:val="center"/>
          </w:tcPr>
          <w:p w14:paraId="62D3BA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1#表土堆场</w:t>
            </w:r>
          </w:p>
        </w:tc>
        <w:tc>
          <w:tcPr>
            <w:tcW w:w="169" w:type="dxa"/>
            <w:tcBorders>
              <w:tl2br w:val="nil"/>
              <w:tr2bl w:val="nil"/>
            </w:tcBorders>
            <w:shd w:val="clear" w:color="auto" w:fill="auto"/>
            <w:noWrap/>
            <w:vAlign w:val="center"/>
          </w:tcPr>
          <w:p w14:paraId="6BEC8F6B">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71" w:type="dxa"/>
            <w:tcBorders>
              <w:tl2br w:val="nil"/>
              <w:tr2bl w:val="nil"/>
            </w:tcBorders>
            <w:shd w:val="clear" w:color="auto" w:fill="auto"/>
            <w:noWrap/>
            <w:vAlign w:val="center"/>
          </w:tcPr>
          <w:p w14:paraId="4B719162">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r>
      <w:tr w14:paraId="7F4B5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7" w:type="dxa"/>
            <w:vMerge w:val="continue"/>
            <w:tcBorders>
              <w:tl2br w:val="nil"/>
              <w:tr2bl w:val="nil"/>
            </w:tcBorders>
            <w:shd w:val="clear" w:color="auto" w:fill="auto"/>
            <w:noWrap/>
            <w:vAlign w:val="center"/>
          </w:tcPr>
          <w:p w14:paraId="60ABBB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983" w:type="dxa"/>
            <w:tcBorders>
              <w:tl2br w:val="nil"/>
              <w:tr2bl w:val="nil"/>
            </w:tcBorders>
            <w:shd w:val="clear" w:color="auto" w:fill="auto"/>
            <w:noWrap/>
            <w:vAlign w:val="center"/>
          </w:tcPr>
          <w:p w14:paraId="4A65EF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道路及硬化区</w:t>
            </w:r>
          </w:p>
        </w:tc>
        <w:tc>
          <w:tcPr>
            <w:tcW w:w="778" w:type="dxa"/>
            <w:tcBorders>
              <w:tl2br w:val="nil"/>
              <w:tr2bl w:val="nil"/>
            </w:tcBorders>
            <w:shd w:val="clear" w:color="auto" w:fill="auto"/>
            <w:noWrap/>
            <w:vAlign w:val="center"/>
          </w:tcPr>
          <w:p w14:paraId="7DB8EC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0.21 </w:t>
            </w:r>
          </w:p>
        </w:tc>
        <w:tc>
          <w:tcPr>
            <w:tcW w:w="893" w:type="dxa"/>
            <w:tcBorders>
              <w:tl2br w:val="nil"/>
              <w:tr2bl w:val="nil"/>
            </w:tcBorders>
            <w:shd w:val="clear" w:color="auto" w:fill="auto"/>
            <w:noWrap/>
            <w:vAlign w:val="center"/>
          </w:tcPr>
          <w:p w14:paraId="5310C9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15 </w:t>
            </w:r>
          </w:p>
        </w:tc>
        <w:tc>
          <w:tcPr>
            <w:tcW w:w="1191" w:type="dxa"/>
            <w:tcBorders>
              <w:tl2br w:val="nil"/>
              <w:tr2bl w:val="nil"/>
            </w:tcBorders>
            <w:shd w:val="clear" w:color="auto" w:fill="auto"/>
            <w:noWrap/>
            <w:vAlign w:val="center"/>
          </w:tcPr>
          <w:p w14:paraId="160957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315.00 </w:t>
            </w:r>
          </w:p>
        </w:tc>
        <w:tc>
          <w:tcPr>
            <w:tcW w:w="1089" w:type="dxa"/>
            <w:tcBorders>
              <w:tl2br w:val="nil"/>
              <w:tr2bl w:val="nil"/>
            </w:tcBorders>
            <w:shd w:val="clear" w:color="auto" w:fill="auto"/>
            <w:noWrap/>
            <w:vAlign w:val="center"/>
          </w:tcPr>
          <w:p w14:paraId="1992F4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40" w:type="dxa"/>
            <w:tcBorders>
              <w:tl2br w:val="nil"/>
              <w:tr2bl w:val="nil"/>
            </w:tcBorders>
            <w:shd w:val="clear" w:color="auto" w:fill="auto"/>
            <w:noWrap/>
            <w:vAlign w:val="center"/>
          </w:tcPr>
          <w:p w14:paraId="1AC250FB">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651" w:type="dxa"/>
            <w:tcBorders>
              <w:tl2br w:val="nil"/>
              <w:tr2bl w:val="nil"/>
            </w:tcBorders>
            <w:shd w:val="clear" w:color="auto" w:fill="auto"/>
            <w:noWrap/>
            <w:vAlign w:val="center"/>
          </w:tcPr>
          <w:p w14:paraId="5206FB86">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739" w:type="dxa"/>
            <w:tcBorders>
              <w:tl2br w:val="nil"/>
              <w:tr2bl w:val="nil"/>
            </w:tcBorders>
            <w:shd w:val="clear" w:color="auto" w:fill="auto"/>
            <w:noWrap/>
            <w:vAlign w:val="center"/>
          </w:tcPr>
          <w:p w14:paraId="6FD0FBAB">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559" w:type="dxa"/>
            <w:tcBorders>
              <w:tl2br w:val="nil"/>
              <w:tr2bl w:val="nil"/>
            </w:tcBorders>
            <w:shd w:val="clear" w:color="auto" w:fill="auto"/>
            <w:noWrap/>
            <w:vAlign w:val="center"/>
          </w:tcPr>
          <w:p w14:paraId="3DA8E1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315.00 </w:t>
            </w:r>
          </w:p>
        </w:tc>
        <w:tc>
          <w:tcPr>
            <w:tcW w:w="823" w:type="dxa"/>
            <w:tcBorders>
              <w:tl2br w:val="nil"/>
              <w:tr2bl w:val="nil"/>
            </w:tcBorders>
            <w:shd w:val="clear" w:color="auto" w:fill="auto"/>
            <w:noWrap/>
            <w:vAlign w:val="center"/>
          </w:tcPr>
          <w:p w14:paraId="07747A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1#表土堆场</w:t>
            </w:r>
          </w:p>
        </w:tc>
        <w:tc>
          <w:tcPr>
            <w:tcW w:w="169" w:type="dxa"/>
            <w:tcBorders>
              <w:tl2br w:val="nil"/>
              <w:tr2bl w:val="nil"/>
            </w:tcBorders>
            <w:shd w:val="clear" w:color="auto" w:fill="auto"/>
            <w:noWrap/>
            <w:vAlign w:val="center"/>
          </w:tcPr>
          <w:p w14:paraId="7B12D26E">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71" w:type="dxa"/>
            <w:tcBorders>
              <w:tl2br w:val="nil"/>
              <w:tr2bl w:val="nil"/>
            </w:tcBorders>
            <w:shd w:val="clear" w:color="auto" w:fill="auto"/>
            <w:noWrap/>
            <w:vAlign w:val="center"/>
          </w:tcPr>
          <w:p w14:paraId="3E34050B">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r>
      <w:tr w14:paraId="628A17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7" w:type="dxa"/>
            <w:vMerge w:val="continue"/>
            <w:tcBorders>
              <w:tl2br w:val="nil"/>
              <w:tr2bl w:val="nil"/>
            </w:tcBorders>
            <w:shd w:val="clear" w:color="auto" w:fill="auto"/>
            <w:noWrap/>
            <w:vAlign w:val="center"/>
          </w:tcPr>
          <w:p w14:paraId="4AFD66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983" w:type="dxa"/>
            <w:tcBorders>
              <w:tl2br w:val="nil"/>
              <w:tr2bl w:val="nil"/>
            </w:tcBorders>
            <w:shd w:val="clear" w:color="auto" w:fill="auto"/>
            <w:noWrap/>
            <w:vAlign w:val="center"/>
          </w:tcPr>
          <w:p w14:paraId="106A06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绿化区</w:t>
            </w:r>
          </w:p>
        </w:tc>
        <w:tc>
          <w:tcPr>
            <w:tcW w:w="778" w:type="dxa"/>
            <w:tcBorders>
              <w:tl2br w:val="nil"/>
              <w:tr2bl w:val="nil"/>
            </w:tcBorders>
            <w:shd w:val="clear" w:color="auto" w:fill="auto"/>
            <w:noWrap/>
            <w:vAlign w:val="center"/>
          </w:tcPr>
          <w:p w14:paraId="3CFF6A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0.09 </w:t>
            </w:r>
          </w:p>
        </w:tc>
        <w:tc>
          <w:tcPr>
            <w:tcW w:w="893" w:type="dxa"/>
            <w:tcBorders>
              <w:tl2br w:val="nil"/>
              <w:tr2bl w:val="nil"/>
            </w:tcBorders>
            <w:shd w:val="clear" w:color="auto" w:fill="auto"/>
            <w:noWrap/>
            <w:vAlign w:val="center"/>
          </w:tcPr>
          <w:p w14:paraId="76F7AF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15 </w:t>
            </w:r>
          </w:p>
        </w:tc>
        <w:tc>
          <w:tcPr>
            <w:tcW w:w="1191" w:type="dxa"/>
            <w:tcBorders>
              <w:tl2br w:val="nil"/>
              <w:tr2bl w:val="nil"/>
            </w:tcBorders>
            <w:shd w:val="clear" w:color="auto" w:fill="auto"/>
            <w:noWrap/>
            <w:vAlign w:val="center"/>
          </w:tcPr>
          <w:p w14:paraId="60C158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135.00 </w:t>
            </w:r>
          </w:p>
        </w:tc>
        <w:tc>
          <w:tcPr>
            <w:tcW w:w="1089" w:type="dxa"/>
            <w:tcBorders>
              <w:tl2br w:val="nil"/>
              <w:tr2bl w:val="nil"/>
            </w:tcBorders>
            <w:shd w:val="clear" w:color="auto" w:fill="auto"/>
            <w:noWrap/>
            <w:vAlign w:val="center"/>
          </w:tcPr>
          <w:p w14:paraId="046180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0.09 </w:t>
            </w:r>
          </w:p>
        </w:tc>
        <w:tc>
          <w:tcPr>
            <w:tcW w:w="540" w:type="dxa"/>
            <w:tcBorders>
              <w:tl2br w:val="nil"/>
              <w:tr2bl w:val="nil"/>
            </w:tcBorders>
            <w:shd w:val="clear" w:color="auto" w:fill="auto"/>
            <w:noWrap/>
            <w:vAlign w:val="center"/>
          </w:tcPr>
          <w:p w14:paraId="52A1D7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751.30 </w:t>
            </w:r>
          </w:p>
        </w:tc>
        <w:tc>
          <w:tcPr>
            <w:tcW w:w="651" w:type="dxa"/>
            <w:tcBorders>
              <w:tl2br w:val="nil"/>
              <w:tr2bl w:val="nil"/>
            </w:tcBorders>
            <w:shd w:val="clear" w:color="auto" w:fill="auto"/>
            <w:noWrap/>
            <w:vAlign w:val="center"/>
          </w:tcPr>
          <w:p w14:paraId="68C127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616.30 </w:t>
            </w:r>
          </w:p>
        </w:tc>
        <w:tc>
          <w:tcPr>
            <w:tcW w:w="739" w:type="dxa"/>
            <w:tcBorders>
              <w:tl2br w:val="nil"/>
              <w:tr2bl w:val="nil"/>
            </w:tcBorders>
            <w:shd w:val="clear" w:color="auto" w:fill="auto"/>
            <w:vAlign w:val="center"/>
          </w:tcPr>
          <w:p w14:paraId="79F803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1#表土堆场、2#表土堆场</w:t>
            </w:r>
          </w:p>
        </w:tc>
        <w:tc>
          <w:tcPr>
            <w:tcW w:w="559" w:type="dxa"/>
            <w:tcBorders>
              <w:tl2br w:val="nil"/>
              <w:tr2bl w:val="nil"/>
            </w:tcBorders>
            <w:shd w:val="clear" w:color="auto" w:fill="auto"/>
            <w:noWrap/>
            <w:vAlign w:val="center"/>
          </w:tcPr>
          <w:p w14:paraId="7CF0B174">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823" w:type="dxa"/>
            <w:tcBorders>
              <w:tl2br w:val="nil"/>
              <w:tr2bl w:val="nil"/>
            </w:tcBorders>
            <w:shd w:val="clear" w:color="auto" w:fill="auto"/>
            <w:noWrap/>
            <w:vAlign w:val="center"/>
          </w:tcPr>
          <w:p w14:paraId="073528BA">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69" w:type="dxa"/>
            <w:tcBorders>
              <w:tl2br w:val="nil"/>
              <w:tr2bl w:val="nil"/>
            </w:tcBorders>
            <w:shd w:val="clear" w:color="auto" w:fill="auto"/>
            <w:noWrap/>
            <w:vAlign w:val="center"/>
          </w:tcPr>
          <w:p w14:paraId="74A50C4A">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c>
          <w:tcPr>
            <w:tcW w:w="171" w:type="dxa"/>
            <w:tcBorders>
              <w:tl2br w:val="nil"/>
              <w:tr2bl w:val="nil"/>
            </w:tcBorders>
            <w:shd w:val="clear" w:color="auto" w:fill="auto"/>
            <w:noWrap/>
            <w:vAlign w:val="center"/>
          </w:tcPr>
          <w:p w14:paraId="4356ED69">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default" w:ascii="Times New Roman" w:hAnsi="Times New Roman" w:eastAsia="仿宋_GB2312" w:cs="Times New Roman"/>
                <w:i w:val="0"/>
                <w:iCs w:val="0"/>
                <w:color w:val="000000" w:themeColor="text1"/>
                <w:sz w:val="18"/>
                <w:szCs w:val="18"/>
                <w:u w:val="none"/>
              </w:rPr>
            </w:pPr>
          </w:p>
        </w:tc>
      </w:tr>
      <w:tr w14:paraId="5CEB06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7" w:type="dxa"/>
            <w:vMerge w:val="continue"/>
            <w:tcBorders>
              <w:tl2br w:val="nil"/>
              <w:tr2bl w:val="nil"/>
            </w:tcBorders>
            <w:shd w:val="clear" w:color="auto" w:fill="auto"/>
            <w:noWrap/>
            <w:vAlign w:val="center"/>
          </w:tcPr>
          <w:p w14:paraId="2CADDA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983" w:type="dxa"/>
            <w:tcBorders>
              <w:tl2br w:val="nil"/>
              <w:tr2bl w:val="nil"/>
            </w:tcBorders>
            <w:shd w:val="clear" w:color="auto" w:fill="auto"/>
            <w:noWrap/>
            <w:vAlign w:val="center"/>
          </w:tcPr>
          <w:p w14:paraId="482658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小计</w:t>
            </w:r>
          </w:p>
        </w:tc>
        <w:tc>
          <w:tcPr>
            <w:tcW w:w="778" w:type="dxa"/>
            <w:tcBorders>
              <w:tl2br w:val="nil"/>
              <w:tr2bl w:val="nil"/>
            </w:tcBorders>
            <w:shd w:val="clear" w:color="auto" w:fill="auto"/>
            <w:noWrap/>
            <w:vAlign w:val="center"/>
          </w:tcPr>
          <w:p w14:paraId="4A9AD1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 xml:space="preserve">0.37 </w:t>
            </w:r>
          </w:p>
        </w:tc>
        <w:tc>
          <w:tcPr>
            <w:tcW w:w="893" w:type="dxa"/>
            <w:tcBorders>
              <w:tl2br w:val="nil"/>
              <w:tr2bl w:val="nil"/>
            </w:tcBorders>
            <w:shd w:val="clear" w:color="auto" w:fill="auto"/>
            <w:noWrap/>
            <w:vAlign w:val="center"/>
          </w:tcPr>
          <w:p w14:paraId="5BAEE29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191" w:type="dxa"/>
            <w:tcBorders>
              <w:tl2br w:val="nil"/>
              <w:tr2bl w:val="nil"/>
            </w:tcBorders>
            <w:shd w:val="clear" w:color="auto" w:fill="auto"/>
            <w:noWrap/>
            <w:vAlign w:val="center"/>
          </w:tcPr>
          <w:p w14:paraId="543043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555.00</w:t>
            </w:r>
          </w:p>
        </w:tc>
        <w:tc>
          <w:tcPr>
            <w:tcW w:w="1089" w:type="dxa"/>
            <w:tcBorders>
              <w:tl2br w:val="nil"/>
              <w:tr2bl w:val="nil"/>
            </w:tcBorders>
            <w:shd w:val="clear" w:color="auto" w:fill="auto"/>
            <w:noWrap/>
            <w:vAlign w:val="center"/>
          </w:tcPr>
          <w:p w14:paraId="769788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0.09</w:t>
            </w:r>
          </w:p>
        </w:tc>
        <w:tc>
          <w:tcPr>
            <w:tcW w:w="540" w:type="dxa"/>
            <w:tcBorders>
              <w:tl2br w:val="nil"/>
              <w:tr2bl w:val="nil"/>
            </w:tcBorders>
            <w:shd w:val="clear" w:color="auto" w:fill="auto"/>
            <w:noWrap/>
            <w:vAlign w:val="center"/>
          </w:tcPr>
          <w:p w14:paraId="3B362C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751.30</w:t>
            </w:r>
          </w:p>
        </w:tc>
        <w:tc>
          <w:tcPr>
            <w:tcW w:w="651" w:type="dxa"/>
            <w:tcBorders>
              <w:tl2br w:val="nil"/>
              <w:tr2bl w:val="nil"/>
            </w:tcBorders>
            <w:shd w:val="clear" w:color="auto" w:fill="auto"/>
            <w:noWrap/>
            <w:vAlign w:val="center"/>
          </w:tcPr>
          <w:p w14:paraId="5611FC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616.30</w:t>
            </w:r>
          </w:p>
        </w:tc>
        <w:tc>
          <w:tcPr>
            <w:tcW w:w="739" w:type="dxa"/>
            <w:tcBorders>
              <w:tl2br w:val="nil"/>
              <w:tr2bl w:val="nil"/>
            </w:tcBorders>
            <w:shd w:val="clear" w:color="auto" w:fill="auto"/>
            <w:noWrap/>
            <w:vAlign w:val="center"/>
          </w:tcPr>
          <w:p w14:paraId="4F7D07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559" w:type="dxa"/>
            <w:tcBorders>
              <w:tl2br w:val="nil"/>
              <w:tr2bl w:val="nil"/>
            </w:tcBorders>
            <w:shd w:val="clear" w:color="auto" w:fill="auto"/>
            <w:noWrap/>
            <w:vAlign w:val="center"/>
          </w:tcPr>
          <w:p w14:paraId="712CF9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18"/>
                <w:szCs w:val="18"/>
                <w:u w:val="none"/>
              </w:rPr>
            </w:pPr>
            <w:r>
              <w:rPr>
                <w:rFonts w:hint="default" w:ascii="Times New Roman" w:hAnsi="Times New Roman" w:eastAsia="仿宋_GB2312" w:cs="Times New Roman"/>
                <w:i w:val="0"/>
                <w:iCs w:val="0"/>
                <w:color w:val="000000" w:themeColor="text1"/>
                <w:kern w:val="0"/>
                <w:sz w:val="18"/>
                <w:szCs w:val="18"/>
                <w:u w:val="none"/>
                <w:lang w:val="en-US" w:eastAsia="zh-CN" w:bidi="ar"/>
              </w:rPr>
              <w:t>420.00</w:t>
            </w:r>
          </w:p>
        </w:tc>
        <w:tc>
          <w:tcPr>
            <w:tcW w:w="823" w:type="dxa"/>
            <w:tcBorders>
              <w:tl2br w:val="nil"/>
              <w:tr2bl w:val="nil"/>
            </w:tcBorders>
            <w:shd w:val="clear" w:color="auto" w:fill="auto"/>
            <w:noWrap/>
            <w:vAlign w:val="center"/>
          </w:tcPr>
          <w:p w14:paraId="680807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69" w:type="dxa"/>
            <w:tcBorders>
              <w:tl2br w:val="nil"/>
              <w:tr2bl w:val="nil"/>
            </w:tcBorders>
            <w:shd w:val="clear" w:color="auto" w:fill="auto"/>
            <w:noWrap/>
            <w:vAlign w:val="center"/>
          </w:tcPr>
          <w:p w14:paraId="26E251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c>
          <w:tcPr>
            <w:tcW w:w="171" w:type="dxa"/>
            <w:tcBorders>
              <w:tl2br w:val="nil"/>
              <w:tr2bl w:val="nil"/>
            </w:tcBorders>
            <w:shd w:val="clear" w:color="auto" w:fill="auto"/>
            <w:noWrap/>
            <w:vAlign w:val="center"/>
          </w:tcPr>
          <w:p w14:paraId="07BF58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themeColor="text1"/>
                <w:sz w:val="18"/>
                <w:szCs w:val="18"/>
                <w:u w:val="none"/>
              </w:rPr>
            </w:pPr>
          </w:p>
        </w:tc>
      </w:tr>
    </w:tbl>
    <w:p w14:paraId="4F790B7A">
      <w:pPr>
        <w:pStyle w:val="5"/>
        <w:rPr>
          <w:rFonts w:hint="default" w:ascii="Times New Roman" w:hAnsi="Times New Roman" w:cs="Times New Roman"/>
        </w:rPr>
      </w:pPr>
      <w:r>
        <w:rPr>
          <w:rFonts w:hint="default" w:ascii="Times New Roman" w:hAnsi="Times New Roman" w:eastAsia="仿宋_GB2312" w:cs="Times New Roman"/>
          <w:b/>
          <w:bCs w:val="0"/>
        </w:rPr>
        <w:t>表土利用分析</w:t>
      </w:r>
    </w:p>
    <w:p w14:paraId="79A79969">
      <w:pPr>
        <w:ind w:firstLine="480"/>
        <w:rPr>
          <w:rFonts w:hint="default" w:ascii="Times New Roman" w:hAnsi="Times New Roman" w:cs="Times New Roman"/>
        </w:rPr>
      </w:pPr>
      <w:r>
        <w:rPr>
          <w:rFonts w:hint="default" w:ascii="Times New Roman" w:hAnsi="Times New Roman" w:cs="Times New Roman"/>
        </w:rPr>
        <w:t>根据主体设计资料，本项目</w:t>
      </w:r>
      <w:r>
        <w:rPr>
          <w:rFonts w:hint="eastAsia" w:cs="Times New Roman"/>
          <w:lang w:val="en-US" w:eastAsia="zh-CN"/>
        </w:rPr>
        <w:t>地块一</w:t>
      </w:r>
      <w:r>
        <w:rPr>
          <w:rFonts w:hint="default" w:ascii="Times New Roman" w:hAnsi="Times New Roman" w:cs="Times New Roman"/>
        </w:rPr>
        <w:t>绿化面积共计0.0</w:t>
      </w:r>
      <w:r>
        <w:rPr>
          <w:rFonts w:hint="eastAsia" w:cs="Times New Roman"/>
          <w:lang w:val="en-US" w:eastAsia="zh-CN"/>
        </w:rPr>
        <w:t>9</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，覆土厚度</w:t>
      </w:r>
      <w:r>
        <w:rPr>
          <w:rFonts w:hint="eastAsia" w:cs="Times New Roman"/>
          <w:lang w:val="en-US" w:eastAsia="zh-CN"/>
        </w:rPr>
        <w:t>83.48</w:t>
      </w:r>
      <w:r>
        <w:rPr>
          <w:rFonts w:hint="default" w:ascii="Times New Roman" w:hAnsi="Times New Roman" w:cs="Times New Roman"/>
        </w:rPr>
        <w:t>cm，共计需要表土回覆量为</w:t>
      </w:r>
      <w:r>
        <w:rPr>
          <w:rFonts w:hint="eastAsia" w:cs="Times New Roman"/>
          <w:lang w:val="en-US" w:eastAsia="zh-CN"/>
        </w:rPr>
        <w:t>751.30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eastAsia" w:cs="Times New Roman"/>
          <w:lang w:val="en-US" w:eastAsia="zh-CN"/>
        </w:rPr>
        <w:t>地块二</w:t>
      </w:r>
      <w:r>
        <w:rPr>
          <w:rFonts w:hint="default" w:ascii="Times New Roman" w:hAnsi="Times New Roman" w:cs="Times New Roman"/>
        </w:rPr>
        <w:t>绿化面积共计0.</w:t>
      </w:r>
      <w:r>
        <w:rPr>
          <w:rFonts w:hint="eastAsia" w:cs="Times New Roman"/>
          <w:lang w:val="en-US" w:eastAsia="zh-CN"/>
        </w:rPr>
        <w:t>14</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，覆土厚度</w:t>
      </w:r>
      <w:r>
        <w:rPr>
          <w:rFonts w:hint="eastAsia" w:cs="Times New Roman"/>
          <w:lang w:val="en-US" w:eastAsia="zh-CN"/>
        </w:rPr>
        <w:t>83.48</w:t>
      </w:r>
      <w:r>
        <w:rPr>
          <w:rFonts w:hint="default" w:ascii="Times New Roman" w:hAnsi="Times New Roman" w:cs="Times New Roman"/>
        </w:rPr>
        <w:t>cm，共计需要表土回覆量为</w:t>
      </w:r>
      <w:r>
        <w:rPr>
          <w:rFonts w:hint="eastAsia" w:cs="Times New Roman"/>
          <w:lang w:val="en-US" w:eastAsia="zh-CN"/>
        </w:rPr>
        <w:t>1168.70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eastAsia" w:cs="Times New Roman"/>
          <w:lang w:val="en-US" w:eastAsia="zh-CN"/>
        </w:rPr>
        <w:t>其中地块二调运196.30</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val="en-US" w:eastAsia="zh-CN"/>
        </w:rPr>
        <w:t>至地块一绿化区域</w:t>
      </w:r>
      <w:r>
        <w:rPr>
          <w:rFonts w:hint="default" w:ascii="Times New Roman" w:hAnsi="Times New Roman" w:cs="Times New Roman"/>
        </w:rPr>
        <w:t>覆土。</w:t>
      </w:r>
    </w:p>
    <w:p w14:paraId="4428AA72">
      <w:pPr>
        <w:ind w:firstLine="480"/>
        <w:rPr>
          <w:rFonts w:hint="default" w:ascii="Times New Roman" w:hAnsi="Times New Roman" w:cs="Times New Roman"/>
        </w:rPr>
      </w:pPr>
      <w:r>
        <w:rPr>
          <w:rFonts w:hint="default" w:ascii="Times New Roman" w:hAnsi="Times New Roman" w:cs="Times New Roman"/>
        </w:rPr>
        <w:t>表土回覆分析见表2-6。</w:t>
      </w:r>
    </w:p>
    <w:p w14:paraId="182F733D">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表2-6                          表土利用分析表</w:t>
      </w:r>
    </w:p>
    <w:tbl>
      <w:tblPr>
        <w:tblStyle w:val="27"/>
        <w:tblW w:w="916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99"/>
        <w:gridCol w:w="1972"/>
        <w:gridCol w:w="1865"/>
        <w:gridCol w:w="1865"/>
        <w:gridCol w:w="1866"/>
      </w:tblGrid>
      <w:tr w14:paraId="64712C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599" w:type="dxa"/>
            <w:vMerge w:val="restart"/>
            <w:tcBorders>
              <w:tl2br w:val="nil"/>
              <w:tr2bl w:val="nil"/>
            </w:tcBorders>
            <w:shd w:val="clear" w:color="auto" w:fill="auto"/>
            <w:noWrap/>
            <w:vAlign w:val="center"/>
          </w:tcPr>
          <w:p w14:paraId="097DD4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972" w:type="dxa"/>
            <w:vMerge w:val="restart"/>
            <w:tcBorders>
              <w:tl2br w:val="nil"/>
              <w:tr2bl w:val="nil"/>
            </w:tcBorders>
            <w:shd w:val="clear" w:color="auto" w:fill="auto"/>
            <w:noWrap/>
            <w:vAlign w:val="center"/>
          </w:tcPr>
          <w:p w14:paraId="01DE3C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项目分区</w:t>
            </w:r>
          </w:p>
        </w:tc>
        <w:tc>
          <w:tcPr>
            <w:tcW w:w="1865" w:type="dxa"/>
            <w:tcBorders>
              <w:tl2br w:val="nil"/>
              <w:tr2bl w:val="nil"/>
            </w:tcBorders>
            <w:shd w:val="clear" w:color="auto" w:fill="auto"/>
            <w:noWrap/>
            <w:vAlign w:val="center"/>
          </w:tcPr>
          <w:p w14:paraId="16712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覆土面积（hm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1865" w:type="dxa"/>
            <w:tcBorders>
              <w:tl2br w:val="nil"/>
              <w:tr2bl w:val="nil"/>
            </w:tcBorders>
            <w:shd w:val="clear" w:color="auto" w:fill="auto"/>
            <w:noWrap/>
            <w:vAlign w:val="center"/>
          </w:tcPr>
          <w:p w14:paraId="3E5AF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覆土厚度cm</w:t>
            </w:r>
          </w:p>
        </w:tc>
        <w:tc>
          <w:tcPr>
            <w:tcW w:w="1866" w:type="dxa"/>
            <w:vMerge w:val="restart"/>
            <w:tcBorders>
              <w:tl2br w:val="nil"/>
              <w:tr2bl w:val="nil"/>
            </w:tcBorders>
            <w:shd w:val="clear" w:color="auto" w:fill="auto"/>
            <w:noWrap/>
            <w:vAlign w:val="center"/>
          </w:tcPr>
          <w:p w14:paraId="04A7D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覆土量（m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r>
      <w:tr w14:paraId="6C2038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599" w:type="dxa"/>
            <w:vMerge w:val="continue"/>
            <w:tcBorders>
              <w:tl2br w:val="nil"/>
              <w:tr2bl w:val="nil"/>
            </w:tcBorders>
            <w:shd w:val="clear" w:color="auto" w:fill="auto"/>
            <w:noWrap/>
            <w:vAlign w:val="center"/>
          </w:tcPr>
          <w:p w14:paraId="4B6C54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vMerge w:val="continue"/>
            <w:tcBorders>
              <w:tl2br w:val="nil"/>
              <w:tr2bl w:val="nil"/>
            </w:tcBorders>
            <w:shd w:val="clear" w:color="auto" w:fill="auto"/>
            <w:noWrap/>
            <w:vAlign w:val="center"/>
          </w:tcPr>
          <w:p w14:paraId="316914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5" w:type="dxa"/>
            <w:tcBorders>
              <w:tl2br w:val="nil"/>
              <w:tr2bl w:val="nil"/>
            </w:tcBorders>
            <w:shd w:val="clear" w:color="auto" w:fill="auto"/>
            <w:noWrap/>
            <w:vAlign w:val="center"/>
          </w:tcPr>
          <w:p w14:paraId="37D743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场地绿化</w:t>
            </w:r>
          </w:p>
        </w:tc>
        <w:tc>
          <w:tcPr>
            <w:tcW w:w="1865" w:type="dxa"/>
            <w:tcBorders>
              <w:tl2br w:val="nil"/>
              <w:tr2bl w:val="nil"/>
            </w:tcBorders>
            <w:shd w:val="clear" w:color="auto" w:fill="auto"/>
            <w:noWrap/>
            <w:vAlign w:val="center"/>
          </w:tcPr>
          <w:p w14:paraId="3DD16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场地绿化</w:t>
            </w:r>
          </w:p>
        </w:tc>
        <w:tc>
          <w:tcPr>
            <w:tcW w:w="1866" w:type="dxa"/>
            <w:vMerge w:val="continue"/>
            <w:tcBorders>
              <w:tl2br w:val="nil"/>
              <w:tr2bl w:val="nil"/>
            </w:tcBorders>
            <w:shd w:val="clear" w:color="auto" w:fill="auto"/>
            <w:noWrap/>
            <w:vAlign w:val="center"/>
          </w:tcPr>
          <w:p w14:paraId="68C271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650DA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599" w:type="dxa"/>
            <w:vMerge w:val="restart"/>
            <w:tcBorders>
              <w:tl2br w:val="nil"/>
              <w:tr2bl w:val="nil"/>
            </w:tcBorders>
            <w:shd w:val="clear" w:color="auto" w:fill="auto"/>
            <w:noWrap/>
            <w:vAlign w:val="center"/>
          </w:tcPr>
          <w:p w14:paraId="11B1B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972" w:type="dxa"/>
            <w:tcBorders>
              <w:tl2br w:val="nil"/>
              <w:tr2bl w:val="nil"/>
            </w:tcBorders>
            <w:shd w:val="clear" w:color="auto" w:fill="auto"/>
            <w:noWrap/>
            <w:vAlign w:val="center"/>
          </w:tcPr>
          <w:p w14:paraId="698F4A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865" w:type="dxa"/>
            <w:tcBorders>
              <w:tl2br w:val="nil"/>
              <w:tr2bl w:val="nil"/>
            </w:tcBorders>
            <w:shd w:val="clear" w:color="auto" w:fill="auto"/>
            <w:noWrap/>
            <w:vAlign w:val="center"/>
          </w:tcPr>
          <w:p w14:paraId="256954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5" w:type="dxa"/>
            <w:tcBorders>
              <w:tl2br w:val="nil"/>
              <w:tr2bl w:val="nil"/>
            </w:tcBorders>
            <w:shd w:val="clear" w:color="auto" w:fill="auto"/>
            <w:noWrap/>
            <w:vAlign w:val="center"/>
          </w:tcPr>
          <w:p w14:paraId="54FB87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21204D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4E9569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599" w:type="dxa"/>
            <w:vMerge w:val="continue"/>
            <w:tcBorders>
              <w:tl2br w:val="nil"/>
              <w:tr2bl w:val="nil"/>
            </w:tcBorders>
            <w:shd w:val="clear" w:color="auto" w:fill="auto"/>
            <w:noWrap/>
            <w:vAlign w:val="center"/>
          </w:tcPr>
          <w:p w14:paraId="0512D9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tcBorders>
              <w:tl2br w:val="nil"/>
              <w:tr2bl w:val="nil"/>
            </w:tcBorders>
            <w:shd w:val="clear" w:color="auto" w:fill="auto"/>
            <w:noWrap/>
            <w:vAlign w:val="center"/>
          </w:tcPr>
          <w:p w14:paraId="10A00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865" w:type="dxa"/>
            <w:tcBorders>
              <w:tl2br w:val="nil"/>
              <w:tr2bl w:val="nil"/>
            </w:tcBorders>
            <w:shd w:val="clear" w:color="auto" w:fill="auto"/>
            <w:noWrap/>
            <w:vAlign w:val="center"/>
          </w:tcPr>
          <w:p w14:paraId="4DEEFC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5" w:type="dxa"/>
            <w:tcBorders>
              <w:tl2br w:val="nil"/>
              <w:tr2bl w:val="nil"/>
            </w:tcBorders>
            <w:shd w:val="clear" w:color="auto" w:fill="auto"/>
            <w:noWrap/>
            <w:vAlign w:val="center"/>
          </w:tcPr>
          <w:p w14:paraId="37AF4A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6A668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D3588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99" w:type="dxa"/>
            <w:vMerge w:val="continue"/>
            <w:tcBorders>
              <w:tl2br w:val="nil"/>
              <w:tr2bl w:val="nil"/>
            </w:tcBorders>
            <w:shd w:val="clear" w:color="auto" w:fill="auto"/>
            <w:noWrap/>
            <w:vAlign w:val="center"/>
          </w:tcPr>
          <w:p w14:paraId="2DD33D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tcBorders>
              <w:tl2br w:val="nil"/>
              <w:tr2bl w:val="nil"/>
            </w:tcBorders>
            <w:shd w:val="clear" w:color="auto" w:fill="auto"/>
            <w:noWrap/>
            <w:vAlign w:val="center"/>
          </w:tcPr>
          <w:p w14:paraId="74B7F5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865" w:type="dxa"/>
            <w:tcBorders>
              <w:tl2br w:val="nil"/>
              <w:tr2bl w:val="nil"/>
            </w:tcBorders>
            <w:shd w:val="clear" w:color="auto" w:fill="auto"/>
            <w:noWrap/>
            <w:vAlign w:val="center"/>
          </w:tcPr>
          <w:p w14:paraId="75F1B7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0.09</w:t>
            </w:r>
          </w:p>
        </w:tc>
        <w:tc>
          <w:tcPr>
            <w:tcW w:w="1865" w:type="dxa"/>
            <w:tcBorders>
              <w:tl2br w:val="nil"/>
              <w:tr2bl w:val="nil"/>
            </w:tcBorders>
            <w:shd w:val="clear" w:color="auto" w:fill="auto"/>
            <w:noWrap/>
            <w:vAlign w:val="center"/>
          </w:tcPr>
          <w:p w14:paraId="79EE8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83.48 </w:t>
            </w:r>
          </w:p>
        </w:tc>
        <w:tc>
          <w:tcPr>
            <w:tcW w:w="1866" w:type="dxa"/>
            <w:tcBorders>
              <w:tl2br w:val="nil"/>
              <w:tr2bl w:val="nil"/>
            </w:tcBorders>
            <w:shd w:val="clear" w:color="auto" w:fill="auto"/>
            <w:noWrap/>
            <w:vAlign w:val="center"/>
          </w:tcPr>
          <w:p w14:paraId="10C8B3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751.30 </w:t>
            </w:r>
          </w:p>
        </w:tc>
      </w:tr>
      <w:tr w14:paraId="2AFE9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99" w:type="dxa"/>
            <w:vMerge w:val="continue"/>
            <w:tcBorders>
              <w:tl2br w:val="nil"/>
              <w:tr2bl w:val="nil"/>
            </w:tcBorders>
            <w:shd w:val="clear" w:color="auto" w:fill="auto"/>
            <w:noWrap/>
            <w:vAlign w:val="center"/>
          </w:tcPr>
          <w:p w14:paraId="6C8D76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tcBorders>
              <w:tl2br w:val="nil"/>
              <w:tr2bl w:val="nil"/>
            </w:tcBorders>
            <w:shd w:val="clear" w:color="auto" w:fill="auto"/>
            <w:noWrap/>
            <w:vAlign w:val="center"/>
          </w:tcPr>
          <w:p w14:paraId="157E2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865" w:type="dxa"/>
            <w:tcBorders>
              <w:tl2br w:val="nil"/>
              <w:tr2bl w:val="nil"/>
            </w:tcBorders>
            <w:shd w:val="clear" w:color="auto" w:fill="auto"/>
            <w:noWrap/>
            <w:vAlign w:val="center"/>
          </w:tcPr>
          <w:p w14:paraId="2E2B8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1865" w:type="dxa"/>
            <w:tcBorders>
              <w:tl2br w:val="nil"/>
              <w:tr2bl w:val="nil"/>
            </w:tcBorders>
            <w:shd w:val="clear" w:color="auto" w:fill="auto"/>
            <w:noWrap/>
            <w:vAlign w:val="center"/>
          </w:tcPr>
          <w:p w14:paraId="2EB11E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74A787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751.30 </w:t>
            </w:r>
          </w:p>
        </w:tc>
      </w:tr>
      <w:tr w14:paraId="2A2A8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99" w:type="dxa"/>
            <w:vMerge w:val="restart"/>
            <w:tcBorders>
              <w:tl2br w:val="nil"/>
              <w:tr2bl w:val="nil"/>
            </w:tcBorders>
            <w:shd w:val="clear" w:color="auto" w:fill="auto"/>
            <w:noWrap/>
            <w:vAlign w:val="center"/>
          </w:tcPr>
          <w:p w14:paraId="0FB4A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972" w:type="dxa"/>
            <w:tcBorders>
              <w:tl2br w:val="nil"/>
              <w:tr2bl w:val="nil"/>
            </w:tcBorders>
            <w:shd w:val="clear" w:color="auto" w:fill="auto"/>
            <w:noWrap/>
            <w:vAlign w:val="center"/>
          </w:tcPr>
          <w:p w14:paraId="78825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865" w:type="dxa"/>
            <w:tcBorders>
              <w:tl2br w:val="nil"/>
              <w:tr2bl w:val="nil"/>
            </w:tcBorders>
            <w:shd w:val="clear" w:color="auto" w:fill="auto"/>
            <w:noWrap/>
            <w:vAlign w:val="center"/>
          </w:tcPr>
          <w:p w14:paraId="259D80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5" w:type="dxa"/>
            <w:tcBorders>
              <w:tl2br w:val="nil"/>
              <w:tr2bl w:val="nil"/>
            </w:tcBorders>
            <w:shd w:val="clear" w:color="auto" w:fill="auto"/>
            <w:noWrap/>
            <w:vAlign w:val="center"/>
          </w:tcPr>
          <w:p w14:paraId="1F7B85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0D7771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4788F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99" w:type="dxa"/>
            <w:vMerge w:val="continue"/>
            <w:tcBorders>
              <w:tl2br w:val="nil"/>
              <w:tr2bl w:val="nil"/>
            </w:tcBorders>
            <w:shd w:val="clear" w:color="auto" w:fill="auto"/>
            <w:noWrap/>
            <w:vAlign w:val="center"/>
          </w:tcPr>
          <w:p w14:paraId="446BF1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tcBorders>
              <w:tl2br w:val="nil"/>
              <w:tr2bl w:val="nil"/>
            </w:tcBorders>
            <w:shd w:val="clear" w:color="auto" w:fill="auto"/>
            <w:noWrap/>
            <w:vAlign w:val="center"/>
          </w:tcPr>
          <w:p w14:paraId="763230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865" w:type="dxa"/>
            <w:tcBorders>
              <w:tl2br w:val="nil"/>
              <w:tr2bl w:val="nil"/>
            </w:tcBorders>
            <w:shd w:val="clear" w:color="auto" w:fill="auto"/>
            <w:noWrap/>
            <w:vAlign w:val="center"/>
          </w:tcPr>
          <w:p w14:paraId="3C0A67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5" w:type="dxa"/>
            <w:tcBorders>
              <w:tl2br w:val="nil"/>
              <w:tr2bl w:val="nil"/>
            </w:tcBorders>
            <w:shd w:val="clear" w:color="auto" w:fill="auto"/>
            <w:noWrap/>
            <w:vAlign w:val="center"/>
          </w:tcPr>
          <w:p w14:paraId="0CAD15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5CCD29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6CE18B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99" w:type="dxa"/>
            <w:vMerge w:val="continue"/>
            <w:tcBorders>
              <w:tl2br w:val="nil"/>
              <w:tr2bl w:val="nil"/>
            </w:tcBorders>
            <w:shd w:val="clear" w:color="auto" w:fill="auto"/>
            <w:noWrap/>
            <w:vAlign w:val="center"/>
          </w:tcPr>
          <w:p w14:paraId="68A10C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tcBorders>
              <w:tl2br w:val="nil"/>
              <w:tr2bl w:val="nil"/>
            </w:tcBorders>
            <w:shd w:val="clear" w:color="auto" w:fill="auto"/>
            <w:noWrap/>
            <w:vAlign w:val="center"/>
          </w:tcPr>
          <w:p w14:paraId="27C3E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865" w:type="dxa"/>
            <w:tcBorders>
              <w:tl2br w:val="nil"/>
              <w:tr2bl w:val="nil"/>
            </w:tcBorders>
            <w:shd w:val="clear" w:color="auto" w:fill="auto"/>
            <w:noWrap/>
            <w:vAlign w:val="center"/>
          </w:tcPr>
          <w:p w14:paraId="29478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1865" w:type="dxa"/>
            <w:tcBorders>
              <w:tl2br w:val="nil"/>
              <w:tr2bl w:val="nil"/>
            </w:tcBorders>
            <w:shd w:val="clear" w:color="auto" w:fill="auto"/>
            <w:noWrap/>
            <w:vAlign w:val="center"/>
          </w:tcPr>
          <w:p w14:paraId="00945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83.48 </w:t>
            </w:r>
          </w:p>
        </w:tc>
        <w:tc>
          <w:tcPr>
            <w:tcW w:w="1866" w:type="dxa"/>
            <w:tcBorders>
              <w:tl2br w:val="nil"/>
              <w:tr2bl w:val="nil"/>
            </w:tcBorders>
            <w:shd w:val="clear" w:color="auto" w:fill="auto"/>
            <w:noWrap/>
            <w:vAlign w:val="center"/>
          </w:tcPr>
          <w:p w14:paraId="07931F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1168.70 </w:t>
            </w:r>
          </w:p>
        </w:tc>
      </w:tr>
      <w:tr w14:paraId="42D932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1599" w:type="dxa"/>
            <w:vMerge w:val="continue"/>
            <w:tcBorders>
              <w:tl2br w:val="nil"/>
              <w:tr2bl w:val="nil"/>
            </w:tcBorders>
            <w:shd w:val="clear" w:color="auto" w:fill="auto"/>
            <w:noWrap/>
            <w:vAlign w:val="center"/>
          </w:tcPr>
          <w:p w14:paraId="458595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972" w:type="dxa"/>
            <w:tcBorders>
              <w:tl2br w:val="nil"/>
              <w:tr2bl w:val="nil"/>
            </w:tcBorders>
            <w:shd w:val="clear" w:color="auto" w:fill="auto"/>
            <w:noWrap/>
            <w:vAlign w:val="center"/>
          </w:tcPr>
          <w:p w14:paraId="184EED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865" w:type="dxa"/>
            <w:tcBorders>
              <w:tl2br w:val="nil"/>
              <w:tr2bl w:val="nil"/>
            </w:tcBorders>
            <w:shd w:val="clear" w:color="auto" w:fill="auto"/>
            <w:noWrap/>
            <w:vAlign w:val="center"/>
          </w:tcPr>
          <w:p w14:paraId="0F9EC9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1865" w:type="dxa"/>
            <w:tcBorders>
              <w:tl2br w:val="nil"/>
              <w:tr2bl w:val="nil"/>
            </w:tcBorders>
            <w:shd w:val="clear" w:color="auto" w:fill="auto"/>
            <w:noWrap/>
            <w:vAlign w:val="center"/>
          </w:tcPr>
          <w:p w14:paraId="110D43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2B0BF4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1168.70 </w:t>
            </w:r>
          </w:p>
        </w:tc>
      </w:tr>
      <w:tr w14:paraId="7599C0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trPr>
        <w:tc>
          <w:tcPr>
            <w:tcW w:w="3571" w:type="dxa"/>
            <w:gridSpan w:val="2"/>
            <w:tcBorders>
              <w:tl2br w:val="nil"/>
              <w:tr2bl w:val="nil"/>
            </w:tcBorders>
            <w:shd w:val="clear" w:color="auto" w:fill="auto"/>
            <w:noWrap/>
            <w:vAlign w:val="center"/>
          </w:tcPr>
          <w:p w14:paraId="6367BB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865" w:type="dxa"/>
            <w:tcBorders>
              <w:tl2br w:val="nil"/>
              <w:tr2bl w:val="nil"/>
            </w:tcBorders>
            <w:shd w:val="clear" w:color="auto" w:fill="auto"/>
            <w:noWrap/>
            <w:vAlign w:val="center"/>
          </w:tcPr>
          <w:p w14:paraId="0AC46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0.23 </w:t>
            </w:r>
          </w:p>
        </w:tc>
        <w:tc>
          <w:tcPr>
            <w:tcW w:w="1865" w:type="dxa"/>
            <w:tcBorders>
              <w:tl2br w:val="nil"/>
              <w:tr2bl w:val="nil"/>
            </w:tcBorders>
            <w:shd w:val="clear" w:color="auto" w:fill="auto"/>
            <w:noWrap/>
            <w:vAlign w:val="center"/>
          </w:tcPr>
          <w:p w14:paraId="795271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66" w:type="dxa"/>
            <w:tcBorders>
              <w:tl2br w:val="nil"/>
              <w:tr2bl w:val="nil"/>
            </w:tcBorders>
            <w:shd w:val="clear" w:color="auto" w:fill="auto"/>
            <w:noWrap/>
            <w:vAlign w:val="center"/>
          </w:tcPr>
          <w:p w14:paraId="07B2A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1920.00 </w:t>
            </w:r>
          </w:p>
        </w:tc>
      </w:tr>
    </w:tbl>
    <w:p w14:paraId="1DA5E6A1">
      <w:pPr>
        <w:pStyle w:val="5"/>
        <w:rPr>
          <w:rFonts w:hint="default" w:ascii="Times New Roman" w:hAnsi="Times New Roman" w:cs="Times New Roman"/>
        </w:rPr>
      </w:pPr>
      <w:r>
        <w:rPr>
          <w:rFonts w:hint="eastAsia" w:ascii="Times New Roman" w:hAnsi="Times New Roman" w:cs="Times New Roman"/>
          <w:lang w:val="en-US" w:eastAsia="zh-CN"/>
        </w:rPr>
        <w:t>表土平衡分析</w:t>
      </w:r>
    </w:p>
    <w:p w14:paraId="7F5005BF">
      <w:pPr>
        <w:adjustRightInd w:val="0"/>
        <w:snapToGrid w:val="0"/>
        <w:spacing w:before="120" w:beforeLines="50"/>
        <w:ind w:firstLine="480"/>
        <w:rPr>
          <w:rFonts w:hint="default" w:ascii="Times New Roman" w:hAnsi="Times New Roman" w:cs="Times New Roman"/>
        </w:rPr>
      </w:pPr>
      <w:r>
        <w:rPr>
          <w:rFonts w:hint="default" w:ascii="Times New Roman" w:hAnsi="Times New Roman" w:cs="Times New Roman"/>
        </w:rPr>
        <w:t>本项目</w:t>
      </w:r>
      <w:r>
        <w:rPr>
          <w:rFonts w:hint="eastAsia" w:cs="Times New Roman"/>
          <w:lang w:val="en-US" w:eastAsia="zh-CN"/>
        </w:rPr>
        <w:t>地块一</w:t>
      </w:r>
      <w:r>
        <w:rPr>
          <w:rFonts w:hint="default" w:ascii="Times New Roman" w:hAnsi="Times New Roman" w:cs="Times New Roman"/>
        </w:rPr>
        <w:t>剥离表土量</w:t>
      </w:r>
      <w:r>
        <w:rPr>
          <w:rFonts w:hint="eastAsia" w:cs="Times New Roman"/>
          <w:lang w:val="en-US" w:eastAsia="zh-CN"/>
        </w:rPr>
        <w:t>555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r>
        <w:rPr>
          <w:rFonts w:hint="eastAsia" w:cs="Times New Roman"/>
          <w:lang w:val="en-US" w:eastAsia="zh-CN"/>
        </w:rPr>
        <w:t>地块二</w:t>
      </w:r>
      <w:r>
        <w:rPr>
          <w:rFonts w:hint="default" w:ascii="Times New Roman" w:hAnsi="Times New Roman" w:cs="Times New Roman"/>
        </w:rPr>
        <w:t>剥离表土量</w:t>
      </w:r>
      <w:r>
        <w:rPr>
          <w:rFonts w:hint="eastAsia" w:cs="Times New Roman"/>
          <w:lang w:val="en-US" w:eastAsia="zh-CN"/>
        </w:rPr>
        <w:t>1365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，后期用于本项目</w:t>
      </w:r>
      <w:r>
        <w:rPr>
          <w:rFonts w:hint="eastAsia" w:cs="Times New Roman"/>
          <w:lang w:val="en-US" w:eastAsia="zh-CN"/>
        </w:rPr>
        <w:t>地块一</w:t>
      </w:r>
      <w:r>
        <w:rPr>
          <w:rFonts w:hint="default" w:ascii="Times New Roman" w:hAnsi="Times New Roman" w:cs="Times New Roman"/>
        </w:rPr>
        <w:t>绿化区覆土</w:t>
      </w:r>
      <w:r>
        <w:rPr>
          <w:rFonts w:hint="eastAsia" w:cs="Times New Roman"/>
          <w:lang w:val="en-US" w:eastAsia="zh-CN"/>
        </w:rPr>
        <w:t>751.30</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eastAsia="zh-CN"/>
        </w:rPr>
        <w:t>，</w:t>
      </w:r>
      <w:r>
        <w:rPr>
          <w:rFonts w:hint="eastAsia" w:cs="Times New Roman"/>
          <w:lang w:val="en-US" w:eastAsia="zh-CN"/>
        </w:rPr>
        <w:t>地块二</w:t>
      </w:r>
      <w:r>
        <w:rPr>
          <w:rFonts w:hint="default" w:ascii="Times New Roman" w:hAnsi="Times New Roman" w:cs="Times New Roman"/>
        </w:rPr>
        <w:t>绿化区覆土</w:t>
      </w:r>
      <w:r>
        <w:rPr>
          <w:rFonts w:hint="eastAsia" w:cs="Times New Roman"/>
          <w:lang w:val="en-US" w:eastAsia="zh-CN"/>
        </w:rPr>
        <w:t>1168.70</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eastAsia="zh-CN"/>
        </w:rPr>
        <w:t>。</w:t>
      </w:r>
      <w:r>
        <w:rPr>
          <w:rFonts w:hint="default" w:ascii="Times New Roman" w:hAnsi="Times New Roman" w:cs="Times New Roman"/>
        </w:rPr>
        <w:t>表土平衡及流向分析见表2-7。</w:t>
      </w:r>
    </w:p>
    <w:p w14:paraId="65450CDA">
      <w:pPr>
        <w:rPr>
          <w:rFonts w:hint="default" w:ascii="Times New Roman" w:hAnsi="Times New Roman" w:eastAsia="仿宋_GB2312" w:cs="Times New Roman"/>
          <w:b/>
          <w:bCs w:val="0"/>
        </w:rPr>
      </w:pPr>
      <w:r>
        <w:rPr>
          <w:rFonts w:hint="default" w:ascii="Times New Roman" w:hAnsi="Times New Roman" w:eastAsia="仿宋_GB2312" w:cs="Times New Roman"/>
          <w:b/>
          <w:bCs w:val="0"/>
        </w:rPr>
        <w:br w:type="page"/>
      </w:r>
    </w:p>
    <w:p w14:paraId="1661319D">
      <w:pPr>
        <w:pStyle w:val="83"/>
        <w:jc w:val="center"/>
        <w:rPr>
          <w:rFonts w:hint="default" w:ascii="Times New Roman" w:hAnsi="Times New Roman" w:eastAsia="仿宋_GB2312" w:cs="Times New Roman"/>
          <w:b/>
          <w:bCs w:val="0"/>
          <w:vertAlign w:val="superscript"/>
        </w:rPr>
      </w:pPr>
      <w:r>
        <w:rPr>
          <w:rFonts w:hint="default" w:ascii="Times New Roman" w:hAnsi="Times New Roman" w:eastAsia="仿宋_GB2312" w:cs="Times New Roman"/>
          <w:b/>
          <w:bCs w:val="0"/>
        </w:rPr>
        <w:t>表2-7                表土平衡及流向分析表              单位：万m</w:t>
      </w:r>
      <w:r>
        <w:rPr>
          <w:rFonts w:hint="default" w:ascii="Times New Roman" w:hAnsi="Times New Roman" w:eastAsia="仿宋_GB2312" w:cs="Times New Roman"/>
          <w:b/>
          <w:bCs w:val="0"/>
          <w:vertAlign w:val="superscript"/>
        </w:rPr>
        <w:t>3</w:t>
      </w:r>
    </w:p>
    <w:tbl>
      <w:tblPr>
        <w:tblStyle w:val="27"/>
        <w:tblW w:w="896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92"/>
        <w:gridCol w:w="973"/>
        <w:gridCol w:w="653"/>
        <w:gridCol w:w="973"/>
        <w:gridCol w:w="730"/>
        <w:gridCol w:w="1511"/>
        <w:gridCol w:w="704"/>
        <w:gridCol w:w="1605"/>
        <w:gridCol w:w="331"/>
        <w:gridCol w:w="331"/>
        <w:gridCol w:w="332"/>
        <w:gridCol w:w="332"/>
      </w:tblGrid>
      <w:tr w14:paraId="6E1B6D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2" w:type="dxa"/>
            <w:vMerge w:val="restart"/>
            <w:tcBorders>
              <w:tl2br w:val="nil"/>
              <w:tr2bl w:val="nil"/>
            </w:tcBorders>
            <w:shd w:val="clear" w:color="auto" w:fill="auto"/>
            <w:noWrap/>
            <w:vAlign w:val="center"/>
          </w:tcPr>
          <w:p w14:paraId="41C558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w:t>
            </w:r>
          </w:p>
        </w:tc>
        <w:tc>
          <w:tcPr>
            <w:tcW w:w="973" w:type="dxa"/>
            <w:vMerge w:val="restart"/>
            <w:tcBorders>
              <w:tl2br w:val="nil"/>
              <w:tr2bl w:val="nil"/>
            </w:tcBorders>
            <w:shd w:val="clear" w:color="auto" w:fill="auto"/>
            <w:noWrap/>
            <w:vAlign w:val="center"/>
          </w:tcPr>
          <w:p w14:paraId="036EF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项目分区</w:t>
            </w:r>
          </w:p>
        </w:tc>
        <w:tc>
          <w:tcPr>
            <w:tcW w:w="653" w:type="dxa"/>
            <w:tcBorders>
              <w:tl2br w:val="nil"/>
              <w:tr2bl w:val="nil"/>
            </w:tcBorders>
            <w:shd w:val="clear" w:color="auto" w:fill="auto"/>
            <w:noWrap/>
            <w:vAlign w:val="center"/>
          </w:tcPr>
          <w:p w14:paraId="0431D9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开挖</w:t>
            </w:r>
          </w:p>
        </w:tc>
        <w:tc>
          <w:tcPr>
            <w:tcW w:w="973" w:type="dxa"/>
            <w:tcBorders>
              <w:tl2br w:val="nil"/>
              <w:tr2bl w:val="nil"/>
            </w:tcBorders>
            <w:shd w:val="clear" w:color="auto" w:fill="auto"/>
            <w:noWrap/>
            <w:vAlign w:val="center"/>
          </w:tcPr>
          <w:p w14:paraId="7D53F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回填</w:t>
            </w:r>
          </w:p>
        </w:tc>
        <w:tc>
          <w:tcPr>
            <w:tcW w:w="2241" w:type="dxa"/>
            <w:gridSpan w:val="2"/>
            <w:tcBorders>
              <w:tl2br w:val="nil"/>
              <w:tr2bl w:val="nil"/>
            </w:tcBorders>
            <w:shd w:val="clear" w:color="auto" w:fill="auto"/>
            <w:noWrap/>
            <w:vAlign w:val="center"/>
          </w:tcPr>
          <w:p w14:paraId="3DDE70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调入</w:t>
            </w:r>
          </w:p>
        </w:tc>
        <w:tc>
          <w:tcPr>
            <w:tcW w:w="2309" w:type="dxa"/>
            <w:gridSpan w:val="2"/>
            <w:tcBorders>
              <w:tl2br w:val="nil"/>
              <w:tr2bl w:val="nil"/>
            </w:tcBorders>
            <w:shd w:val="clear" w:color="auto" w:fill="auto"/>
            <w:noWrap/>
            <w:vAlign w:val="center"/>
          </w:tcPr>
          <w:p w14:paraId="2F21E2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调出</w:t>
            </w:r>
          </w:p>
        </w:tc>
        <w:tc>
          <w:tcPr>
            <w:tcW w:w="662" w:type="dxa"/>
            <w:gridSpan w:val="2"/>
            <w:tcBorders>
              <w:tl2br w:val="nil"/>
              <w:tr2bl w:val="nil"/>
            </w:tcBorders>
            <w:shd w:val="clear" w:color="auto" w:fill="auto"/>
            <w:noWrap/>
            <w:vAlign w:val="center"/>
          </w:tcPr>
          <w:p w14:paraId="464798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外借</w:t>
            </w:r>
          </w:p>
        </w:tc>
        <w:tc>
          <w:tcPr>
            <w:tcW w:w="664" w:type="dxa"/>
            <w:gridSpan w:val="2"/>
            <w:tcBorders>
              <w:tl2br w:val="nil"/>
              <w:tr2bl w:val="nil"/>
            </w:tcBorders>
            <w:shd w:val="clear" w:color="auto" w:fill="auto"/>
            <w:noWrap/>
            <w:vAlign w:val="center"/>
          </w:tcPr>
          <w:p w14:paraId="250A11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剩余</w:t>
            </w:r>
          </w:p>
        </w:tc>
      </w:tr>
      <w:tr w14:paraId="4DC625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189F9D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vMerge w:val="continue"/>
            <w:tcBorders>
              <w:tl2br w:val="nil"/>
              <w:tr2bl w:val="nil"/>
            </w:tcBorders>
            <w:shd w:val="clear" w:color="auto" w:fill="auto"/>
            <w:noWrap/>
            <w:vAlign w:val="center"/>
          </w:tcPr>
          <w:p w14:paraId="2CABAD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53" w:type="dxa"/>
            <w:tcBorders>
              <w:tl2br w:val="nil"/>
              <w:tr2bl w:val="nil"/>
            </w:tcBorders>
            <w:shd w:val="clear" w:color="auto" w:fill="auto"/>
            <w:noWrap/>
            <w:vAlign w:val="center"/>
          </w:tcPr>
          <w:p w14:paraId="4E966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表土剥离</w:t>
            </w:r>
          </w:p>
        </w:tc>
        <w:tc>
          <w:tcPr>
            <w:tcW w:w="973" w:type="dxa"/>
            <w:tcBorders>
              <w:tl2br w:val="nil"/>
              <w:tr2bl w:val="nil"/>
            </w:tcBorders>
            <w:shd w:val="clear" w:color="auto" w:fill="auto"/>
            <w:noWrap/>
            <w:vAlign w:val="center"/>
          </w:tcPr>
          <w:p w14:paraId="3504E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绿化覆土回填</w:t>
            </w:r>
          </w:p>
        </w:tc>
        <w:tc>
          <w:tcPr>
            <w:tcW w:w="730" w:type="dxa"/>
            <w:tcBorders>
              <w:tl2br w:val="nil"/>
              <w:tr2bl w:val="nil"/>
            </w:tcBorders>
            <w:shd w:val="clear" w:color="auto" w:fill="auto"/>
            <w:noWrap/>
            <w:vAlign w:val="center"/>
          </w:tcPr>
          <w:p w14:paraId="470C76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1511" w:type="dxa"/>
            <w:tcBorders>
              <w:tl2br w:val="nil"/>
              <w:tr2bl w:val="nil"/>
            </w:tcBorders>
            <w:shd w:val="clear" w:color="auto" w:fill="auto"/>
            <w:noWrap/>
            <w:vAlign w:val="center"/>
          </w:tcPr>
          <w:p w14:paraId="0A8078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来源</w:t>
            </w:r>
          </w:p>
        </w:tc>
        <w:tc>
          <w:tcPr>
            <w:tcW w:w="704" w:type="dxa"/>
            <w:tcBorders>
              <w:tl2br w:val="nil"/>
              <w:tr2bl w:val="nil"/>
            </w:tcBorders>
            <w:shd w:val="clear" w:color="auto" w:fill="auto"/>
            <w:noWrap/>
            <w:vAlign w:val="center"/>
          </w:tcPr>
          <w:p w14:paraId="126CB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1605" w:type="dxa"/>
            <w:tcBorders>
              <w:tl2br w:val="nil"/>
              <w:tr2bl w:val="nil"/>
            </w:tcBorders>
            <w:shd w:val="clear" w:color="auto" w:fill="auto"/>
            <w:noWrap/>
            <w:vAlign w:val="center"/>
          </w:tcPr>
          <w:p w14:paraId="4D3E0D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去向</w:t>
            </w:r>
          </w:p>
        </w:tc>
        <w:tc>
          <w:tcPr>
            <w:tcW w:w="331" w:type="dxa"/>
            <w:tcBorders>
              <w:tl2br w:val="nil"/>
              <w:tr2bl w:val="nil"/>
            </w:tcBorders>
            <w:shd w:val="clear" w:color="auto" w:fill="auto"/>
            <w:noWrap/>
            <w:vAlign w:val="center"/>
          </w:tcPr>
          <w:p w14:paraId="68BDF2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331" w:type="dxa"/>
            <w:tcBorders>
              <w:tl2br w:val="nil"/>
              <w:tr2bl w:val="nil"/>
            </w:tcBorders>
            <w:shd w:val="clear" w:color="auto" w:fill="auto"/>
            <w:noWrap/>
            <w:vAlign w:val="center"/>
          </w:tcPr>
          <w:p w14:paraId="0A997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来源</w:t>
            </w:r>
          </w:p>
        </w:tc>
        <w:tc>
          <w:tcPr>
            <w:tcW w:w="332" w:type="dxa"/>
            <w:tcBorders>
              <w:tl2br w:val="nil"/>
              <w:tr2bl w:val="nil"/>
            </w:tcBorders>
            <w:shd w:val="clear" w:color="auto" w:fill="auto"/>
            <w:noWrap/>
            <w:vAlign w:val="center"/>
          </w:tcPr>
          <w:p w14:paraId="1C6104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332" w:type="dxa"/>
            <w:tcBorders>
              <w:tl2br w:val="nil"/>
              <w:tr2bl w:val="nil"/>
            </w:tcBorders>
            <w:shd w:val="clear" w:color="auto" w:fill="auto"/>
            <w:noWrap/>
            <w:vAlign w:val="center"/>
          </w:tcPr>
          <w:p w14:paraId="028F9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去向</w:t>
            </w:r>
          </w:p>
        </w:tc>
      </w:tr>
      <w:tr w14:paraId="0E7648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2" w:type="dxa"/>
            <w:vMerge w:val="restart"/>
            <w:tcBorders>
              <w:tl2br w:val="nil"/>
              <w:tr2bl w:val="nil"/>
            </w:tcBorders>
            <w:shd w:val="clear" w:color="auto" w:fill="auto"/>
            <w:noWrap/>
            <w:vAlign w:val="center"/>
          </w:tcPr>
          <w:p w14:paraId="44B27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地块一</w:t>
            </w:r>
          </w:p>
        </w:tc>
        <w:tc>
          <w:tcPr>
            <w:tcW w:w="973" w:type="dxa"/>
            <w:tcBorders>
              <w:tl2br w:val="nil"/>
              <w:tr2bl w:val="nil"/>
            </w:tcBorders>
            <w:shd w:val="clear" w:color="auto" w:fill="auto"/>
            <w:noWrap/>
            <w:vAlign w:val="center"/>
          </w:tcPr>
          <w:p w14:paraId="21356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653" w:type="dxa"/>
            <w:tcBorders>
              <w:tl2br w:val="nil"/>
              <w:tr2bl w:val="nil"/>
            </w:tcBorders>
            <w:shd w:val="clear" w:color="auto" w:fill="auto"/>
            <w:noWrap/>
            <w:vAlign w:val="center"/>
          </w:tcPr>
          <w:p w14:paraId="0BC40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105.00 </w:t>
            </w:r>
          </w:p>
        </w:tc>
        <w:tc>
          <w:tcPr>
            <w:tcW w:w="973" w:type="dxa"/>
            <w:tcBorders>
              <w:tl2br w:val="nil"/>
              <w:tr2bl w:val="nil"/>
            </w:tcBorders>
            <w:shd w:val="clear" w:color="auto" w:fill="auto"/>
            <w:noWrap/>
            <w:vAlign w:val="center"/>
          </w:tcPr>
          <w:p w14:paraId="0A60E1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30" w:type="dxa"/>
            <w:tcBorders>
              <w:tl2br w:val="nil"/>
              <w:tr2bl w:val="nil"/>
            </w:tcBorders>
            <w:shd w:val="clear" w:color="auto" w:fill="auto"/>
            <w:noWrap/>
            <w:vAlign w:val="center"/>
          </w:tcPr>
          <w:p w14:paraId="03666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511" w:type="dxa"/>
            <w:tcBorders>
              <w:tl2br w:val="nil"/>
              <w:tr2bl w:val="nil"/>
            </w:tcBorders>
            <w:shd w:val="clear" w:color="auto" w:fill="auto"/>
            <w:noWrap/>
            <w:vAlign w:val="center"/>
          </w:tcPr>
          <w:p w14:paraId="53395E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5CF72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105.00 </w:t>
            </w:r>
          </w:p>
        </w:tc>
        <w:tc>
          <w:tcPr>
            <w:tcW w:w="1605" w:type="dxa"/>
            <w:tcBorders>
              <w:tl2br w:val="nil"/>
              <w:tr2bl w:val="nil"/>
            </w:tcBorders>
            <w:shd w:val="clear" w:color="auto" w:fill="auto"/>
            <w:noWrap/>
            <w:vAlign w:val="center"/>
          </w:tcPr>
          <w:p w14:paraId="29B6F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1#表土堆场</w:t>
            </w:r>
          </w:p>
        </w:tc>
        <w:tc>
          <w:tcPr>
            <w:tcW w:w="331" w:type="dxa"/>
            <w:tcBorders>
              <w:tl2br w:val="nil"/>
              <w:tr2bl w:val="nil"/>
            </w:tcBorders>
            <w:shd w:val="clear" w:color="auto" w:fill="auto"/>
            <w:noWrap/>
            <w:vAlign w:val="center"/>
          </w:tcPr>
          <w:p w14:paraId="44C2A1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6FA024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4B05B1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58E070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3A049C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22B55F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tcBorders>
              <w:tl2br w:val="nil"/>
              <w:tr2bl w:val="nil"/>
            </w:tcBorders>
            <w:shd w:val="clear" w:color="auto" w:fill="auto"/>
            <w:noWrap/>
            <w:vAlign w:val="center"/>
          </w:tcPr>
          <w:p w14:paraId="52F33C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道路及硬化区</w:t>
            </w:r>
          </w:p>
        </w:tc>
        <w:tc>
          <w:tcPr>
            <w:tcW w:w="653" w:type="dxa"/>
            <w:tcBorders>
              <w:tl2br w:val="nil"/>
              <w:tr2bl w:val="nil"/>
            </w:tcBorders>
            <w:shd w:val="clear" w:color="auto" w:fill="auto"/>
            <w:noWrap/>
            <w:vAlign w:val="center"/>
          </w:tcPr>
          <w:p w14:paraId="217458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315.00 </w:t>
            </w:r>
          </w:p>
        </w:tc>
        <w:tc>
          <w:tcPr>
            <w:tcW w:w="973" w:type="dxa"/>
            <w:tcBorders>
              <w:tl2br w:val="nil"/>
              <w:tr2bl w:val="nil"/>
            </w:tcBorders>
            <w:shd w:val="clear" w:color="auto" w:fill="auto"/>
            <w:noWrap/>
            <w:vAlign w:val="center"/>
          </w:tcPr>
          <w:p w14:paraId="1218C4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30" w:type="dxa"/>
            <w:tcBorders>
              <w:tl2br w:val="nil"/>
              <w:tr2bl w:val="nil"/>
            </w:tcBorders>
            <w:shd w:val="clear" w:color="auto" w:fill="auto"/>
            <w:noWrap/>
            <w:vAlign w:val="center"/>
          </w:tcPr>
          <w:p w14:paraId="53E281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511" w:type="dxa"/>
            <w:tcBorders>
              <w:tl2br w:val="nil"/>
              <w:tr2bl w:val="nil"/>
            </w:tcBorders>
            <w:shd w:val="clear" w:color="auto" w:fill="auto"/>
            <w:noWrap/>
            <w:vAlign w:val="center"/>
          </w:tcPr>
          <w:p w14:paraId="0C6F99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18FAD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315.00 </w:t>
            </w:r>
          </w:p>
        </w:tc>
        <w:tc>
          <w:tcPr>
            <w:tcW w:w="1605" w:type="dxa"/>
            <w:tcBorders>
              <w:tl2br w:val="nil"/>
              <w:tr2bl w:val="nil"/>
            </w:tcBorders>
            <w:shd w:val="clear" w:color="auto" w:fill="auto"/>
            <w:noWrap/>
            <w:vAlign w:val="center"/>
          </w:tcPr>
          <w:p w14:paraId="326E74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1#表土堆场</w:t>
            </w:r>
          </w:p>
        </w:tc>
        <w:tc>
          <w:tcPr>
            <w:tcW w:w="331" w:type="dxa"/>
            <w:tcBorders>
              <w:tl2br w:val="nil"/>
              <w:tr2bl w:val="nil"/>
            </w:tcBorders>
            <w:shd w:val="clear" w:color="auto" w:fill="auto"/>
            <w:noWrap/>
            <w:vAlign w:val="center"/>
          </w:tcPr>
          <w:p w14:paraId="5A04CA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003F90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615023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010DE5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64A1B9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7AA54C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tcBorders>
              <w:tl2br w:val="nil"/>
              <w:tr2bl w:val="nil"/>
            </w:tcBorders>
            <w:shd w:val="clear" w:color="auto" w:fill="auto"/>
            <w:noWrap/>
            <w:vAlign w:val="center"/>
          </w:tcPr>
          <w:p w14:paraId="63996C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w:t>
            </w:r>
          </w:p>
        </w:tc>
        <w:tc>
          <w:tcPr>
            <w:tcW w:w="653" w:type="dxa"/>
            <w:tcBorders>
              <w:tl2br w:val="nil"/>
              <w:tr2bl w:val="nil"/>
            </w:tcBorders>
            <w:shd w:val="clear" w:color="auto" w:fill="auto"/>
            <w:noWrap/>
            <w:vAlign w:val="center"/>
          </w:tcPr>
          <w:p w14:paraId="11785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135.00 </w:t>
            </w:r>
          </w:p>
        </w:tc>
        <w:tc>
          <w:tcPr>
            <w:tcW w:w="973" w:type="dxa"/>
            <w:tcBorders>
              <w:tl2br w:val="nil"/>
              <w:tr2bl w:val="nil"/>
            </w:tcBorders>
            <w:shd w:val="clear" w:color="auto" w:fill="auto"/>
            <w:noWrap/>
            <w:vAlign w:val="center"/>
          </w:tcPr>
          <w:p w14:paraId="3AF45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751.30 </w:t>
            </w:r>
          </w:p>
        </w:tc>
        <w:tc>
          <w:tcPr>
            <w:tcW w:w="730" w:type="dxa"/>
            <w:tcBorders>
              <w:tl2br w:val="nil"/>
              <w:tr2bl w:val="nil"/>
            </w:tcBorders>
            <w:shd w:val="clear" w:color="auto" w:fill="auto"/>
            <w:noWrap/>
            <w:vAlign w:val="center"/>
          </w:tcPr>
          <w:p w14:paraId="70F46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616.30 </w:t>
            </w:r>
          </w:p>
        </w:tc>
        <w:tc>
          <w:tcPr>
            <w:tcW w:w="1511" w:type="dxa"/>
            <w:tcBorders>
              <w:tl2br w:val="nil"/>
              <w:tr2bl w:val="nil"/>
            </w:tcBorders>
            <w:shd w:val="clear" w:color="auto" w:fill="auto"/>
            <w:vAlign w:val="center"/>
          </w:tcPr>
          <w:p w14:paraId="399DE4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1#表土堆场、2#表土堆场</w:t>
            </w:r>
          </w:p>
        </w:tc>
        <w:tc>
          <w:tcPr>
            <w:tcW w:w="704" w:type="dxa"/>
            <w:tcBorders>
              <w:tl2br w:val="nil"/>
              <w:tr2bl w:val="nil"/>
            </w:tcBorders>
            <w:shd w:val="clear" w:color="auto" w:fill="auto"/>
            <w:noWrap/>
            <w:vAlign w:val="center"/>
          </w:tcPr>
          <w:p w14:paraId="38643E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605" w:type="dxa"/>
            <w:tcBorders>
              <w:tl2br w:val="nil"/>
              <w:tr2bl w:val="nil"/>
            </w:tcBorders>
            <w:shd w:val="clear" w:color="auto" w:fill="auto"/>
            <w:noWrap/>
            <w:vAlign w:val="center"/>
          </w:tcPr>
          <w:p w14:paraId="462BEA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292FEE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166461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0A0A51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00DA9A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2F5C6A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2D09F9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tcBorders>
              <w:tl2br w:val="nil"/>
              <w:tr2bl w:val="nil"/>
            </w:tcBorders>
            <w:shd w:val="clear" w:color="auto" w:fill="auto"/>
            <w:noWrap/>
            <w:vAlign w:val="center"/>
          </w:tcPr>
          <w:p w14:paraId="1FB85A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653" w:type="dxa"/>
            <w:tcBorders>
              <w:tl2br w:val="nil"/>
              <w:tr2bl w:val="nil"/>
            </w:tcBorders>
            <w:shd w:val="clear" w:color="auto" w:fill="auto"/>
            <w:noWrap/>
            <w:vAlign w:val="center"/>
          </w:tcPr>
          <w:p w14:paraId="09B775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555.00 </w:t>
            </w:r>
          </w:p>
        </w:tc>
        <w:tc>
          <w:tcPr>
            <w:tcW w:w="973" w:type="dxa"/>
            <w:tcBorders>
              <w:tl2br w:val="nil"/>
              <w:tr2bl w:val="nil"/>
            </w:tcBorders>
            <w:shd w:val="clear" w:color="auto" w:fill="auto"/>
            <w:noWrap/>
            <w:vAlign w:val="center"/>
          </w:tcPr>
          <w:p w14:paraId="1030BA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751.30 </w:t>
            </w:r>
          </w:p>
        </w:tc>
        <w:tc>
          <w:tcPr>
            <w:tcW w:w="730" w:type="dxa"/>
            <w:tcBorders>
              <w:tl2br w:val="nil"/>
              <w:tr2bl w:val="nil"/>
            </w:tcBorders>
            <w:shd w:val="clear" w:color="auto" w:fill="auto"/>
            <w:noWrap/>
            <w:vAlign w:val="center"/>
          </w:tcPr>
          <w:p w14:paraId="0982F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616.30 </w:t>
            </w:r>
          </w:p>
        </w:tc>
        <w:tc>
          <w:tcPr>
            <w:tcW w:w="1511" w:type="dxa"/>
            <w:tcBorders>
              <w:tl2br w:val="nil"/>
              <w:tr2bl w:val="nil"/>
            </w:tcBorders>
            <w:shd w:val="clear" w:color="auto" w:fill="auto"/>
            <w:noWrap/>
            <w:vAlign w:val="center"/>
          </w:tcPr>
          <w:p w14:paraId="681D8C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5DFB26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420.00 </w:t>
            </w:r>
          </w:p>
        </w:tc>
        <w:tc>
          <w:tcPr>
            <w:tcW w:w="1605" w:type="dxa"/>
            <w:tcBorders>
              <w:tl2br w:val="nil"/>
              <w:tr2bl w:val="nil"/>
            </w:tcBorders>
            <w:shd w:val="clear" w:color="auto" w:fill="auto"/>
            <w:noWrap/>
            <w:vAlign w:val="center"/>
          </w:tcPr>
          <w:p w14:paraId="1D8679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32FEE6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4FCCD3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535028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563C26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07EB7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2" w:type="dxa"/>
            <w:vMerge w:val="restart"/>
            <w:tcBorders>
              <w:tl2br w:val="nil"/>
              <w:tr2bl w:val="nil"/>
            </w:tcBorders>
            <w:shd w:val="clear" w:color="auto" w:fill="auto"/>
            <w:noWrap/>
            <w:vAlign w:val="center"/>
          </w:tcPr>
          <w:p w14:paraId="094014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地块二</w:t>
            </w:r>
          </w:p>
        </w:tc>
        <w:tc>
          <w:tcPr>
            <w:tcW w:w="973" w:type="dxa"/>
            <w:tcBorders>
              <w:tl2br w:val="nil"/>
              <w:tr2bl w:val="nil"/>
            </w:tcBorders>
            <w:shd w:val="clear" w:color="auto" w:fill="auto"/>
            <w:noWrap/>
            <w:vAlign w:val="center"/>
          </w:tcPr>
          <w:p w14:paraId="11B99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653" w:type="dxa"/>
            <w:tcBorders>
              <w:tl2br w:val="nil"/>
              <w:tr2bl w:val="nil"/>
            </w:tcBorders>
            <w:shd w:val="clear" w:color="auto" w:fill="auto"/>
            <w:noWrap/>
            <w:vAlign w:val="center"/>
          </w:tcPr>
          <w:p w14:paraId="1B24EC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855.00 </w:t>
            </w:r>
          </w:p>
        </w:tc>
        <w:tc>
          <w:tcPr>
            <w:tcW w:w="973" w:type="dxa"/>
            <w:tcBorders>
              <w:tl2br w:val="nil"/>
              <w:tr2bl w:val="nil"/>
            </w:tcBorders>
            <w:shd w:val="clear" w:color="auto" w:fill="auto"/>
            <w:noWrap/>
            <w:vAlign w:val="center"/>
          </w:tcPr>
          <w:p w14:paraId="7ECA8D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30" w:type="dxa"/>
            <w:tcBorders>
              <w:tl2br w:val="nil"/>
              <w:tr2bl w:val="nil"/>
            </w:tcBorders>
            <w:shd w:val="clear" w:color="auto" w:fill="auto"/>
            <w:noWrap/>
            <w:vAlign w:val="center"/>
          </w:tcPr>
          <w:p w14:paraId="684228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511" w:type="dxa"/>
            <w:tcBorders>
              <w:tl2br w:val="nil"/>
              <w:tr2bl w:val="nil"/>
            </w:tcBorders>
            <w:shd w:val="clear" w:color="auto" w:fill="auto"/>
            <w:noWrap/>
            <w:vAlign w:val="center"/>
          </w:tcPr>
          <w:p w14:paraId="33BB15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41BAC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855.00 </w:t>
            </w:r>
          </w:p>
        </w:tc>
        <w:tc>
          <w:tcPr>
            <w:tcW w:w="1605" w:type="dxa"/>
            <w:tcBorders>
              <w:tl2br w:val="nil"/>
              <w:tr2bl w:val="nil"/>
            </w:tcBorders>
            <w:shd w:val="clear" w:color="auto" w:fill="auto"/>
            <w:noWrap/>
            <w:vAlign w:val="center"/>
          </w:tcPr>
          <w:p w14:paraId="362B8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2#表土堆场、3#表土堆场</w:t>
            </w:r>
          </w:p>
        </w:tc>
        <w:tc>
          <w:tcPr>
            <w:tcW w:w="331" w:type="dxa"/>
            <w:tcBorders>
              <w:tl2br w:val="nil"/>
              <w:tr2bl w:val="nil"/>
            </w:tcBorders>
            <w:shd w:val="clear" w:color="auto" w:fill="auto"/>
            <w:noWrap/>
            <w:vAlign w:val="center"/>
          </w:tcPr>
          <w:p w14:paraId="1BA962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790882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351BF1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5AECE0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59F42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4014A2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tcBorders>
              <w:tl2br w:val="nil"/>
              <w:tr2bl w:val="nil"/>
            </w:tcBorders>
            <w:shd w:val="clear" w:color="auto" w:fill="auto"/>
            <w:noWrap/>
            <w:vAlign w:val="center"/>
          </w:tcPr>
          <w:p w14:paraId="0D87BA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道路及硬化区</w:t>
            </w:r>
          </w:p>
        </w:tc>
        <w:tc>
          <w:tcPr>
            <w:tcW w:w="653" w:type="dxa"/>
            <w:tcBorders>
              <w:tl2br w:val="nil"/>
              <w:tr2bl w:val="nil"/>
            </w:tcBorders>
            <w:shd w:val="clear" w:color="auto" w:fill="auto"/>
            <w:noWrap/>
            <w:vAlign w:val="center"/>
          </w:tcPr>
          <w:p w14:paraId="434995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300.00 </w:t>
            </w:r>
          </w:p>
        </w:tc>
        <w:tc>
          <w:tcPr>
            <w:tcW w:w="973" w:type="dxa"/>
            <w:tcBorders>
              <w:tl2br w:val="nil"/>
              <w:tr2bl w:val="nil"/>
            </w:tcBorders>
            <w:shd w:val="clear" w:color="auto" w:fill="auto"/>
            <w:noWrap/>
            <w:vAlign w:val="center"/>
          </w:tcPr>
          <w:p w14:paraId="15AB5D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30" w:type="dxa"/>
            <w:tcBorders>
              <w:tl2br w:val="nil"/>
              <w:tr2bl w:val="nil"/>
            </w:tcBorders>
            <w:shd w:val="clear" w:color="auto" w:fill="auto"/>
            <w:noWrap/>
            <w:vAlign w:val="center"/>
          </w:tcPr>
          <w:p w14:paraId="25FC71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511" w:type="dxa"/>
            <w:tcBorders>
              <w:tl2br w:val="nil"/>
              <w:tr2bl w:val="nil"/>
            </w:tcBorders>
            <w:shd w:val="clear" w:color="auto" w:fill="auto"/>
            <w:noWrap/>
            <w:vAlign w:val="center"/>
          </w:tcPr>
          <w:p w14:paraId="539B71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1D2B0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300.00 </w:t>
            </w:r>
          </w:p>
        </w:tc>
        <w:tc>
          <w:tcPr>
            <w:tcW w:w="1605" w:type="dxa"/>
            <w:tcBorders>
              <w:tl2br w:val="nil"/>
              <w:tr2bl w:val="nil"/>
            </w:tcBorders>
            <w:shd w:val="clear" w:color="auto" w:fill="auto"/>
            <w:noWrap/>
            <w:vAlign w:val="center"/>
          </w:tcPr>
          <w:p w14:paraId="5CA66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2#表土堆场、3#表土堆场</w:t>
            </w:r>
          </w:p>
        </w:tc>
        <w:tc>
          <w:tcPr>
            <w:tcW w:w="331" w:type="dxa"/>
            <w:tcBorders>
              <w:tl2br w:val="nil"/>
              <w:tr2bl w:val="nil"/>
            </w:tcBorders>
            <w:shd w:val="clear" w:color="auto" w:fill="auto"/>
            <w:noWrap/>
            <w:vAlign w:val="center"/>
          </w:tcPr>
          <w:p w14:paraId="4BF5C1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0FA68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627F69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233E3C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3648D6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34CD39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tcBorders>
              <w:tl2br w:val="nil"/>
              <w:tr2bl w:val="nil"/>
            </w:tcBorders>
            <w:shd w:val="clear" w:color="auto" w:fill="auto"/>
            <w:noWrap/>
            <w:vAlign w:val="center"/>
          </w:tcPr>
          <w:p w14:paraId="7486BB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w:t>
            </w:r>
          </w:p>
        </w:tc>
        <w:tc>
          <w:tcPr>
            <w:tcW w:w="653" w:type="dxa"/>
            <w:tcBorders>
              <w:tl2br w:val="nil"/>
              <w:tr2bl w:val="nil"/>
            </w:tcBorders>
            <w:shd w:val="clear" w:color="auto" w:fill="auto"/>
            <w:noWrap/>
            <w:vAlign w:val="center"/>
          </w:tcPr>
          <w:p w14:paraId="4449BA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210.00 </w:t>
            </w:r>
          </w:p>
        </w:tc>
        <w:tc>
          <w:tcPr>
            <w:tcW w:w="973" w:type="dxa"/>
            <w:tcBorders>
              <w:tl2br w:val="nil"/>
              <w:tr2bl w:val="nil"/>
            </w:tcBorders>
            <w:shd w:val="clear" w:color="auto" w:fill="auto"/>
            <w:noWrap/>
            <w:vAlign w:val="center"/>
          </w:tcPr>
          <w:p w14:paraId="48D8C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1168.70 </w:t>
            </w:r>
          </w:p>
        </w:tc>
        <w:tc>
          <w:tcPr>
            <w:tcW w:w="730" w:type="dxa"/>
            <w:tcBorders>
              <w:tl2br w:val="nil"/>
              <w:tr2bl w:val="nil"/>
            </w:tcBorders>
            <w:shd w:val="clear" w:color="auto" w:fill="auto"/>
            <w:noWrap/>
            <w:vAlign w:val="center"/>
          </w:tcPr>
          <w:p w14:paraId="79420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958.70 </w:t>
            </w:r>
          </w:p>
        </w:tc>
        <w:tc>
          <w:tcPr>
            <w:tcW w:w="1511" w:type="dxa"/>
            <w:tcBorders>
              <w:tl2br w:val="nil"/>
              <w:tr2bl w:val="nil"/>
            </w:tcBorders>
            <w:shd w:val="clear" w:color="auto" w:fill="auto"/>
            <w:noWrap/>
            <w:vAlign w:val="center"/>
          </w:tcPr>
          <w:p w14:paraId="67731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2#表土堆场、3#表土堆场</w:t>
            </w:r>
          </w:p>
        </w:tc>
        <w:tc>
          <w:tcPr>
            <w:tcW w:w="704" w:type="dxa"/>
            <w:tcBorders>
              <w:tl2br w:val="nil"/>
              <w:tr2bl w:val="nil"/>
            </w:tcBorders>
            <w:shd w:val="clear" w:color="auto" w:fill="auto"/>
            <w:noWrap/>
            <w:vAlign w:val="center"/>
          </w:tcPr>
          <w:p w14:paraId="75E8D0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605" w:type="dxa"/>
            <w:tcBorders>
              <w:tl2br w:val="nil"/>
              <w:tr2bl w:val="nil"/>
            </w:tcBorders>
            <w:shd w:val="clear" w:color="auto" w:fill="auto"/>
            <w:noWrap/>
            <w:vAlign w:val="center"/>
          </w:tcPr>
          <w:p w14:paraId="1BFE76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2A2AB4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1EA29B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704637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3D3EEF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75508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492" w:type="dxa"/>
            <w:vMerge w:val="continue"/>
            <w:tcBorders>
              <w:tl2br w:val="nil"/>
              <w:tr2bl w:val="nil"/>
            </w:tcBorders>
            <w:shd w:val="clear" w:color="auto" w:fill="auto"/>
            <w:noWrap/>
            <w:vAlign w:val="center"/>
          </w:tcPr>
          <w:p w14:paraId="52522B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73" w:type="dxa"/>
            <w:tcBorders>
              <w:tl2br w:val="nil"/>
              <w:tr2bl w:val="nil"/>
            </w:tcBorders>
            <w:shd w:val="clear" w:color="auto" w:fill="auto"/>
            <w:noWrap/>
            <w:vAlign w:val="center"/>
          </w:tcPr>
          <w:p w14:paraId="6B1C6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653" w:type="dxa"/>
            <w:tcBorders>
              <w:tl2br w:val="nil"/>
              <w:tr2bl w:val="nil"/>
            </w:tcBorders>
            <w:shd w:val="clear" w:color="auto" w:fill="auto"/>
            <w:noWrap/>
            <w:vAlign w:val="center"/>
          </w:tcPr>
          <w:p w14:paraId="3E22B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1365.00 </w:t>
            </w:r>
          </w:p>
        </w:tc>
        <w:tc>
          <w:tcPr>
            <w:tcW w:w="973" w:type="dxa"/>
            <w:tcBorders>
              <w:tl2br w:val="nil"/>
              <w:tr2bl w:val="nil"/>
            </w:tcBorders>
            <w:shd w:val="clear" w:color="auto" w:fill="auto"/>
            <w:noWrap/>
            <w:vAlign w:val="center"/>
          </w:tcPr>
          <w:p w14:paraId="628CB3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1168.70 </w:t>
            </w:r>
          </w:p>
        </w:tc>
        <w:tc>
          <w:tcPr>
            <w:tcW w:w="730" w:type="dxa"/>
            <w:tcBorders>
              <w:tl2br w:val="nil"/>
              <w:tr2bl w:val="nil"/>
            </w:tcBorders>
            <w:shd w:val="clear" w:color="auto" w:fill="auto"/>
            <w:noWrap/>
            <w:vAlign w:val="center"/>
          </w:tcPr>
          <w:p w14:paraId="11B969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958.70 </w:t>
            </w:r>
          </w:p>
        </w:tc>
        <w:tc>
          <w:tcPr>
            <w:tcW w:w="1511" w:type="dxa"/>
            <w:tcBorders>
              <w:tl2br w:val="nil"/>
              <w:tr2bl w:val="nil"/>
            </w:tcBorders>
            <w:shd w:val="clear" w:color="auto" w:fill="auto"/>
            <w:noWrap/>
            <w:vAlign w:val="center"/>
          </w:tcPr>
          <w:p w14:paraId="4008C5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01E63F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1155.00 </w:t>
            </w:r>
          </w:p>
        </w:tc>
        <w:tc>
          <w:tcPr>
            <w:tcW w:w="1605" w:type="dxa"/>
            <w:tcBorders>
              <w:tl2br w:val="nil"/>
              <w:tr2bl w:val="nil"/>
            </w:tcBorders>
            <w:shd w:val="clear" w:color="auto" w:fill="auto"/>
            <w:noWrap/>
            <w:vAlign w:val="center"/>
          </w:tcPr>
          <w:p w14:paraId="2EFFD3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365F61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44DCA6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6B7B4F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6F3A5B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4FD12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465" w:type="dxa"/>
            <w:gridSpan w:val="2"/>
            <w:tcBorders>
              <w:tl2br w:val="nil"/>
              <w:tr2bl w:val="nil"/>
            </w:tcBorders>
            <w:shd w:val="clear" w:color="auto" w:fill="auto"/>
            <w:noWrap/>
            <w:vAlign w:val="center"/>
          </w:tcPr>
          <w:p w14:paraId="29FF4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653" w:type="dxa"/>
            <w:tcBorders>
              <w:tl2br w:val="nil"/>
              <w:tr2bl w:val="nil"/>
            </w:tcBorders>
            <w:shd w:val="clear" w:color="auto" w:fill="auto"/>
            <w:noWrap/>
            <w:vAlign w:val="center"/>
          </w:tcPr>
          <w:p w14:paraId="36689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1920.00 </w:t>
            </w:r>
          </w:p>
        </w:tc>
        <w:tc>
          <w:tcPr>
            <w:tcW w:w="973" w:type="dxa"/>
            <w:tcBorders>
              <w:tl2br w:val="nil"/>
              <w:tr2bl w:val="nil"/>
            </w:tcBorders>
            <w:shd w:val="clear" w:color="auto" w:fill="auto"/>
            <w:noWrap/>
            <w:vAlign w:val="center"/>
          </w:tcPr>
          <w:p w14:paraId="123E13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1920.00 </w:t>
            </w:r>
          </w:p>
        </w:tc>
        <w:tc>
          <w:tcPr>
            <w:tcW w:w="730" w:type="dxa"/>
            <w:tcBorders>
              <w:tl2br w:val="nil"/>
              <w:tr2bl w:val="nil"/>
            </w:tcBorders>
            <w:shd w:val="clear" w:color="auto" w:fill="auto"/>
            <w:noWrap/>
            <w:vAlign w:val="center"/>
          </w:tcPr>
          <w:p w14:paraId="003B8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1575.00 </w:t>
            </w:r>
          </w:p>
        </w:tc>
        <w:tc>
          <w:tcPr>
            <w:tcW w:w="1511" w:type="dxa"/>
            <w:tcBorders>
              <w:tl2br w:val="nil"/>
              <w:tr2bl w:val="nil"/>
            </w:tcBorders>
            <w:shd w:val="clear" w:color="auto" w:fill="auto"/>
            <w:noWrap/>
            <w:vAlign w:val="center"/>
          </w:tcPr>
          <w:p w14:paraId="11F83B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04" w:type="dxa"/>
            <w:tcBorders>
              <w:tl2br w:val="nil"/>
              <w:tr2bl w:val="nil"/>
            </w:tcBorders>
            <w:shd w:val="clear" w:color="auto" w:fill="auto"/>
            <w:noWrap/>
            <w:vAlign w:val="center"/>
          </w:tcPr>
          <w:p w14:paraId="33B3A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1575.00 </w:t>
            </w:r>
          </w:p>
        </w:tc>
        <w:tc>
          <w:tcPr>
            <w:tcW w:w="1605" w:type="dxa"/>
            <w:tcBorders>
              <w:tl2br w:val="nil"/>
              <w:tr2bl w:val="nil"/>
            </w:tcBorders>
            <w:shd w:val="clear" w:color="auto" w:fill="auto"/>
            <w:noWrap/>
            <w:vAlign w:val="center"/>
          </w:tcPr>
          <w:p w14:paraId="2A404B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058CE5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1" w:type="dxa"/>
            <w:tcBorders>
              <w:tl2br w:val="nil"/>
              <w:tr2bl w:val="nil"/>
            </w:tcBorders>
            <w:shd w:val="clear" w:color="auto" w:fill="auto"/>
            <w:noWrap/>
            <w:vAlign w:val="center"/>
          </w:tcPr>
          <w:p w14:paraId="6185DC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7B563C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32" w:type="dxa"/>
            <w:tcBorders>
              <w:tl2br w:val="nil"/>
              <w:tr2bl w:val="nil"/>
            </w:tcBorders>
            <w:shd w:val="clear" w:color="auto" w:fill="auto"/>
            <w:noWrap/>
            <w:vAlign w:val="center"/>
          </w:tcPr>
          <w:p w14:paraId="3F4880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bl>
    <w:p w14:paraId="2B6CCDEB">
      <w:pPr>
        <w:pStyle w:val="5"/>
        <w:rPr>
          <w:rFonts w:hint="default" w:ascii="Times New Roman" w:hAnsi="Times New Roman" w:cs="Times New Roman"/>
        </w:rPr>
      </w:pPr>
      <w:r>
        <w:rPr>
          <w:rFonts w:hint="eastAsia" w:ascii="Times New Roman" w:hAnsi="Times New Roman" w:cs="Times New Roman"/>
          <w:lang w:val="en-US" w:eastAsia="zh-CN"/>
        </w:rPr>
        <w:t>表土堆场规划</w:t>
      </w:r>
    </w:p>
    <w:p w14:paraId="4B404F7A">
      <w:pPr>
        <w:ind w:firstLine="480"/>
        <w:rPr>
          <w:color w:val="auto"/>
        </w:rPr>
      </w:pPr>
      <w:r>
        <w:rPr>
          <w:rFonts w:hint="default" w:ascii="Times New Roman" w:hAnsi="Times New Roman" w:cs="Times New Roman"/>
        </w:rPr>
        <w:t>本项目</w:t>
      </w:r>
      <w:r>
        <w:rPr>
          <w:rFonts w:hint="eastAsia" w:cs="Times New Roman"/>
          <w:lang w:val="en-US" w:eastAsia="zh-CN"/>
        </w:rPr>
        <w:t>地块一将</w:t>
      </w:r>
      <w:r>
        <w:rPr>
          <w:rFonts w:hint="default" w:ascii="Times New Roman" w:hAnsi="Times New Roman" w:cs="Times New Roman"/>
        </w:rPr>
        <w:t>剥离表土量</w:t>
      </w:r>
      <w:r>
        <w:rPr>
          <w:rFonts w:hint="eastAsia" w:cs="Times New Roman"/>
          <w:lang w:val="en-US" w:eastAsia="zh-CN"/>
        </w:rPr>
        <w:t>555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eastAsia="zh-CN"/>
        </w:rPr>
        <w:t>；</w:t>
      </w:r>
      <w:r>
        <w:rPr>
          <w:rFonts w:hint="eastAsia" w:cs="Times New Roman"/>
          <w:lang w:val="en-US" w:eastAsia="zh-CN"/>
        </w:rPr>
        <w:t>地块二已</w:t>
      </w:r>
      <w:r>
        <w:rPr>
          <w:rFonts w:hint="default" w:ascii="Times New Roman" w:hAnsi="Times New Roman" w:cs="Times New Roman"/>
        </w:rPr>
        <w:t>剥离表土量</w:t>
      </w:r>
      <w:r>
        <w:rPr>
          <w:rFonts w:hint="eastAsia" w:cs="Times New Roman"/>
          <w:lang w:val="en-US" w:eastAsia="zh-CN"/>
        </w:rPr>
        <w:t>1365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eastAsia="zh-CN"/>
        </w:rPr>
        <w:t>，</w:t>
      </w:r>
      <w:r>
        <w:rPr>
          <w:rFonts w:hint="eastAsia" w:cs="Times New Roman"/>
          <w:lang w:val="en-US" w:eastAsia="zh-CN"/>
        </w:rPr>
        <w:t>地块二已剥离表土堆放在场地西侧，堆放零乱，</w:t>
      </w:r>
      <w:r>
        <w:rPr>
          <w:rFonts w:hint="eastAsia" w:cs="Times New Roman"/>
          <w:color w:val="auto"/>
          <w:lang w:val="en-US" w:eastAsia="zh-CN"/>
        </w:rPr>
        <w:t>为更好的保护表土资源，在绿化区</w:t>
      </w:r>
      <w:r>
        <w:rPr>
          <w:rFonts w:hint="eastAsia" w:ascii="Times New Roman" w:hAnsi="Times New Roman" w:cs="Times New Roman"/>
          <w:color w:val="auto"/>
          <w:lang w:val="en-US" w:eastAsia="zh-CN"/>
        </w:rPr>
        <w:t>规划建设</w:t>
      </w:r>
      <w:r>
        <w:rPr>
          <w:rFonts w:hint="eastAsia" w:cs="Times New Roman"/>
          <w:color w:val="auto"/>
          <w:lang w:val="en-US" w:eastAsia="zh-CN"/>
        </w:rPr>
        <w:t>3</w:t>
      </w:r>
      <w:r>
        <w:rPr>
          <w:rFonts w:hint="eastAsia" w:ascii="Times New Roman" w:hAnsi="Times New Roman" w:cs="Times New Roman"/>
          <w:color w:val="auto"/>
          <w:lang w:val="en-US" w:eastAsia="zh-CN"/>
        </w:rPr>
        <w:t>座临时表土堆场，</w:t>
      </w:r>
      <w:r>
        <w:rPr>
          <w:rFonts w:hint="eastAsia" w:cs="Times New Roman"/>
          <w:color w:val="auto"/>
          <w:lang w:val="en-US" w:eastAsia="zh-CN"/>
        </w:rPr>
        <w:t>1#表土堆场位于地块一东北侧绿化区，2#表土堆场位于地块二西北侧绿化区，3#表土堆场位于地块二北侧绿化区。规划</w:t>
      </w:r>
      <w:r>
        <w:rPr>
          <w:rFonts w:ascii="Times New Roman" w:hAnsi="Times New Roman" w:cs="Times New Roman"/>
          <w:color w:val="auto"/>
        </w:rPr>
        <w:t>表土堆场占地面积为</w:t>
      </w:r>
      <w:r>
        <w:rPr>
          <w:rFonts w:hint="eastAsia" w:cs="Times New Roman"/>
          <w:color w:val="auto"/>
          <w:lang w:val="en-US" w:eastAsia="zh-CN"/>
        </w:rPr>
        <w:t>1354</w:t>
      </w:r>
      <w:r>
        <w:rPr>
          <w:rFonts w:ascii="Times New Roman" w:hAnsi="Times New Roman" w:cs="Times New Roman"/>
          <w:color w:val="auto"/>
        </w:rPr>
        <w:t>m</w:t>
      </w:r>
      <w:r>
        <w:rPr>
          <w:rFonts w:ascii="Times New Roman" w:hAnsi="Times New Roman" w:cs="Times New Roman"/>
          <w:color w:val="auto"/>
          <w:vertAlign w:val="superscript"/>
        </w:rPr>
        <w:t>2</w:t>
      </w:r>
      <w:r>
        <w:rPr>
          <w:rFonts w:ascii="Times New Roman" w:hAnsi="Times New Roman" w:cs="Times New Roman"/>
          <w:color w:val="auto"/>
        </w:rPr>
        <w:t>，堆土高</w:t>
      </w:r>
      <w:r>
        <w:rPr>
          <w:rFonts w:hint="eastAsia" w:cs="Times New Roman"/>
          <w:color w:val="auto"/>
          <w:lang w:val="en-US" w:eastAsia="zh-CN"/>
        </w:rPr>
        <w:t>2.0</w:t>
      </w:r>
      <w:r>
        <w:rPr>
          <w:rFonts w:ascii="Times New Roman" w:hAnsi="Times New Roman" w:cs="Times New Roman"/>
          <w:color w:val="auto"/>
        </w:rPr>
        <w:t>m，设计堆土量为</w:t>
      </w:r>
      <w:r>
        <w:rPr>
          <w:rFonts w:hint="eastAsia" w:cs="Times New Roman"/>
          <w:color w:val="auto"/>
          <w:lang w:val="en-US" w:eastAsia="zh-CN"/>
        </w:rPr>
        <w:t>1920.00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w:t>
      </w:r>
      <w:r>
        <w:rPr>
          <w:rFonts w:hint="eastAsia" w:cs="Times New Roman"/>
          <w:color w:val="auto"/>
          <w:lang w:val="en-US" w:eastAsia="zh-CN"/>
        </w:rPr>
        <w:t>自然方），</w:t>
      </w:r>
      <w:r>
        <w:rPr>
          <w:rFonts w:ascii="Times New Roman" w:hAnsi="Times New Roman" w:cs="Times New Roman"/>
          <w:color w:val="auto"/>
        </w:rPr>
        <w:t>松方</w:t>
      </w:r>
      <w:r>
        <w:rPr>
          <w:rFonts w:hint="eastAsia" w:cs="Times New Roman"/>
          <w:color w:val="auto"/>
          <w:lang w:val="en-US" w:eastAsia="zh-CN"/>
        </w:rPr>
        <w:t>2303.00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cs="Times New Roman"/>
          <w:color w:val="auto"/>
          <w:lang w:eastAsia="zh-CN"/>
        </w:rPr>
        <w:t>（</w:t>
      </w:r>
      <w:r>
        <w:rPr>
          <w:rFonts w:ascii="Times New Roman" w:hAnsi="Times New Roman" w:cs="Times New Roman"/>
          <w:color w:val="auto"/>
        </w:rPr>
        <w:t>松方</w:t>
      </w:r>
      <w:r>
        <w:rPr>
          <w:rFonts w:hint="eastAsia" w:cs="Times New Roman"/>
          <w:color w:val="auto"/>
          <w:lang w:val="en-US" w:eastAsia="zh-CN"/>
        </w:rPr>
        <w:t>系数取1.2</w:t>
      </w:r>
      <w:r>
        <w:rPr>
          <w:rFonts w:ascii="Times New Roman" w:hAnsi="Times New Roman" w:cs="Times New Roman"/>
          <w:color w:val="auto"/>
        </w:rPr>
        <w:t>），容量</w:t>
      </w:r>
      <w:r>
        <w:rPr>
          <w:rFonts w:hint="eastAsia" w:cs="Times New Roman"/>
          <w:color w:val="auto"/>
          <w:lang w:val="en-US" w:eastAsia="zh-CN"/>
        </w:rPr>
        <w:t>2383</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cs="Times New Roman"/>
          <w:color w:val="auto"/>
          <w:lang w:eastAsia="zh-CN"/>
        </w:rPr>
        <w:t>，</w:t>
      </w:r>
      <w:r>
        <w:rPr>
          <w:rFonts w:ascii="Times New Roman" w:hAnsi="Times New Roman" w:cs="Times New Roman"/>
          <w:color w:val="auto"/>
        </w:rPr>
        <w:t>满足设计要求。</w:t>
      </w:r>
      <w:r>
        <w:rPr>
          <w:rFonts w:hint="eastAsia"/>
          <w:color w:val="auto"/>
        </w:rPr>
        <w:t>表土堆场特性详见表2</w:t>
      </w:r>
      <w:r>
        <w:rPr>
          <w:color w:val="auto"/>
        </w:rPr>
        <w:t>-</w:t>
      </w:r>
      <w:r>
        <w:rPr>
          <w:rFonts w:hint="eastAsia"/>
          <w:color w:val="auto"/>
          <w:lang w:val="en-US" w:eastAsia="zh-CN"/>
        </w:rPr>
        <w:t>6</w:t>
      </w:r>
      <w:r>
        <w:rPr>
          <w:rFonts w:hint="eastAsia"/>
          <w:color w:val="auto"/>
        </w:rPr>
        <w:t>。</w:t>
      </w:r>
    </w:p>
    <w:p w14:paraId="658F052A">
      <w:pPr>
        <w:pStyle w:val="12"/>
        <w:ind w:firstLine="0" w:firstLineChars="0"/>
        <w:jc w:val="left"/>
        <w:rPr>
          <w:rFonts w:hint="default" w:ascii="Times New Roman" w:hAnsi="Times New Roman" w:cs="Times New Roman"/>
          <w:color w:val="auto"/>
        </w:rPr>
      </w:pPr>
      <w:r>
        <w:rPr>
          <w:rFonts w:hint="default" w:ascii="Times New Roman" w:hAnsi="Times New Roman" w:cs="Times New Roman"/>
          <w:color w:val="auto"/>
        </w:rPr>
        <w:t>表2-</w:t>
      </w:r>
      <w:r>
        <w:rPr>
          <w:rFonts w:hint="eastAsia" w:ascii="Times New Roman" w:hAnsi="Times New Roman" w:cs="Times New Roman"/>
          <w:color w:val="auto"/>
          <w:lang w:val="en-US" w:eastAsia="zh-CN"/>
        </w:rPr>
        <w:t>6</w:t>
      </w:r>
      <w:r>
        <w:rPr>
          <w:rFonts w:hint="default" w:ascii="Times New Roman" w:hAnsi="Times New Roman" w:cs="Times New Roman"/>
          <w:color w:val="auto"/>
        </w:rPr>
        <w:t xml:space="preserve">                          临时</w:t>
      </w:r>
      <w:r>
        <w:rPr>
          <w:rFonts w:hint="eastAsia" w:ascii="Times New Roman" w:hAnsi="Times New Roman" w:cs="Times New Roman"/>
          <w:color w:val="auto"/>
        </w:rPr>
        <w:t>表土堆场</w:t>
      </w:r>
      <w:r>
        <w:rPr>
          <w:rFonts w:hint="default" w:ascii="Times New Roman" w:hAnsi="Times New Roman" w:cs="Times New Roman"/>
          <w:color w:val="auto"/>
        </w:rPr>
        <w:t>特性表</w:t>
      </w:r>
    </w:p>
    <w:tbl>
      <w:tblPr>
        <w:tblStyle w:val="27"/>
        <w:tblW w:w="917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98"/>
        <w:gridCol w:w="855"/>
        <w:gridCol w:w="844"/>
        <w:gridCol w:w="612"/>
        <w:gridCol w:w="911"/>
        <w:gridCol w:w="473"/>
        <w:gridCol w:w="831"/>
        <w:gridCol w:w="831"/>
        <w:gridCol w:w="600"/>
        <w:gridCol w:w="657"/>
        <w:gridCol w:w="505"/>
        <w:gridCol w:w="626"/>
        <w:gridCol w:w="830"/>
      </w:tblGrid>
      <w:tr w14:paraId="571A4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8" w:type="dxa"/>
            <w:vMerge w:val="restart"/>
            <w:tcBorders>
              <w:tl2br w:val="nil"/>
              <w:tr2bl w:val="nil"/>
            </w:tcBorders>
            <w:shd w:val="clear" w:color="auto" w:fill="auto"/>
            <w:noWrap/>
            <w:vAlign w:val="center"/>
          </w:tcPr>
          <w:p w14:paraId="0AE66C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w:t>
            </w:r>
          </w:p>
        </w:tc>
        <w:tc>
          <w:tcPr>
            <w:tcW w:w="855" w:type="dxa"/>
            <w:vMerge w:val="restart"/>
            <w:tcBorders>
              <w:tl2br w:val="nil"/>
              <w:tr2bl w:val="nil"/>
            </w:tcBorders>
            <w:shd w:val="clear" w:color="auto" w:fill="auto"/>
            <w:noWrap/>
            <w:vAlign w:val="center"/>
          </w:tcPr>
          <w:p w14:paraId="2E28E2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表土堆场</w:t>
            </w:r>
          </w:p>
        </w:tc>
        <w:tc>
          <w:tcPr>
            <w:tcW w:w="844" w:type="dxa"/>
            <w:vMerge w:val="restart"/>
            <w:tcBorders>
              <w:tl2br w:val="nil"/>
              <w:tr2bl w:val="nil"/>
            </w:tcBorders>
            <w:shd w:val="clear" w:color="auto" w:fill="auto"/>
            <w:noWrap/>
            <w:vAlign w:val="center"/>
          </w:tcPr>
          <w:p w14:paraId="545F3F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位置</w:t>
            </w:r>
          </w:p>
        </w:tc>
        <w:tc>
          <w:tcPr>
            <w:tcW w:w="612" w:type="dxa"/>
            <w:tcBorders>
              <w:tl2br w:val="nil"/>
              <w:tr2bl w:val="nil"/>
            </w:tcBorders>
            <w:shd w:val="clear" w:color="auto" w:fill="auto"/>
            <w:noWrap/>
            <w:vAlign w:val="center"/>
          </w:tcPr>
          <w:p w14:paraId="27AEDB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占地</w:t>
            </w:r>
          </w:p>
        </w:tc>
        <w:tc>
          <w:tcPr>
            <w:tcW w:w="911" w:type="dxa"/>
            <w:tcBorders>
              <w:tl2br w:val="nil"/>
              <w:tr2bl w:val="nil"/>
            </w:tcBorders>
            <w:shd w:val="clear" w:color="auto" w:fill="auto"/>
            <w:noWrap/>
            <w:vAlign w:val="center"/>
          </w:tcPr>
          <w:p w14:paraId="61940C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堆存量</w:t>
            </w:r>
          </w:p>
        </w:tc>
        <w:tc>
          <w:tcPr>
            <w:tcW w:w="473" w:type="dxa"/>
            <w:vMerge w:val="restart"/>
            <w:tcBorders>
              <w:tl2br w:val="nil"/>
              <w:tr2bl w:val="nil"/>
            </w:tcBorders>
            <w:shd w:val="clear" w:color="auto" w:fill="auto"/>
            <w:noWrap/>
            <w:vAlign w:val="center"/>
          </w:tcPr>
          <w:p w14:paraId="24DAEB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松方系数</w:t>
            </w:r>
          </w:p>
        </w:tc>
        <w:tc>
          <w:tcPr>
            <w:tcW w:w="831" w:type="dxa"/>
            <w:tcBorders>
              <w:tl2br w:val="nil"/>
              <w:tr2bl w:val="nil"/>
            </w:tcBorders>
            <w:shd w:val="clear" w:color="auto" w:fill="auto"/>
            <w:noWrap/>
            <w:vAlign w:val="center"/>
          </w:tcPr>
          <w:p w14:paraId="6DF564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松方</w:t>
            </w:r>
          </w:p>
        </w:tc>
        <w:tc>
          <w:tcPr>
            <w:tcW w:w="831" w:type="dxa"/>
            <w:tcBorders>
              <w:tl2br w:val="nil"/>
              <w:tr2bl w:val="nil"/>
            </w:tcBorders>
            <w:shd w:val="clear" w:color="auto" w:fill="auto"/>
            <w:noWrap/>
            <w:vAlign w:val="center"/>
          </w:tcPr>
          <w:p w14:paraId="5F2525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容量</w:t>
            </w:r>
          </w:p>
        </w:tc>
        <w:tc>
          <w:tcPr>
            <w:tcW w:w="600" w:type="dxa"/>
            <w:tcBorders>
              <w:tl2br w:val="nil"/>
              <w:tr2bl w:val="nil"/>
            </w:tcBorders>
            <w:shd w:val="clear" w:color="auto" w:fill="auto"/>
            <w:noWrap/>
            <w:vAlign w:val="center"/>
          </w:tcPr>
          <w:p w14:paraId="7F3B0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最大堆高</w:t>
            </w:r>
          </w:p>
        </w:tc>
        <w:tc>
          <w:tcPr>
            <w:tcW w:w="657" w:type="dxa"/>
            <w:tcBorders>
              <w:tl2br w:val="nil"/>
              <w:tr2bl w:val="nil"/>
            </w:tcBorders>
            <w:shd w:val="clear" w:color="auto" w:fill="auto"/>
            <w:noWrap/>
            <w:vAlign w:val="center"/>
          </w:tcPr>
          <w:p w14:paraId="73AECA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平均堆高</w:t>
            </w:r>
          </w:p>
        </w:tc>
        <w:tc>
          <w:tcPr>
            <w:tcW w:w="505" w:type="dxa"/>
            <w:vMerge w:val="restart"/>
            <w:tcBorders>
              <w:tl2br w:val="nil"/>
              <w:tr2bl w:val="nil"/>
            </w:tcBorders>
            <w:shd w:val="clear" w:color="auto" w:fill="auto"/>
            <w:noWrap/>
            <w:vAlign w:val="center"/>
          </w:tcPr>
          <w:p w14:paraId="493727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堆存边坡</w:t>
            </w:r>
          </w:p>
        </w:tc>
        <w:tc>
          <w:tcPr>
            <w:tcW w:w="626" w:type="dxa"/>
            <w:tcBorders>
              <w:tl2br w:val="nil"/>
              <w:tr2bl w:val="nil"/>
            </w:tcBorders>
            <w:shd w:val="clear" w:color="auto" w:fill="auto"/>
            <w:noWrap/>
            <w:vAlign w:val="center"/>
          </w:tcPr>
          <w:p w14:paraId="281672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堆存周期</w:t>
            </w:r>
          </w:p>
        </w:tc>
        <w:tc>
          <w:tcPr>
            <w:tcW w:w="830" w:type="dxa"/>
            <w:vMerge w:val="restart"/>
            <w:tcBorders>
              <w:tl2br w:val="nil"/>
              <w:tr2bl w:val="nil"/>
            </w:tcBorders>
            <w:shd w:val="clear" w:color="auto" w:fill="auto"/>
            <w:noWrap/>
            <w:vAlign w:val="center"/>
          </w:tcPr>
          <w:p w14:paraId="33AB42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堆存型式</w:t>
            </w:r>
          </w:p>
        </w:tc>
      </w:tr>
      <w:tr w14:paraId="61DF3E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98" w:type="dxa"/>
            <w:vMerge w:val="continue"/>
            <w:tcBorders>
              <w:tl2br w:val="nil"/>
              <w:tr2bl w:val="nil"/>
            </w:tcBorders>
            <w:shd w:val="clear" w:color="auto" w:fill="auto"/>
            <w:noWrap/>
            <w:vAlign w:val="center"/>
          </w:tcPr>
          <w:p w14:paraId="1604A4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55" w:type="dxa"/>
            <w:vMerge w:val="continue"/>
            <w:tcBorders>
              <w:tl2br w:val="nil"/>
              <w:tr2bl w:val="nil"/>
            </w:tcBorders>
            <w:shd w:val="clear" w:color="auto" w:fill="auto"/>
            <w:noWrap/>
            <w:vAlign w:val="center"/>
          </w:tcPr>
          <w:p w14:paraId="5E4EA5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44" w:type="dxa"/>
            <w:vMerge w:val="continue"/>
            <w:tcBorders>
              <w:tl2br w:val="nil"/>
              <w:tr2bl w:val="nil"/>
            </w:tcBorders>
            <w:shd w:val="clear" w:color="auto" w:fill="auto"/>
            <w:noWrap/>
            <w:vAlign w:val="center"/>
          </w:tcPr>
          <w:p w14:paraId="7B097B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2" w:type="dxa"/>
            <w:tcBorders>
              <w:tl2br w:val="nil"/>
              <w:tr2bl w:val="nil"/>
            </w:tcBorders>
            <w:shd w:val="clear" w:color="auto" w:fill="auto"/>
            <w:noWrap/>
            <w:vAlign w:val="center"/>
          </w:tcPr>
          <w:p w14:paraId="3D1C4F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p>
        </w:tc>
        <w:tc>
          <w:tcPr>
            <w:tcW w:w="911" w:type="dxa"/>
            <w:tcBorders>
              <w:tl2br w:val="nil"/>
              <w:tr2bl w:val="nil"/>
            </w:tcBorders>
            <w:shd w:val="clear" w:color="auto" w:fill="auto"/>
            <w:noWrap/>
            <w:vAlign w:val="center"/>
          </w:tcPr>
          <w:p w14:paraId="12C6F7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473" w:type="dxa"/>
            <w:vMerge w:val="continue"/>
            <w:tcBorders>
              <w:tl2br w:val="nil"/>
              <w:tr2bl w:val="nil"/>
            </w:tcBorders>
            <w:shd w:val="clear" w:color="auto" w:fill="auto"/>
            <w:noWrap/>
            <w:vAlign w:val="center"/>
          </w:tcPr>
          <w:p w14:paraId="76FA7C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31" w:type="dxa"/>
            <w:tcBorders>
              <w:tl2br w:val="nil"/>
              <w:tr2bl w:val="nil"/>
            </w:tcBorders>
            <w:shd w:val="clear" w:color="auto" w:fill="auto"/>
            <w:noWrap/>
            <w:vAlign w:val="center"/>
          </w:tcPr>
          <w:p w14:paraId="248DC1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831" w:type="dxa"/>
            <w:tcBorders>
              <w:tl2br w:val="nil"/>
              <w:tr2bl w:val="nil"/>
            </w:tcBorders>
            <w:shd w:val="clear" w:color="auto" w:fill="auto"/>
            <w:noWrap/>
            <w:vAlign w:val="center"/>
          </w:tcPr>
          <w:p w14:paraId="44AA50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3</w:t>
            </w:r>
          </w:p>
        </w:tc>
        <w:tc>
          <w:tcPr>
            <w:tcW w:w="600" w:type="dxa"/>
            <w:tcBorders>
              <w:tl2br w:val="nil"/>
              <w:tr2bl w:val="nil"/>
            </w:tcBorders>
            <w:shd w:val="clear" w:color="auto" w:fill="auto"/>
            <w:noWrap/>
            <w:vAlign w:val="center"/>
          </w:tcPr>
          <w:p w14:paraId="1367A2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p>
        </w:tc>
        <w:tc>
          <w:tcPr>
            <w:tcW w:w="657" w:type="dxa"/>
            <w:tcBorders>
              <w:tl2br w:val="nil"/>
              <w:tr2bl w:val="nil"/>
            </w:tcBorders>
            <w:shd w:val="clear" w:color="auto" w:fill="auto"/>
            <w:noWrap/>
            <w:vAlign w:val="center"/>
          </w:tcPr>
          <w:p w14:paraId="3858FC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p>
        </w:tc>
        <w:tc>
          <w:tcPr>
            <w:tcW w:w="505" w:type="dxa"/>
            <w:vMerge w:val="continue"/>
            <w:tcBorders>
              <w:tl2br w:val="nil"/>
              <w:tr2bl w:val="nil"/>
            </w:tcBorders>
            <w:shd w:val="clear" w:color="auto" w:fill="auto"/>
            <w:noWrap/>
            <w:vAlign w:val="center"/>
          </w:tcPr>
          <w:p w14:paraId="151ED8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26" w:type="dxa"/>
            <w:tcBorders>
              <w:tl2br w:val="nil"/>
              <w:tr2bl w:val="nil"/>
            </w:tcBorders>
            <w:shd w:val="clear" w:color="auto" w:fill="auto"/>
            <w:noWrap/>
            <w:vAlign w:val="center"/>
          </w:tcPr>
          <w:p w14:paraId="739EEF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月</w:t>
            </w:r>
          </w:p>
        </w:tc>
        <w:tc>
          <w:tcPr>
            <w:tcW w:w="830" w:type="dxa"/>
            <w:vMerge w:val="continue"/>
            <w:tcBorders>
              <w:tl2br w:val="nil"/>
              <w:tr2bl w:val="nil"/>
            </w:tcBorders>
            <w:shd w:val="clear" w:color="auto" w:fill="auto"/>
            <w:noWrap/>
            <w:vAlign w:val="center"/>
          </w:tcPr>
          <w:p w14:paraId="2D5CF1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6B9EC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8" w:type="dxa"/>
            <w:tcBorders>
              <w:tl2br w:val="nil"/>
              <w:tr2bl w:val="nil"/>
            </w:tcBorders>
            <w:shd w:val="clear" w:color="auto" w:fill="auto"/>
            <w:noWrap/>
            <w:vAlign w:val="center"/>
          </w:tcPr>
          <w:p w14:paraId="36B7EF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地块一</w:t>
            </w:r>
          </w:p>
        </w:tc>
        <w:tc>
          <w:tcPr>
            <w:tcW w:w="855" w:type="dxa"/>
            <w:tcBorders>
              <w:tl2br w:val="nil"/>
              <w:tr2bl w:val="nil"/>
            </w:tcBorders>
            <w:shd w:val="clear" w:color="auto" w:fill="auto"/>
            <w:noWrap/>
            <w:vAlign w:val="center"/>
          </w:tcPr>
          <w:p w14:paraId="3661AD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1#表土堆场</w:t>
            </w:r>
          </w:p>
        </w:tc>
        <w:tc>
          <w:tcPr>
            <w:tcW w:w="844" w:type="dxa"/>
            <w:tcBorders>
              <w:tl2br w:val="nil"/>
              <w:tr2bl w:val="nil"/>
            </w:tcBorders>
            <w:shd w:val="clear" w:color="auto" w:fill="auto"/>
            <w:noWrap/>
            <w:vAlign w:val="center"/>
          </w:tcPr>
          <w:p w14:paraId="50F19E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东北侧绿化区</w:t>
            </w:r>
          </w:p>
        </w:tc>
        <w:tc>
          <w:tcPr>
            <w:tcW w:w="612" w:type="dxa"/>
            <w:tcBorders>
              <w:tl2br w:val="nil"/>
              <w:tr2bl w:val="nil"/>
            </w:tcBorders>
            <w:shd w:val="clear" w:color="auto" w:fill="auto"/>
            <w:noWrap/>
            <w:vAlign w:val="center"/>
          </w:tcPr>
          <w:p w14:paraId="22A19A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392 </w:t>
            </w:r>
          </w:p>
        </w:tc>
        <w:tc>
          <w:tcPr>
            <w:tcW w:w="911" w:type="dxa"/>
            <w:tcBorders>
              <w:tl2br w:val="nil"/>
              <w:tr2bl w:val="nil"/>
            </w:tcBorders>
            <w:shd w:val="clear" w:color="auto" w:fill="auto"/>
            <w:noWrap/>
            <w:vAlign w:val="center"/>
          </w:tcPr>
          <w:p w14:paraId="46E128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555.00 </w:t>
            </w:r>
          </w:p>
        </w:tc>
        <w:tc>
          <w:tcPr>
            <w:tcW w:w="473" w:type="dxa"/>
            <w:tcBorders>
              <w:tl2br w:val="nil"/>
              <w:tr2bl w:val="nil"/>
            </w:tcBorders>
            <w:shd w:val="clear" w:color="auto" w:fill="auto"/>
            <w:noWrap/>
            <w:vAlign w:val="center"/>
          </w:tcPr>
          <w:p w14:paraId="0D2D8F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1.2</w:t>
            </w:r>
          </w:p>
        </w:tc>
        <w:tc>
          <w:tcPr>
            <w:tcW w:w="831" w:type="dxa"/>
            <w:tcBorders>
              <w:tl2br w:val="nil"/>
              <w:tr2bl w:val="nil"/>
            </w:tcBorders>
            <w:shd w:val="clear" w:color="auto" w:fill="auto"/>
            <w:noWrap/>
            <w:vAlign w:val="center"/>
          </w:tcPr>
          <w:p w14:paraId="0F0695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666.00 </w:t>
            </w:r>
          </w:p>
        </w:tc>
        <w:tc>
          <w:tcPr>
            <w:tcW w:w="831" w:type="dxa"/>
            <w:tcBorders>
              <w:tl2br w:val="nil"/>
              <w:tr2bl w:val="nil"/>
            </w:tcBorders>
            <w:shd w:val="clear" w:color="auto" w:fill="auto"/>
            <w:noWrap/>
            <w:vAlign w:val="center"/>
          </w:tcPr>
          <w:p w14:paraId="2CA9B4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690 </w:t>
            </w:r>
          </w:p>
        </w:tc>
        <w:tc>
          <w:tcPr>
            <w:tcW w:w="600" w:type="dxa"/>
            <w:tcBorders>
              <w:tl2br w:val="nil"/>
              <w:tr2bl w:val="nil"/>
            </w:tcBorders>
            <w:shd w:val="clear" w:color="auto" w:fill="auto"/>
            <w:noWrap/>
            <w:vAlign w:val="center"/>
          </w:tcPr>
          <w:p w14:paraId="32742B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657" w:type="dxa"/>
            <w:tcBorders>
              <w:tl2br w:val="nil"/>
              <w:tr2bl w:val="nil"/>
            </w:tcBorders>
            <w:shd w:val="clear" w:color="auto" w:fill="auto"/>
            <w:noWrap/>
            <w:vAlign w:val="center"/>
          </w:tcPr>
          <w:p w14:paraId="37536B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2.3 </w:t>
            </w:r>
          </w:p>
        </w:tc>
        <w:tc>
          <w:tcPr>
            <w:tcW w:w="505" w:type="dxa"/>
            <w:tcBorders>
              <w:tl2br w:val="nil"/>
              <w:tr2bl w:val="nil"/>
            </w:tcBorders>
            <w:shd w:val="clear" w:color="auto" w:fill="auto"/>
            <w:noWrap/>
            <w:vAlign w:val="center"/>
          </w:tcPr>
          <w:p w14:paraId="68D57E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1:3</w:t>
            </w:r>
          </w:p>
        </w:tc>
        <w:tc>
          <w:tcPr>
            <w:tcW w:w="626" w:type="dxa"/>
            <w:tcBorders>
              <w:tl2br w:val="nil"/>
              <w:tr2bl w:val="nil"/>
            </w:tcBorders>
            <w:shd w:val="clear" w:color="auto" w:fill="auto"/>
            <w:noWrap/>
            <w:vAlign w:val="center"/>
          </w:tcPr>
          <w:p w14:paraId="3E452C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w:t>
            </w:r>
          </w:p>
        </w:tc>
        <w:tc>
          <w:tcPr>
            <w:tcW w:w="830" w:type="dxa"/>
            <w:tcBorders>
              <w:tl2br w:val="nil"/>
              <w:tr2bl w:val="nil"/>
            </w:tcBorders>
            <w:shd w:val="clear" w:color="auto" w:fill="auto"/>
            <w:noWrap/>
            <w:vAlign w:val="center"/>
          </w:tcPr>
          <w:p w14:paraId="5FEEDB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平地型</w:t>
            </w:r>
          </w:p>
        </w:tc>
      </w:tr>
      <w:tr w14:paraId="6D85A2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8" w:type="dxa"/>
            <w:vMerge w:val="restart"/>
            <w:tcBorders>
              <w:tl2br w:val="nil"/>
              <w:tr2bl w:val="nil"/>
            </w:tcBorders>
            <w:shd w:val="clear" w:color="auto" w:fill="auto"/>
            <w:noWrap/>
            <w:vAlign w:val="center"/>
          </w:tcPr>
          <w:p w14:paraId="62DBEF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地块二</w:t>
            </w:r>
          </w:p>
        </w:tc>
        <w:tc>
          <w:tcPr>
            <w:tcW w:w="855" w:type="dxa"/>
            <w:tcBorders>
              <w:tl2br w:val="nil"/>
              <w:tr2bl w:val="nil"/>
            </w:tcBorders>
            <w:shd w:val="clear" w:color="auto" w:fill="auto"/>
            <w:noWrap/>
            <w:vAlign w:val="center"/>
          </w:tcPr>
          <w:p w14:paraId="4EA29F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w:t>
            </w:r>
          </w:p>
        </w:tc>
        <w:tc>
          <w:tcPr>
            <w:tcW w:w="844" w:type="dxa"/>
            <w:tcBorders>
              <w:tl2br w:val="nil"/>
              <w:tr2bl w:val="nil"/>
            </w:tcBorders>
            <w:shd w:val="clear" w:color="auto" w:fill="auto"/>
            <w:noWrap/>
            <w:vAlign w:val="center"/>
          </w:tcPr>
          <w:p w14:paraId="681F3C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西北侧绿化区</w:t>
            </w:r>
          </w:p>
        </w:tc>
        <w:tc>
          <w:tcPr>
            <w:tcW w:w="612" w:type="dxa"/>
            <w:tcBorders>
              <w:tl2br w:val="nil"/>
              <w:tr2bl w:val="nil"/>
            </w:tcBorders>
            <w:shd w:val="clear" w:color="auto" w:fill="auto"/>
            <w:noWrap/>
            <w:vAlign w:val="center"/>
          </w:tcPr>
          <w:p w14:paraId="0D1A21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616 </w:t>
            </w:r>
          </w:p>
        </w:tc>
        <w:tc>
          <w:tcPr>
            <w:tcW w:w="911" w:type="dxa"/>
            <w:tcBorders>
              <w:tl2br w:val="nil"/>
              <w:tr2bl w:val="nil"/>
            </w:tcBorders>
            <w:shd w:val="clear" w:color="auto" w:fill="auto"/>
            <w:noWrap/>
            <w:vAlign w:val="center"/>
          </w:tcPr>
          <w:p w14:paraId="331BD5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873.60 </w:t>
            </w:r>
          </w:p>
        </w:tc>
        <w:tc>
          <w:tcPr>
            <w:tcW w:w="473" w:type="dxa"/>
            <w:tcBorders>
              <w:tl2br w:val="nil"/>
              <w:tr2bl w:val="nil"/>
            </w:tcBorders>
            <w:shd w:val="clear" w:color="auto" w:fill="auto"/>
            <w:noWrap/>
            <w:vAlign w:val="center"/>
          </w:tcPr>
          <w:p w14:paraId="32270A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1.2</w:t>
            </w:r>
          </w:p>
        </w:tc>
        <w:tc>
          <w:tcPr>
            <w:tcW w:w="831" w:type="dxa"/>
            <w:tcBorders>
              <w:tl2br w:val="nil"/>
              <w:tr2bl w:val="nil"/>
            </w:tcBorders>
            <w:shd w:val="clear" w:color="auto" w:fill="auto"/>
            <w:noWrap/>
            <w:vAlign w:val="center"/>
          </w:tcPr>
          <w:p w14:paraId="2BAFBE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1048.00 </w:t>
            </w:r>
          </w:p>
        </w:tc>
        <w:tc>
          <w:tcPr>
            <w:tcW w:w="831" w:type="dxa"/>
            <w:tcBorders>
              <w:tl2br w:val="nil"/>
              <w:tr2bl w:val="nil"/>
            </w:tcBorders>
            <w:shd w:val="clear" w:color="auto" w:fill="auto"/>
            <w:noWrap/>
            <w:vAlign w:val="center"/>
          </w:tcPr>
          <w:p w14:paraId="3532AD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1084 </w:t>
            </w:r>
          </w:p>
        </w:tc>
        <w:tc>
          <w:tcPr>
            <w:tcW w:w="600" w:type="dxa"/>
            <w:tcBorders>
              <w:tl2br w:val="nil"/>
              <w:tr2bl w:val="nil"/>
            </w:tcBorders>
            <w:shd w:val="clear" w:color="auto" w:fill="auto"/>
            <w:noWrap/>
            <w:vAlign w:val="center"/>
          </w:tcPr>
          <w:p w14:paraId="511343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657" w:type="dxa"/>
            <w:tcBorders>
              <w:tl2br w:val="nil"/>
              <w:tr2bl w:val="nil"/>
            </w:tcBorders>
            <w:shd w:val="clear" w:color="auto" w:fill="auto"/>
            <w:noWrap/>
            <w:vAlign w:val="center"/>
          </w:tcPr>
          <w:p w14:paraId="0FA0B3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2.3 </w:t>
            </w:r>
          </w:p>
        </w:tc>
        <w:tc>
          <w:tcPr>
            <w:tcW w:w="505" w:type="dxa"/>
            <w:tcBorders>
              <w:tl2br w:val="nil"/>
              <w:tr2bl w:val="nil"/>
            </w:tcBorders>
            <w:shd w:val="clear" w:color="auto" w:fill="auto"/>
            <w:noWrap/>
            <w:vAlign w:val="center"/>
          </w:tcPr>
          <w:p w14:paraId="41B57D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1:3</w:t>
            </w:r>
          </w:p>
        </w:tc>
        <w:tc>
          <w:tcPr>
            <w:tcW w:w="626" w:type="dxa"/>
            <w:tcBorders>
              <w:tl2br w:val="nil"/>
              <w:tr2bl w:val="nil"/>
            </w:tcBorders>
            <w:shd w:val="clear" w:color="auto" w:fill="auto"/>
            <w:noWrap/>
            <w:vAlign w:val="center"/>
          </w:tcPr>
          <w:p w14:paraId="279B6C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w:t>
            </w:r>
          </w:p>
        </w:tc>
        <w:tc>
          <w:tcPr>
            <w:tcW w:w="830" w:type="dxa"/>
            <w:tcBorders>
              <w:tl2br w:val="nil"/>
              <w:tr2bl w:val="nil"/>
            </w:tcBorders>
            <w:shd w:val="clear" w:color="auto" w:fill="auto"/>
            <w:noWrap/>
            <w:vAlign w:val="center"/>
          </w:tcPr>
          <w:p w14:paraId="261828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平地型</w:t>
            </w:r>
          </w:p>
        </w:tc>
      </w:tr>
      <w:tr w14:paraId="13E6D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98" w:type="dxa"/>
            <w:vMerge w:val="continue"/>
            <w:tcBorders>
              <w:tl2br w:val="nil"/>
              <w:tr2bl w:val="nil"/>
            </w:tcBorders>
            <w:shd w:val="clear" w:color="auto" w:fill="auto"/>
            <w:noWrap/>
            <w:vAlign w:val="center"/>
          </w:tcPr>
          <w:p w14:paraId="6C7A5A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55" w:type="dxa"/>
            <w:tcBorders>
              <w:tl2br w:val="nil"/>
              <w:tr2bl w:val="nil"/>
            </w:tcBorders>
            <w:shd w:val="clear" w:color="auto" w:fill="auto"/>
            <w:noWrap/>
            <w:vAlign w:val="center"/>
          </w:tcPr>
          <w:p w14:paraId="040D65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3#表土堆场</w:t>
            </w:r>
          </w:p>
        </w:tc>
        <w:tc>
          <w:tcPr>
            <w:tcW w:w="844" w:type="dxa"/>
            <w:tcBorders>
              <w:tl2br w:val="nil"/>
              <w:tr2bl w:val="nil"/>
            </w:tcBorders>
            <w:shd w:val="clear" w:color="auto" w:fill="auto"/>
            <w:noWrap/>
            <w:vAlign w:val="center"/>
          </w:tcPr>
          <w:p w14:paraId="54B2DC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北侧绿化区</w:t>
            </w:r>
          </w:p>
        </w:tc>
        <w:tc>
          <w:tcPr>
            <w:tcW w:w="612" w:type="dxa"/>
            <w:tcBorders>
              <w:tl2br w:val="nil"/>
              <w:tr2bl w:val="nil"/>
            </w:tcBorders>
            <w:shd w:val="clear" w:color="auto" w:fill="auto"/>
            <w:noWrap/>
            <w:vAlign w:val="center"/>
          </w:tcPr>
          <w:p w14:paraId="1ADF56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346 </w:t>
            </w:r>
          </w:p>
        </w:tc>
        <w:tc>
          <w:tcPr>
            <w:tcW w:w="911" w:type="dxa"/>
            <w:tcBorders>
              <w:tl2br w:val="nil"/>
              <w:tr2bl w:val="nil"/>
            </w:tcBorders>
            <w:shd w:val="clear" w:color="auto" w:fill="auto"/>
            <w:noWrap/>
            <w:vAlign w:val="center"/>
          </w:tcPr>
          <w:p w14:paraId="05F3BE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491.40 </w:t>
            </w:r>
          </w:p>
        </w:tc>
        <w:tc>
          <w:tcPr>
            <w:tcW w:w="473" w:type="dxa"/>
            <w:tcBorders>
              <w:tl2br w:val="nil"/>
              <w:tr2bl w:val="nil"/>
            </w:tcBorders>
            <w:shd w:val="clear" w:color="auto" w:fill="auto"/>
            <w:noWrap/>
            <w:vAlign w:val="center"/>
          </w:tcPr>
          <w:p w14:paraId="133D7A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1.2</w:t>
            </w:r>
          </w:p>
        </w:tc>
        <w:tc>
          <w:tcPr>
            <w:tcW w:w="831" w:type="dxa"/>
            <w:tcBorders>
              <w:tl2br w:val="nil"/>
              <w:tr2bl w:val="nil"/>
            </w:tcBorders>
            <w:shd w:val="clear" w:color="auto" w:fill="auto"/>
            <w:noWrap/>
            <w:vAlign w:val="center"/>
          </w:tcPr>
          <w:p w14:paraId="4178F3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589.00 </w:t>
            </w:r>
          </w:p>
        </w:tc>
        <w:tc>
          <w:tcPr>
            <w:tcW w:w="831" w:type="dxa"/>
            <w:tcBorders>
              <w:tl2br w:val="nil"/>
              <w:tr2bl w:val="nil"/>
            </w:tcBorders>
            <w:shd w:val="clear" w:color="auto" w:fill="auto"/>
            <w:noWrap/>
            <w:vAlign w:val="center"/>
          </w:tcPr>
          <w:p w14:paraId="42157B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609 </w:t>
            </w:r>
          </w:p>
        </w:tc>
        <w:tc>
          <w:tcPr>
            <w:tcW w:w="600" w:type="dxa"/>
            <w:tcBorders>
              <w:tl2br w:val="nil"/>
              <w:tr2bl w:val="nil"/>
            </w:tcBorders>
            <w:shd w:val="clear" w:color="auto" w:fill="auto"/>
            <w:noWrap/>
            <w:vAlign w:val="center"/>
          </w:tcPr>
          <w:p w14:paraId="0966BF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w:t>
            </w:r>
          </w:p>
        </w:tc>
        <w:tc>
          <w:tcPr>
            <w:tcW w:w="657" w:type="dxa"/>
            <w:tcBorders>
              <w:tl2br w:val="nil"/>
              <w:tr2bl w:val="nil"/>
            </w:tcBorders>
            <w:shd w:val="clear" w:color="auto" w:fill="auto"/>
            <w:noWrap/>
            <w:vAlign w:val="center"/>
          </w:tcPr>
          <w:p w14:paraId="4E29EB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2.3 </w:t>
            </w:r>
          </w:p>
        </w:tc>
        <w:tc>
          <w:tcPr>
            <w:tcW w:w="505" w:type="dxa"/>
            <w:tcBorders>
              <w:tl2br w:val="nil"/>
              <w:tr2bl w:val="nil"/>
            </w:tcBorders>
            <w:shd w:val="clear" w:color="auto" w:fill="auto"/>
            <w:noWrap/>
            <w:vAlign w:val="center"/>
          </w:tcPr>
          <w:p w14:paraId="567AA2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1:3</w:t>
            </w:r>
          </w:p>
        </w:tc>
        <w:tc>
          <w:tcPr>
            <w:tcW w:w="626" w:type="dxa"/>
            <w:tcBorders>
              <w:tl2br w:val="nil"/>
              <w:tr2bl w:val="nil"/>
            </w:tcBorders>
            <w:shd w:val="clear" w:color="auto" w:fill="auto"/>
            <w:noWrap/>
            <w:vAlign w:val="center"/>
          </w:tcPr>
          <w:p w14:paraId="69B940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w:t>
            </w:r>
          </w:p>
        </w:tc>
        <w:tc>
          <w:tcPr>
            <w:tcW w:w="830" w:type="dxa"/>
            <w:tcBorders>
              <w:tl2br w:val="nil"/>
              <w:tr2bl w:val="nil"/>
            </w:tcBorders>
            <w:shd w:val="clear" w:color="auto" w:fill="auto"/>
            <w:noWrap/>
            <w:vAlign w:val="center"/>
          </w:tcPr>
          <w:p w14:paraId="0AB73E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平地型</w:t>
            </w:r>
          </w:p>
        </w:tc>
      </w:tr>
      <w:tr w14:paraId="1FD39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00" w:hRule="atLeast"/>
        </w:trPr>
        <w:tc>
          <w:tcPr>
            <w:tcW w:w="2297" w:type="dxa"/>
            <w:gridSpan w:val="3"/>
            <w:tcBorders>
              <w:tl2br w:val="nil"/>
              <w:tr2bl w:val="nil"/>
            </w:tcBorders>
            <w:shd w:val="clear" w:color="auto" w:fill="auto"/>
            <w:noWrap/>
            <w:vAlign w:val="center"/>
          </w:tcPr>
          <w:p w14:paraId="6D8975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612" w:type="dxa"/>
            <w:tcBorders>
              <w:tl2br w:val="nil"/>
              <w:tr2bl w:val="nil"/>
            </w:tcBorders>
            <w:shd w:val="clear" w:color="auto" w:fill="auto"/>
            <w:noWrap/>
            <w:vAlign w:val="center"/>
          </w:tcPr>
          <w:p w14:paraId="366A6E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1354 </w:t>
            </w:r>
          </w:p>
        </w:tc>
        <w:tc>
          <w:tcPr>
            <w:tcW w:w="911" w:type="dxa"/>
            <w:tcBorders>
              <w:tl2br w:val="nil"/>
              <w:tr2bl w:val="nil"/>
            </w:tcBorders>
            <w:shd w:val="clear" w:color="auto" w:fill="auto"/>
            <w:noWrap/>
            <w:vAlign w:val="center"/>
          </w:tcPr>
          <w:p w14:paraId="112377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1920.00 </w:t>
            </w:r>
          </w:p>
        </w:tc>
        <w:tc>
          <w:tcPr>
            <w:tcW w:w="473" w:type="dxa"/>
            <w:tcBorders>
              <w:tl2br w:val="nil"/>
              <w:tr2bl w:val="nil"/>
            </w:tcBorders>
            <w:shd w:val="clear" w:color="auto" w:fill="auto"/>
            <w:noWrap/>
            <w:vAlign w:val="center"/>
          </w:tcPr>
          <w:p w14:paraId="3F32DF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31" w:type="dxa"/>
            <w:tcBorders>
              <w:tl2br w:val="nil"/>
              <w:tr2bl w:val="nil"/>
            </w:tcBorders>
            <w:shd w:val="clear" w:color="auto" w:fill="auto"/>
            <w:noWrap/>
            <w:vAlign w:val="center"/>
          </w:tcPr>
          <w:p w14:paraId="1DEF35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2303.00 </w:t>
            </w:r>
          </w:p>
        </w:tc>
        <w:tc>
          <w:tcPr>
            <w:tcW w:w="831" w:type="dxa"/>
            <w:tcBorders>
              <w:tl2br w:val="nil"/>
              <w:tr2bl w:val="nil"/>
            </w:tcBorders>
            <w:shd w:val="clear" w:color="auto" w:fill="auto"/>
            <w:noWrap/>
            <w:vAlign w:val="center"/>
          </w:tcPr>
          <w:p w14:paraId="207AAD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2383.00 </w:t>
            </w:r>
          </w:p>
        </w:tc>
        <w:tc>
          <w:tcPr>
            <w:tcW w:w="600" w:type="dxa"/>
            <w:tcBorders>
              <w:tl2br w:val="nil"/>
              <w:tr2bl w:val="nil"/>
            </w:tcBorders>
            <w:shd w:val="clear" w:color="auto" w:fill="auto"/>
            <w:noWrap/>
            <w:vAlign w:val="center"/>
          </w:tcPr>
          <w:p w14:paraId="5FEF93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57" w:type="dxa"/>
            <w:tcBorders>
              <w:tl2br w:val="nil"/>
              <w:tr2bl w:val="nil"/>
            </w:tcBorders>
            <w:shd w:val="clear" w:color="auto" w:fill="auto"/>
            <w:noWrap/>
            <w:vAlign w:val="center"/>
          </w:tcPr>
          <w:p w14:paraId="712E03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505" w:type="dxa"/>
            <w:tcBorders>
              <w:tl2br w:val="nil"/>
              <w:tr2bl w:val="nil"/>
            </w:tcBorders>
            <w:shd w:val="clear" w:color="auto" w:fill="auto"/>
            <w:noWrap/>
            <w:vAlign w:val="center"/>
          </w:tcPr>
          <w:p w14:paraId="12A5EA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26" w:type="dxa"/>
            <w:tcBorders>
              <w:tl2br w:val="nil"/>
              <w:tr2bl w:val="nil"/>
            </w:tcBorders>
            <w:shd w:val="clear" w:color="auto" w:fill="auto"/>
            <w:noWrap/>
            <w:vAlign w:val="center"/>
          </w:tcPr>
          <w:p w14:paraId="5C5AE7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30" w:type="dxa"/>
            <w:tcBorders>
              <w:tl2br w:val="nil"/>
              <w:tr2bl w:val="nil"/>
            </w:tcBorders>
            <w:shd w:val="clear" w:color="auto" w:fill="auto"/>
            <w:noWrap/>
            <w:vAlign w:val="center"/>
          </w:tcPr>
          <w:p w14:paraId="087075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bl>
    <w:p w14:paraId="6345FC47">
      <w:pPr>
        <w:pStyle w:val="4"/>
        <w:rPr>
          <w:rFonts w:hint="default" w:ascii="Times New Roman" w:hAnsi="Times New Roman" w:cs="Times New Roman"/>
        </w:rPr>
      </w:pPr>
      <w:r>
        <w:rPr>
          <w:rFonts w:hint="default" w:ascii="Times New Roman" w:hAnsi="Times New Roman" w:cs="Times New Roman"/>
        </w:rPr>
        <w:t>一般土石方平衡</w:t>
      </w:r>
    </w:p>
    <w:p w14:paraId="7C24EA0D">
      <w:pPr>
        <w:pStyle w:val="5"/>
        <w:rPr>
          <w:rFonts w:hint="default" w:ascii="Times New Roman" w:hAnsi="Times New Roman" w:cs="Times New Roman"/>
          <w:lang w:bidi="ar"/>
        </w:rPr>
      </w:pPr>
      <w:r>
        <w:rPr>
          <w:rFonts w:hint="default" w:ascii="Times New Roman" w:hAnsi="Times New Roman" w:cs="Times New Roman"/>
          <w:lang w:bidi="ar"/>
        </w:rPr>
        <w:t>土石方来源</w:t>
      </w:r>
    </w:p>
    <w:p w14:paraId="3A836FE3">
      <w:pPr>
        <w:ind w:firstLine="480"/>
        <w:rPr>
          <w:rFonts w:hint="default" w:ascii="Times New Roman" w:hAnsi="Times New Roman" w:cs="Times New Roman"/>
          <w:lang w:bidi="ar"/>
        </w:rPr>
      </w:pPr>
      <w:r>
        <w:rPr>
          <w:rFonts w:hint="default" w:ascii="Times New Roman" w:hAnsi="Times New Roman" w:cs="Times New Roman"/>
          <w:lang w:bidi="ar"/>
        </w:rPr>
        <w:t>根据主体工程设计资料分析和现场踏勘，本项目一般土石方主要产生于以下几个方面：</w:t>
      </w:r>
    </w:p>
    <w:p w14:paraId="672AE57E">
      <w:pPr>
        <w:ind w:firstLine="480"/>
        <w:rPr>
          <w:rFonts w:hint="default" w:ascii="Times New Roman" w:hAnsi="Times New Roman" w:eastAsia="仿宋_GB2312" w:cs="Times New Roman"/>
          <w:lang w:val="en-US" w:eastAsia="zh-CN" w:bidi="ar"/>
        </w:rPr>
      </w:pPr>
      <w:r>
        <w:rPr>
          <w:rFonts w:hint="eastAsia" w:cs="Times New Roman"/>
          <w:lang w:val="en-US" w:eastAsia="zh-CN" w:bidi="ar"/>
        </w:rPr>
        <w:t>建筑垃圾：地块一西南侧有原建筑，需要拆除。</w:t>
      </w:r>
    </w:p>
    <w:p w14:paraId="2F415E27">
      <w:pPr>
        <w:ind w:firstLine="480"/>
        <w:rPr>
          <w:rFonts w:hint="default" w:ascii="Times New Roman" w:hAnsi="Times New Roman" w:cs="Times New Roman"/>
        </w:rPr>
      </w:pPr>
      <w:r>
        <w:rPr>
          <w:rFonts w:hint="default" w:ascii="Times New Roman" w:hAnsi="Times New Roman" w:cs="Times New Roman"/>
          <w:lang w:bidi="ar"/>
        </w:rPr>
        <w:t>场地平整：</w:t>
      </w:r>
      <w:r>
        <w:rPr>
          <w:rFonts w:hint="default" w:ascii="Times New Roman" w:hAnsi="Times New Roman" w:cs="Times New Roman"/>
          <w:lang w:val="zh-CN"/>
        </w:rPr>
        <w:t>项目区</w:t>
      </w:r>
      <w:r>
        <w:rPr>
          <w:rFonts w:hint="eastAsia" w:cs="Times New Roman"/>
          <w:lang w:val="en-US" w:eastAsia="zh-CN"/>
        </w:rPr>
        <w:t>地块一</w:t>
      </w:r>
      <w:r>
        <w:rPr>
          <w:rFonts w:hint="default" w:ascii="Times New Roman" w:hAnsi="Times New Roman" w:cs="Times New Roman"/>
          <w:lang w:val="zh-CN"/>
        </w:rPr>
        <w:t>原始标高为</w:t>
      </w:r>
      <w:r>
        <w:rPr>
          <w:rFonts w:hint="eastAsia" w:cs="Times New Roman"/>
          <w:lang w:val="en-US" w:eastAsia="zh-CN"/>
        </w:rPr>
        <w:t>2291.65</w:t>
      </w:r>
      <w:r>
        <w:rPr>
          <w:rFonts w:hint="default" w:ascii="Times New Roman" w:hAnsi="Times New Roman" w:cs="Times New Roman"/>
          <w:lang w:val="zh-CN"/>
        </w:rPr>
        <w:t>~2</w:t>
      </w:r>
      <w:r>
        <w:rPr>
          <w:rFonts w:hint="eastAsia" w:cs="Times New Roman"/>
          <w:lang w:val="en-US" w:eastAsia="zh-CN"/>
        </w:rPr>
        <w:t>292.50</w:t>
      </w:r>
      <w:r>
        <w:rPr>
          <w:rFonts w:hint="default" w:ascii="Times New Roman" w:hAnsi="Times New Roman" w:cs="Times New Roman"/>
          <w:lang w:val="zh-CN"/>
        </w:rPr>
        <w:t>m，最终场地设计标高为2</w:t>
      </w:r>
      <w:r>
        <w:rPr>
          <w:rFonts w:hint="eastAsia" w:cs="Times New Roman"/>
          <w:lang w:val="en-US" w:eastAsia="zh-CN"/>
        </w:rPr>
        <w:t>292.30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地块二</w:t>
      </w:r>
      <w:r>
        <w:rPr>
          <w:rFonts w:hint="default" w:ascii="Times New Roman" w:hAnsi="Times New Roman" w:cs="Times New Roman"/>
          <w:lang w:val="zh-CN"/>
        </w:rPr>
        <w:t>原始标高为</w:t>
      </w:r>
      <w:r>
        <w:rPr>
          <w:rFonts w:hint="eastAsia" w:cs="Times New Roman"/>
          <w:lang w:val="en-US" w:eastAsia="zh-CN"/>
        </w:rPr>
        <w:t>2290.36m</w:t>
      </w:r>
      <w:r>
        <w:rPr>
          <w:rFonts w:hint="default" w:ascii="Times New Roman" w:hAnsi="Times New Roman" w:cs="Times New Roman"/>
          <w:lang w:val="zh-CN"/>
        </w:rPr>
        <w:t>~2</w:t>
      </w:r>
      <w:r>
        <w:rPr>
          <w:rFonts w:hint="eastAsia" w:cs="Times New Roman"/>
          <w:lang w:val="en-US" w:eastAsia="zh-CN"/>
        </w:rPr>
        <w:t>291.74</w:t>
      </w:r>
      <w:r>
        <w:rPr>
          <w:rFonts w:hint="default" w:ascii="Times New Roman" w:hAnsi="Times New Roman" w:cs="Times New Roman"/>
          <w:lang w:val="zh-CN"/>
        </w:rPr>
        <w:t>m，最终场地设计标高为2</w:t>
      </w:r>
      <w:r>
        <w:rPr>
          <w:rFonts w:hint="eastAsia" w:cs="Times New Roman"/>
          <w:lang w:val="en-US" w:eastAsia="zh-CN"/>
        </w:rPr>
        <w:t>291.30</w:t>
      </w:r>
      <w:r>
        <w:rPr>
          <w:rFonts w:hint="default" w:ascii="Times New Roman" w:hAnsi="Times New Roman" w:cs="Times New Roman"/>
          <w:lang w:val="zh-CN"/>
        </w:rPr>
        <w:t>m</w:t>
      </w:r>
      <w:r>
        <w:rPr>
          <w:rFonts w:hint="eastAsia" w:cs="Times New Roman"/>
          <w:lang w:val="zh-CN"/>
        </w:rPr>
        <w:t>。</w:t>
      </w:r>
      <w:r>
        <w:rPr>
          <w:rFonts w:hint="default" w:ascii="Times New Roman" w:hAnsi="Times New Roman" w:cs="Times New Roman"/>
          <w:lang w:val="zh-CN"/>
        </w:rPr>
        <w:t>因此在项目建设前期需对项目区场地进行场地平整</w:t>
      </w:r>
      <w:r>
        <w:rPr>
          <w:rFonts w:hint="default" w:ascii="Times New Roman" w:hAnsi="Times New Roman" w:cs="Times New Roman"/>
        </w:rPr>
        <w:t>，使其达到设计标高要求。</w:t>
      </w:r>
    </w:p>
    <w:p w14:paraId="7B2D9FEC">
      <w:pPr>
        <w:adjustRightInd w:val="0"/>
        <w:snapToGrid w:val="0"/>
        <w:ind w:firstLine="480"/>
        <w:rPr>
          <w:rFonts w:hint="default" w:ascii="Times New Roman" w:hAnsi="Times New Roman" w:cs="Times New Roman"/>
        </w:rPr>
      </w:pPr>
      <w:r>
        <w:rPr>
          <w:rFonts w:hint="default" w:ascii="Times New Roman" w:hAnsi="Times New Roman" w:cs="Times New Roman"/>
          <w:lang w:bidi="ar"/>
        </w:rPr>
        <w:t>基础开挖及回填：项目建设过程中，</w:t>
      </w:r>
      <w:r>
        <w:rPr>
          <w:rFonts w:hint="default" w:ascii="Times New Roman" w:hAnsi="Times New Roman" w:cs="Times New Roman"/>
        </w:rPr>
        <w:t>工程的建构筑物、场地等区域的建设需进行基础开挖</w:t>
      </w:r>
      <w:r>
        <w:rPr>
          <w:rFonts w:hint="default" w:ascii="Times New Roman" w:hAnsi="Times New Roman" w:cs="Times New Roman"/>
          <w:lang w:bidi="ar"/>
        </w:rPr>
        <w:t>，</w:t>
      </w:r>
      <w:r>
        <w:rPr>
          <w:rFonts w:hint="default" w:ascii="Times New Roman" w:hAnsi="Times New Roman" w:cs="Times New Roman"/>
        </w:rPr>
        <w:t>基础开挖的土石方除自身回填外剩余土石方用于场地回填。</w:t>
      </w:r>
    </w:p>
    <w:p w14:paraId="14445792">
      <w:pPr>
        <w:adjustRightInd w:val="0"/>
        <w:snapToGrid w:val="0"/>
        <w:ind w:firstLine="480"/>
        <w:rPr>
          <w:rFonts w:hint="default" w:ascii="Times New Roman" w:hAnsi="Times New Roman" w:cs="Times New Roman"/>
        </w:rPr>
      </w:pPr>
      <w:r>
        <w:rPr>
          <w:rFonts w:hint="default" w:ascii="Times New Roman" w:hAnsi="Times New Roman" w:cs="Times New Roman"/>
        </w:rPr>
        <w:t>除表土剥离外一般土石方包括</w:t>
      </w:r>
      <w:r>
        <w:rPr>
          <w:rFonts w:hint="eastAsia" w:cs="Times New Roman"/>
          <w:lang w:val="en-US" w:eastAsia="zh-CN" w:bidi="ar"/>
        </w:rPr>
        <w:t>建筑垃圾、</w:t>
      </w:r>
      <w:r>
        <w:rPr>
          <w:rFonts w:hint="default" w:ascii="Times New Roman" w:hAnsi="Times New Roman" w:cs="Times New Roman"/>
        </w:rPr>
        <w:t>场地平整及基础开挖。</w:t>
      </w:r>
    </w:p>
    <w:p w14:paraId="5B459EC7">
      <w:pPr>
        <w:pStyle w:val="5"/>
        <w:rPr>
          <w:rFonts w:hint="default" w:ascii="Times New Roman" w:hAnsi="Times New Roman" w:cs="Times New Roman"/>
        </w:rPr>
      </w:pPr>
      <w:r>
        <w:rPr>
          <w:rFonts w:hint="eastAsia" w:ascii="Times New Roman" w:hAnsi="Times New Roman" w:cs="Times New Roman"/>
          <w:lang w:val="en-US" w:eastAsia="zh-CN"/>
        </w:rPr>
        <w:t>方案介入前</w:t>
      </w:r>
      <w:r>
        <w:rPr>
          <w:rFonts w:hint="default" w:ascii="Times New Roman" w:hAnsi="Times New Roman" w:cs="Times New Roman"/>
        </w:rPr>
        <w:t>已产生土石方平衡分析</w:t>
      </w:r>
    </w:p>
    <w:p w14:paraId="78EF7704">
      <w:pPr>
        <w:adjustRightInd w:val="0"/>
        <w:snapToGrid w:val="0"/>
        <w:ind w:firstLine="480"/>
        <w:rPr>
          <w:rFonts w:hint="default" w:ascii="Times New Roman" w:hAnsi="Times New Roman" w:cs="Times New Roman"/>
        </w:rPr>
      </w:pPr>
      <w:r>
        <w:rPr>
          <w:rFonts w:hint="default" w:ascii="Times New Roman" w:hAnsi="Times New Roman" w:cs="Times New Roman"/>
        </w:rPr>
        <w:t>本项目已于</w:t>
      </w:r>
      <w:r>
        <w:rPr>
          <w:rFonts w:hint="eastAsia" w:cs="Times New Roman"/>
          <w:lang w:eastAsia="zh-CN"/>
        </w:rPr>
        <w:t>2024年4月</w:t>
      </w:r>
      <w:r>
        <w:rPr>
          <w:rFonts w:hint="default" w:ascii="Times New Roman" w:hAnsi="Times New Roman" w:cs="Times New Roman"/>
        </w:rPr>
        <w:t>开工建设，</w:t>
      </w:r>
      <w:r>
        <w:rPr>
          <w:rFonts w:hint="eastAsia" w:cs="Times New Roman"/>
          <w:lang w:eastAsia="zh-CN"/>
        </w:rPr>
        <w:t>截至</w:t>
      </w:r>
      <w:r>
        <w:rPr>
          <w:rFonts w:hint="default" w:ascii="Times New Roman" w:hAnsi="Times New Roman" w:cs="Times New Roman"/>
        </w:rPr>
        <w:t>目前</w:t>
      </w:r>
      <w:r>
        <w:rPr>
          <w:rFonts w:hint="eastAsia" w:cs="Times New Roman"/>
          <w:lang w:val="en-US" w:eastAsia="zh-CN"/>
        </w:rPr>
        <w:t>地块一已完成西南侧原建筑拆除，还未对场地进行清表及场平工作；地块二已完成场平工作，目前正在进行建构筑物基础施工，</w:t>
      </w:r>
      <w:r>
        <w:rPr>
          <w:rFonts w:hint="default" w:ascii="Times New Roman" w:hAnsi="Times New Roman" w:cs="Times New Roman"/>
        </w:rPr>
        <w:t>已产生的土石方包括建筑拆除产生的建筑垃圾、场地平整开挖及回填。现分述如下。</w:t>
      </w:r>
    </w:p>
    <w:p w14:paraId="7E601A9A">
      <w:pPr>
        <w:adjustRightInd w:val="0"/>
        <w:snapToGrid w:val="0"/>
        <w:ind w:firstLine="480"/>
        <w:rPr>
          <w:rFonts w:hint="default" w:ascii="Times New Roman" w:hAnsi="Times New Roman" w:eastAsia="仿宋_GB2312" w:cs="Times New Roman"/>
          <w:lang w:val="en-US" w:eastAsia="zh-CN"/>
        </w:rPr>
      </w:pPr>
      <w:r>
        <w:rPr>
          <w:rFonts w:hint="eastAsia" w:cs="Times New Roman"/>
          <w:lang w:val="en-US" w:eastAsia="zh-CN"/>
        </w:rPr>
        <w:t>一、地块一</w:t>
      </w:r>
    </w:p>
    <w:p w14:paraId="7F74F854">
      <w:pPr>
        <w:adjustRightInd w:val="0"/>
        <w:snapToGrid w:val="0"/>
        <w:ind w:firstLine="480"/>
        <w:rPr>
          <w:rFonts w:hint="default" w:ascii="Times New Roman" w:hAnsi="Times New Roman" w:cs="Times New Roman"/>
        </w:rPr>
      </w:pPr>
      <w:r>
        <w:rPr>
          <w:rFonts w:hint="default" w:ascii="Times New Roman" w:hAnsi="Times New Roman" w:cs="Times New Roman"/>
        </w:rPr>
        <w:t>（1）建构筑物区</w:t>
      </w:r>
    </w:p>
    <w:p w14:paraId="01E55EE3">
      <w:pPr>
        <w:pStyle w:val="93"/>
        <w:rPr>
          <w:rFonts w:hint="default" w:ascii="Times New Roman" w:hAnsi="Times New Roman" w:cs="Times New Roman"/>
          <w:b/>
          <w:bCs/>
        </w:rPr>
      </w:pPr>
      <w:r>
        <w:rPr>
          <w:rFonts w:hint="default" w:ascii="Times New Roman" w:hAnsi="Times New Roman" w:cs="Times New Roman"/>
          <w:lang w:val="zh-CN"/>
        </w:rPr>
        <w:t>通过查阅施工及监理资料，建构筑物区已产生一般土石方开挖共计</w:t>
      </w:r>
      <w:r>
        <w:rPr>
          <w:rFonts w:hint="eastAsia" w:cs="Times New Roman"/>
          <w:lang w:val="en-US" w:eastAsia="zh-CN"/>
        </w:rPr>
        <w:t>204.60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均为建筑拆除产生的</w:t>
      </w:r>
      <w:r>
        <w:rPr>
          <w:rFonts w:hint="default" w:ascii="Times New Roman" w:hAnsi="Times New Roman" w:cs="Times New Roman"/>
          <w:color w:val="auto"/>
        </w:rPr>
        <w:t>建筑垃圾；土石方回填</w:t>
      </w:r>
      <w:r>
        <w:rPr>
          <w:rFonts w:hint="eastAsia" w:cs="Times New Roman"/>
          <w:color w:val="auto"/>
          <w:lang w:val="en-US" w:eastAsia="zh-CN"/>
        </w:rPr>
        <w:t>204.60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；调往</w:t>
      </w:r>
      <w:r>
        <w:rPr>
          <w:rFonts w:hint="eastAsia" w:cs="Times New Roman"/>
          <w:color w:val="auto"/>
          <w:lang w:val="en-US" w:eastAsia="zh-CN"/>
        </w:rPr>
        <w:t>绿化区回填204.60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eastAsia="zh-CN"/>
        </w:rPr>
        <w:t>（</w:t>
      </w:r>
      <w:r>
        <w:rPr>
          <w:rFonts w:hint="eastAsia" w:cs="Times New Roman"/>
          <w:color w:val="auto"/>
          <w:highlight w:val="none"/>
          <w:vertAlign w:val="baseline"/>
          <w:lang w:val="en-US" w:eastAsia="zh-CN"/>
        </w:rPr>
        <w:t>主要为建筑垃圾，经破碎处理后用作绿化区基底料回填</w:t>
      </w:r>
      <w:r>
        <w:rPr>
          <w:rFonts w:hint="eastAsia" w:cs="Times New Roman"/>
          <w:color w:val="auto"/>
          <w:lang w:eastAsia="zh-CN"/>
        </w:rPr>
        <w:t>）；</w:t>
      </w:r>
      <w:r>
        <w:rPr>
          <w:rFonts w:hint="default" w:ascii="Times New Roman" w:hAnsi="Times New Roman" w:cs="Times New Roman"/>
          <w:color w:val="auto"/>
        </w:rPr>
        <w:t>未产生永久弃方。</w:t>
      </w:r>
    </w:p>
    <w:p w14:paraId="189DF1AB">
      <w:pPr>
        <w:adjustRightInd w:val="0"/>
        <w:snapToGrid w:val="0"/>
        <w:ind w:firstLine="480"/>
        <w:rPr>
          <w:rFonts w:hint="default" w:ascii="Times New Roman" w:hAnsi="Times New Roman" w:eastAsia="仿宋_GB2312" w:cs="Times New Roman"/>
          <w:lang w:val="en-US" w:eastAsia="zh-CN"/>
        </w:rPr>
      </w:pPr>
      <w:r>
        <w:rPr>
          <w:rFonts w:hint="eastAsia" w:cs="Times New Roman"/>
          <w:lang w:val="en-US" w:eastAsia="zh-CN"/>
        </w:rPr>
        <w:t>二、地块二</w:t>
      </w:r>
    </w:p>
    <w:p w14:paraId="43E25F73">
      <w:pPr>
        <w:adjustRightInd w:val="0"/>
        <w:snapToGrid w:val="0"/>
        <w:ind w:firstLine="480"/>
        <w:rPr>
          <w:rFonts w:hint="default" w:ascii="Times New Roman" w:hAnsi="Times New Roman" w:cs="Times New Roman"/>
        </w:rPr>
      </w:pPr>
      <w:r>
        <w:rPr>
          <w:rFonts w:hint="default" w:ascii="Times New Roman" w:hAnsi="Times New Roman" w:cs="Times New Roman"/>
        </w:rPr>
        <w:t>（1）建构筑物区</w:t>
      </w:r>
    </w:p>
    <w:p w14:paraId="5F4ECC97">
      <w:pPr>
        <w:ind w:firstLine="480"/>
        <w:rPr>
          <w:rFonts w:hint="default" w:ascii="Times New Roman" w:hAnsi="Times New Roman" w:cs="Times New Roman"/>
          <w:b/>
          <w:bCs/>
        </w:rPr>
      </w:pPr>
      <w:r>
        <w:rPr>
          <w:rFonts w:hint="eastAsia" w:cs="Times New Roman"/>
          <w:lang w:val="en-US" w:eastAsia="zh-CN"/>
        </w:rPr>
        <w:t>地块二</w:t>
      </w:r>
      <w:r>
        <w:rPr>
          <w:rFonts w:hint="default" w:ascii="Times New Roman" w:hAnsi="Times New Roman" w:cs="Times New Roman"/>
          <w:lang w:val="zh-CN"/>
        </w:rPr>
        <w:t>原始标高为</w:t>
      </w:r>
      <w:r>
        <w:rPr>
          <w:rFonts w:hint="eastAsia" w:cs="Times New Roman"/>
          <w:lang w:val="en-US" w:eastAsia="zh-CN"/>
        </w:rPr>
        <w:t>2290.36m</w:t>
      </w:r>
      <w:r>
        <w:rPr>
          <w:rFonts w:hint="default" w:ascii="Times New Roman" w:hAnsi="Times New Roman" w:cs="Times New Roman"/>
          <w:lang w:val="zh-CN"/>
        </w:rPr>
        <w:t>~2</w:t>
      </w:r>
      <w:r>
        <w:rPr>
          <w:rFonts w:hint="eastAsia" w:cs="Times New Roman"/>
          <w:lang w:val="en-US" w:eastAsia="zh-CN"/>
        </w:rPr>
        <w:t>291.74</w:t>
      </w:r>
      <w:r>
        <w:rPr>
          <w:rFonts w:hint="default" w:ascii="Times New Roman" w:hAnsi="Times New Roman" w:cs="Times New Roman"/>
          <w:lang w:val="zh-CN"/>
        </w:rPr>
        <w:t>m，最终场地设计标高为2</w:t>
      </w:r>
      <w:r>
        <w:rPr>
          <w:rFonts w:hint="eastAsia" w:cs="Times New Roman"/>
          <w:lang w:val="en-US" w:eastAsia="zh-CN"/>
        </w:rPr>
        <w:t>291.30</w:t>
      </w:r>
      <w:r>
        <w:rPr>
          <w:rFonts w:hint="default" w:ascii="Times New Roman" w:hAnsi="Times New Roman" w:cs="Times New Roman"/>
          <w:lang w:val="zh-CN"/>
        </w:rPr>
        <w:t>m</w:t>
      </w:r>
      <w:r>
        <w:rPr>
          <w:rFonts w:hint="eastAsia" w:cs="Times New Roman"/>
          <w:lang w:val="zh-CN"/>
        </w:rPr>
        <w:t>。</w:t>
      </w:r>
      <w:r>
        <w:rPr>
          <w:rFonts w:hint="default" w:ascii="Times New Roman" w:hAnsi="Times New Roman" w:cs="Times New Roman"/>
          <w:lang w:val="zh-CN"/>
        </w:rPr>
        <w:t>因此在项目建设前期需对项目区场地进行场地平整</w:t>
      </w:r>
      <w:r>
        <w:rPr>
          <w:rFonts w:hint="default" w:ascii="Times New Roman" w:hAnsi="Times New Roman" w:cs="Times New Roman"/>
        </w:rPr>
        <w:t>，使其达到设计标高要求</w:t>
      </w:r>
      <w:r>
        <w:rPr>
          <w:rFonts w:hint="eastAsia" w:cs="Times New Roman"/>
          <w:lang w:eastAsia="zh-CN"/>
        </w:rPr>
        <w:t>，</w:t>
      </w:r>
      <w:r>
        <w:rPr>
          <w:rFonts w:hint="default" w:ascii="Times New Roman" w:hAnsi="Times New Roman" w:cs="Times New Roman"/>
          <w:color w:val="auto"/>
        </w:rPr>
        <w:t>建筑物无地下开挖。</w:t>
      </w:r>
      <w:r>
        <w:rPr>
          <w:rFonts w:hint="default" w:ascii="Times New Roman" w:hAnsi="Times New Roman" w:cs="Times New Roman"/>
          <w:lang w:val="zh-CN"/>
        </w:rPr>
        <w:t>通过查阅施工及监理资料，建构筑物区已产生一般土石方开挖共计</w:t>
      </w:r>
      <w:r>
        <w:rPr>
          <w:rFonts w:hint="eastAsia" w:cs="Times New Roman"/>
          <w:lang w:val="en-US" w:eastAsia="zh-CN"/>
        </w:rPr>
        <w:t>1197.00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，其中场地平整</w:t>
      </w:r>
      <w:r>
        <w:rPr>
          <w:rFonts w:hint="eastAsia" w:cs="Times New Roman"/>
          <w:color w:val="auto"/>
          <w:lang w:val="en-US" w:eastAsia="zh-CN"/>
        </w:rPr>
        <w:t>1197.00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w:t>
      </w:r>
      <w:r>
        <w:rPr>
          <w:rFonts w:hint="eastAsia" w:cs="Times New Roman"/>
          <w:color w:val="auto"/>
          <w:lang w:val="en-US" w:eastAsia="zh-CN"/>
        </w:rPr>
        <w:t>1197.00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；未产生永久弃方。</w:t>
      </w:r>
    </w:p>
    <w:p w14:paraId="438D61D2">
      <w:pPr>
        <w:adjustRightInd w:val="0"/>
        <w:snapToGrid w:val="0"/>
        <w:ind w:firstLine="480"/>
        <w:rPr>
          <w:rFonts w:hint="eastAsia" w:ascii="Times New Roman" w:hAnsi="Times New Roman" w:eastAsia="仿宋_GB2312" w:cs="Times New Roman"/>
          <w:lang w:eastAsia="zh-CN"/>
        </w:rPr>
      </w:pPr>
      <w:r>
        <w:rPr>
          <w:rFonts w:hint="default" w:ascii="Times New Roman" w:hAnsi="Times New Roman" w:cs="Times New Roman"/>
        </w:rPr>
        <w:t>（2）</w:t>
      </w:r>
      <w:r>
        <w:rPr>
          <w:rFonts w:hint="eastAsia" w:cs="Times New Roman"/>
          <w:lang w:eastAsia="zh-CN"/>
        </w:rPr>
        <w:t>道路及硬化区</w:t>
      </w:r>
    </w:p>
    <w:p w14:paraId="74CBFF3C">
      <w:pPr>
        <w:pStyle w:val="93"/>
        <w:rPr>
          <w:rFonts w:hint="default" w:ascii="Times New Roman" w:hAnsi="Times New Roman" w:cs="Times New Roman"/>
          <w:b/>
          <w:bCs/>
        </w:rPr>
      </w:pPr>
      <w:r>
        <w:rPr>
          <w:rFonts w:hint="default" w:ascii="Times New Roman" w:hAnsi="Times New Roman" w:cs="Times New Roman"/>
          <w:lang w:val="zh-CN"/>
        </w:rPr>
        <w:t>通过查阅施工及监理资料，</w:t>
      </w:r>
      <w:r>
        <w:rPr>
          <w:rFonts w:hint="eastAsia" w:cs="Times New Roman"/>
          <w:lang w:eastAsia="zh-CN"/>
        </w:rPr>
        <w:t>道路及硬化区</w:t>
      </w:r>
      <w:r>
        <w:rPr>
          <w:rFonts w:hint="default" w:ascii="Times New Roman" w:hAnsi="Times New Roman" w:cs="Times New Roman"/>
          <w:lang w:val="zh-CN"/>
        </w:rPr>
        <w:t>已产生一般土石方开挖共计</w:t>
      </w:r>
      <w:r>
        <w:rPr>
          <w:rFonts w:hint="eastAsia" w:cs="Times New Roman"/>
          <w:lang w:val="en-US" w:eastAsia="zh-CN"/>
        </w:rPr>
        <w:t>420.00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，其中场地平整</w:t>
      </w:r>
      <w:r>
        <w:rPr>
          <w:rFonts w:hint="eastAsia" w:cs="Times New Roman"/>
          <w:color w:val="auto"/>
          <w:lang w:val="en-US" w:eastAsia="zh-CN"/>
        </w:rPr>
        <w:t>420.00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w:t>
      </w:r>
      <w:r>
        <w:rPr>
          <w:rFonts w:hint="eastAsia" w:cs="Times New Roman"/>
          <w:color w:val="auto"/>
          <w:lang w:val="en-US" w:eastAsia="zh-CN"/>
        </w:rPr>
        <w:t>420.00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；未产生永久弃方。</w:t>
      </w:r>
    </w:p>
    <w:p w14:paraId="6F2E5174">
      <w:pPr>
        <w:adjustRightInd w:val="0"/>
        <w:snapToGrid w:val="0"/>
        <w:ind w:firstLine="480"/>
        <w:rPr>
          <w:rFonts w:hint="default" w:ascii="Times New Roman" w:hAnsi="Times New Roman" w:cs="Times New Roman"/>
        </w:rPr>
      </w:pPr>
      <w:r>
        <w:rPr>
          <w:rFonts w:hint="default" w:ascii="Times New Roman" w:hAnsi="Times New Roman" w:cs="Times New Roman"/>
        </w:rPr>
        <w:t>（3）绿化区</w:t>
      </w:r>
    </w:p>
    <w:p w14:paraId="1A11B976">
      <w:pPr>
        <w:pStyle w:val="93"/>
        <w:rPr>
          <w:rFonts w:hint="default" w:ascii="Times New Roman" w:hAnsi="Times New Roman" w:cs="Times New Roman"/>
          <w:b/>
          <w:bCs/>
        </w:rPr>
      </w:pPr>
      <w:r>
        <w:rPr>
          <w:rFonts w:hint="default" w:ascii="Times New Roman" w:hAnsi="Times New Roman" w:cs="Times New Roman"/>
          <w:lang w:val="zh-CN"/>
        </w:rPr>
        <w:t>通过查阅施工及监理资料，绿化</w:t>
      </w:r>
      <w:r>
        <w:rPr>
          <w:rFonts w:hint="default" w:ascii="Times New Roman" w:hAnsi="Times New Roman" w:cs="Times New Roman"/>
          <w:color w:val="auto"/>
        </w:rPr>
        <w:t>区</w:t>
      </w:r>
      <w:r>
        <w:rPr>
          <w:rFonts w:hint="default" w:ascii="Times New Roman" w:hAnsi="Times New Roman" w:cs="Times New Roman"/>
          <w:lang w:val="zh-CN"/>
        </w:rPr>
        <w:t>已产生一般土石方开挖共计</w:t>
      </w:r>
      <w:r>
        <w:rPr>
          <w:rFonts w:hint="eastAsia" w:cs="Times New Roman"/>
          <w:lang w:val="en-US" w:eastAsia="zh-CN"/>
        </w:rPr>
        <w:t>294.00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，其中场地平整</w:t>
      </w:r>
      <w:r>
        <w:rPr>
          <w:rFonts w:hint="eastAsia" w:cs="Times New Roman"/>
          <w:color w:val="auto"/>
          <w:lang w:val="en-US" w:eastAsia="zh-CN"/>
        </w:rPr>
        <w:t>294.00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w:t>
      </w:r>
      <w:r>
        <w:rPr>
          <w:rFonts w:hint="eastAsia" w:cs="Times New Roman"/>
          <w:color w:val="auto"/>
          <w:lang w:val="en-US" w:eastAsia="zh-CN"/>
        </w:rPr>
        <w:t>294.00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；未产生永久弃方。</w:t>
      </w:r>
    </w:p>
    <w:p w14:paraId="058385CD">
      <w:pPr>
        <w:pStyle w:val="93"/>
        <w:rPr>
          <w:rFonts w:hint="default" w:ascii="Times New Roman" w:hAnsi="Times New Roman" w:cs="Times New Roman"/>
          <w:b/>
          <w:bCs/>
        </w:rPr>
      </w:pPr>
      <w:r>
        <w:rPr>
          <w:rFonts w:hint="default" w:ascii="Times New Roman" w:hAnsi="Times New Roman" w:cs="Times New Roman"/>
          <w:color w:val="auto"/>
        </w:rPr>
        <w:t>综上所述，项目</w:t>
      </w:r>
      <w:r>
        <w:rPr>
          <w:rFonts w:hint="default" w:ascii="Times New Roman" w:hAnsi="Times New Roman" w:cs="Times New Roman"/>
        </w:rPr>
        <w:t>已产生</w:t>
      </w:r>
      <w:r>
        <w:rPr>
          <w:rFonts w:hint="default" w:ascii="Times New Roman" w:hAnsi="Times New Roman" w:cs="Times New Roman"/>
          <w:color w:val="auto"/>
        </w:rPr>
        <w:t>一般土石方开挖</w:t>
      </w:r>
      <w:r>
        <w:rPr>
          <w:rFonts w:hint="eastAsia" w:cs="Times New Roman"/>
          <w:color w:val="auto"/>
          <w:lang w:val="en-US" w:eastAsia="zh-CN"/>
        </w:rPr>
        <w:t>2115.60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，回填土石方</w:t>
      </w:r>
      <w:r>
        <w:rPr>
          <w:rFonts w:hint="eastAsia" w:cs="Times New Roman"/>
          <w:color w:val="auto"/>
          <w:lang w:val="en-US" w:eastAsia="zh-CN"/>
        </w:rPr>
        <w:t>2115.60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，项目区内调运土石方</w:t>
      </w:r>
      <w:r>
        <w:rPr>
          <w:rFonts w:hint="eastAsia" w:cs="Times New Roman"/>
          <w:color w:val="auto"/>
          <w:lang w:val="en-US" w:eastAsia="zh-CN"/>
        </w:rPr>
        <w:t>204.60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，未产生永久弃方。</w:t>
      </w:r>
    </w:p>
    <w:p w14:paraId="2B0D2E47">
      <w:pPr>
        <w:adjustRightInd w:val="0"/>
        <w:snapToGrid w:val="0"/>
        <w:ind w:firstLine="480"/>
        <w:rPr>
          <w:rFonts w:hint="default" w:ascii="Times New Roman" w:hAnsi="Times New Roman" w:cs="Times New Roman"/>
        </w:rPr>
      </w:pPr>
      <w:r>
        <w:rPr>
          <w:rFonts w:hint="default" w:ascii="Times New Roman" w:hAnsi="Times New Roman" w:cs="Times New Roman"/>
        </w:rPr>
        <w:t>已产生一般土石方平衡分析见表2-9。</w:t>
      </w:r>
    </w:p>
    <w:p w14:paraId="30775351">
      <w:pPr>
        <w:pStyle w:val="5"/>
        <w:rPr>
          <w:rFonts w:hint="default" w:ascii="Times New Roman" w:hAnsi="Times New Roman" w:cs="Times New Roman"/>
        </w:rPr>
      </w:pPr>
      <w:r>
        <w:rPr>
          <w:rFonts w:hint="eastAsia" w:ascii="Times New Roman" w:hAnsi="Times New Roman" w:cs="Times New Roman"/>
          <w:lang w:val="en-US" w:eastAsia="zh-CN"/>
        </w:rPr>
        <w:t>方案介入后</w:t>
      </w:r>
      <w:r>
        <w:rPr>
          <w:rFonts w:hint="default" w:ascii="Times New Roman" w:hAnsi="Times New Roman" w:cs="Times New Roman"/>
        </w:rPr>
        <w:t>将产生土石方平衡分析</w:t>
      </w:r>
    </w:p>
    <w:p w14:paraId="0C231F61">
      <w:pPr>
        <w:adjustRightInd w:val="0"/>
        <w:snapToGrid w:val="0"/>
        <w:ind w:firstLine="480"/>
        <w:rPr>
          <w:rFonts w:hint="default" w:ascii="Times New Roman" w:hAnsi="Times New Roman" w:cs="Times New Roman"/>
        </w:rPr>
      </w:pPr>
      <w:r>
        <w:rPr>
          <w:rFonts w:hint="default" w:ascii="Times New Roman" w:hAnsi="Times New Roman" w:cs="Times New Roman"/>
        </w:rPr>
        <w:t>根据主体工程设计资料及现场踏勘，结合实际情况分析，</w:t>
      </w:r>
      <w:bookmarkStart w:id="36" w:name="_Hlk73369128"/>
      <w:r>
        <w:rPr>
          <w:rFonts w:hint="default" w:ascii="Times New Roman" w:hAnsi="Times New Roman" w:cs="Times New Roman"/>
        </w:rPr>
        <w:t>目前主体工程正在施工，下阶段土石方主要来源于</w:t>
      </w:r>
      <w:r>
        <w:rPr>
          <w:rFonts w:hint="eastAsia" w:cs="Times New Roman"/>
          <w:lang w:val="en-US" w:eastAsia="zh-CN"/>
        </w:rPr>
        <w:t>场地平整及回填、基础开挖及回填。</w:t>
      </w:r>
      <w:bookmarkEnd w:id="36"/>
      <w:r>
        <w:rPr>
          <w:rFonts w:hint="default" w:ascii="Times New Roman" w:hAnsi="Times New Roman" w:cs="Times New Roman"/>
        </w:rPr>
        <w:t>现分述如下。</w:t>
      </w:r>
    </w:p>
    <w:p w14:paraId="2BFB10E9">
      <w:pPr>
        <w:adjustRightInd w:val="0"/>
        <w:snapToGrid w:val="0"/>
        <w:ind w:firstLine="480"/>
        <w:rPr>
          <w:rFonts w:hint="default" w:ascii="Times New Roman" w:hAnsi="Times New Roman" w:eastAsia="仿宋_GB2312" w:cs="Times New Roman"/>
          <w:lang w:val="en-US" w:eastAsia="zh-CN"/>
        </w:rPr>
      </w:pPr>
      <w:r>
        <w:rPr>
          <w:rFonts w:hint="eastAsia" w:cs="Times New Roman"/>
          <w:lang w:val="en-US" w:eastAsia="zh-CN"/>
        </w:rPr>
        <w:t>一、地块一</w:t>
      </w:r>
    </w:p>
    <w:p w14:paraId="28FD84E8">
      <w:pPr>
        <w:adjustRightInd w:val="0"/>
        <w:snapToGrid w:val="0"/>
        <w:ind w:firstLine="480"/>
        <w:rPr>
          <w:rFonts w:hint="default" w:ascii="Times New Roman" w:hAnsi="Times New Roman" w:cs="Times New Roman"/>
        </w:rPr>
      </w:pPr>
      <w:r>
        <w:rPr>
          <w:rFonts w:hint="default" w:ascii="Times New Roman" w:hAnsi="Times New Roman" w:cs="Times New Roman"/>
        </w:rPr>
        <w:t>（1）建构筑物区</w:t>
      </w:r>
    </w:p>
    <w:p w14:paraId="38834685">
      <w:pPr>
        <w:pStyle w:val="93"/>
        <w:rPr>
          <w:rFonts w:hint="default" w:ascii="Times New Roman" w:hAnsi="Times New Roman" w:cs="Times New Roman"/>
          <w:b/>
          <w:bCs/>
        </w:rPr>
      </w:pPr>
      <w:r>
        <w:rPr>
          <w:rFonts w:hint="default" w:ascii="Times New Roman" w:hAnsi="Times New Roman" w:cs="Times New Roman"/>
          <w:lang w:val="zh-CN"/>
        </w:rPr>
        <w:t>项目区</w:t>
      </w:r>
      <w:r>
        <w:rPr>
          <w:rFonts w:hint="eastAsia" w:cs="Times New Roman"/>
          <w:lang w:val="en-US" w:eastAsia="zh-CN"/>
        </w:rPr>
        <w:t>地块一</w:t>
      </w:r>
      <w:r>
        <w:rPr>
          <w:rFonts w:hint="default" w:ascii="Times New Roman" w:hAnsi="Times New Roman" w:cs="Times New Roman"/>
          <w:lang w:val="zh-CN"/>
        </w:rPr>
        <w:t>原始标高为</w:t>
      </w:r>
      <w:r>
        <w:rPr>
          <w:rFonts w:hint="eastAsia" w:cs="Times New Roman"/>
          <w:lang w:val="en-US" w:eastAsia="zh-CN"/>
        </w:rPr>
        <w:t>2291.65</w:t>
      </w:r>
      <w:r>
        <w:rPr>
          <w:rFonts w:hint="default" w:ascii="Times New Roman" w:hAnsi="Times New Roman" w:cs="Times New Roman"/>
          <w:lang w:val="zh-CN"/>
        </w:rPr>
        <w:t>~2</w:t>
      </w:r>
      <w:r>
        <w:rPr>
          <w:rFonts w:hint="eastAsia" w:cs="Times New Roman"/>
          <w:lang w:val="en-US" w:eastAsia="zh-CN"/>
        </w:rPr>
        <w:t>292.50</w:t>
      </w:r>
      <w:r>
        <w:rPr>
          <w:rFonts w:hint="default" w:ascii="Times New Roman" w:hAnsi="Times New Roman" w:cs="Times New Roman"/>
          <w:lang w:val="zh-CN"/>
        </w:rPr>
        <w:t>m，最终场地设计标高为2</w:t>
      </w:r>
      <w:r>
        <w:rPr>
          <w:rFonts w:hint="eastAsia" w:cs="Times New Roman"/>
          <w:lang w:val="en-US" w:eastAsia="zh-CN"/>
        </w:rPr>
        <w:t>292.30</w:t>
      </w:r>
      <w:r>
        <w:rPr>
          <w:rFonts w:hint="default" w:ascii="Times New Roman" w:hAnsi="Times New Roman" w:cs="Times New Roman"/>
          <w:lang w:val="zh-CN"/>
        </w:rPr>
        <w:t>m</w:t>
      </w:r>
      <w:r>
        <w:rPr>
          <w:rFonts w:hint="eastAsia" w:cs="Times New Roman"/>
          <w:lang w:val="zh-CN"/>
        </w:rPr>
        <w:t>，</w:t>
      </w:r>
      <w:r>
        <w:rPr>
          <w:rFonts w:hint="default" w:ascii="Times New Roman" w:hAnsi="Times New Roman" w:cs="Times New Roman"/>
          <w:color w:val="auto"/>
          <w:lang w:val="zh-CN"/>
        </w:rPr>
        <w:t>因此在项目建设前期需对项目区场地进行场地平整</w:t>
      </w:r>
      <w:r>
        <w:rPr>
          <w:rFonts w:hint="default" w:ascii="Times New Roman" w:hAnsi="Times New Roman" w:cs="Times New Roman"/>
          <w:color w:val="auto"/>
        </w:rPr>
        <w:t>，使其达到设计标高要求，建筑物无地下开挖。</w:t>
      </w:r>
      <w:r>
        <w:rPr>
          <w:rFonts w:hint="default" w:ascii="Times New Roman" w:hAnsi="Times New Roman" w:cs="Times New Roman"/>
          <w:lang w:val="zh-CN"/>
        </w:rPr>
        <w:t>建构筑物区</w:t>
      </w:r>
      <w:r>
        <w:rPr>
          <w:rFonts w:hint="eastAsia" w:cs="Times New Roman"/>
          <w:lang w:val="en-US" w:eastAsia="zh-CN"/>
        </w:rPr>
        <w:t>将产生</w:t>
      </w:r>
      <w:r>
        <w:rPr>
          <w:rFonts w:hint="default" w:ascii="Times New Roman" w:hAnsi="Times New Roman" w:cs="Times New Roman"/>
          <w:lang w:val="zh-CN"/>
        </w:rPr>
        <w:t>一般土石方开挖共计</w:t>
      </w:r>
      <w:r>
        <w:rPr>
          <w:rFonts w:hint="eastAsia" w:cs="Times New Roman"/>
          <w:lang w:val="en-US" w:eastAsia="zh-CN"/>
        </w:rPr>
        <w:t>2430.00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，其中场地平整</w:t>
      </w:r>
      <w:r>
        <w:rPr>
          <w:rFonts w:hint="eastAsia" w:cs="Times New Roman"/>
          <w:color w:val="auto"/>
          <w:lang w:val="en-US" w:eastAsia="zh-CN"/>
        </w:rPr>
        <w:t>630.00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，基础开挖</w:t>
      </w:r>
      <w:r>
        <w:rPr>
          <w:rFonts w:hint="eastAsia" w:cs="Times New Roman"/>
          <w:color w:val="auto"/>
          <w:lang w:val="en-US" w:eastAsia="zh-CN"/>
        </w:rPr>
        <w:t>1800.00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w:t>
      </w:r>
      <w:r>
        <w:rPr>
          <w:rFonts w:hint="eastAsia" w:cs="Times New Roman"/>
          <w:color w:val="auto"/>
          <w:lang w:val="en-US" w:eastAsia="zh-CN"/>
        </w:rPr>
        <w:t>900.00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；调往</w:t>
      </w:r>
      <w:r>
        <w:rPr>
          <w:rFonts w:hint="eastAsia" w:cs="Times New Roman"/>
          <w:color w:val="auto"/>
          <w:lang w:eastAsia="zh-CN"/>
        </w:rPr>
        <w:t>道路及硬化区</w:t>
      </w:r>
      <w:r>
        <w:rPr>
          <w:rFonts w:hint="default" w:ascii="Times New Roman" w:hAnsi="Times New Roman" w:cs="Times New Roman"/>
          <w:color w:val="auto"/>
        </w:rPr>
        <w:t>回填</w:t>
      </w:r>
      <w:r>
        <w:rPr>
          <w:rFonts w:hint="eastAsia" w:cs="Times New Roman"/>
          <w:color w:val="auto"/>
          <w:lang w:val="en-US" w:eastAsia="zh-CN"/>
        </w:rPr>
        <w:t>1530.00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eastAsia="zh-CN"/>
        </w:rPr>
        <w:t>；</w:t>
      </w:r>
      <w:r>
        <w:rPr>
          <w:rFonts w:hint="eastAsia" w:cs="Times New Roman"/>
          <w:color w:val="auto"/>
          <w:lang w:val="en-US" w:eastAsia="zh-CN"/>
        </w:rPr>
        <w:t>不</w:t>
      </w:r>
      <w:r>
        <w:rPr>
          <w:rFonts w:hint="default" w:ascii="Times New Roman" w:hAnsi="Times New Roman" w:cs="Times New Roman"/>
          <w:color w:val="auto"/>
        </w:rPr>
        <w:t>产生永久弃方。</w:t>
      </w:r>
    </w:p>
    <w:p w14:paraId="6B734D12">
      <w:pPr>
        <w:adjustRightInd w:val="0"/>
        <w:snapToGrid w:val="0"/>
        <w:ind w:firstLine="480"/>
        <w:rPr>
          <w:rFonts w:hint="eastAsia" w:ascii="Times New Roman" w:hAnsi="Times New Roman" w:eastAsia="仿宋_GB2312" w:cs="Times New Roman"/>
          <w:lang w:eastAsia="zh-CN"/>
        </w:rPr>
      </w:pPr>
      <w:r>
        <w:rPr>
          <w:rFonts w:hint="default" w:ascii="Times New Roman" w:hAnsi="Times New Roman" w:cs="Times New Roman"/>
        </w:rPr>
        <w:t>（2）</w:t>
      </w:r>
      <w:r>
        <w:rPr>
          <w:rFonts w:hint="eastAsia" w:cs="Times New Roman"/>
          <w:lang w:eastAsia="zh-CN"/>
        </w:rPr>
        <w:t>道路及硬化区</w:t>
      </w:r>
    </w:p>
    <w:p w14:paraId="46BF4B4C">
      <w:pPr>
        <w:pStyle w:val="93"/>
        <w:rPr>
          <w:rFonts w:hint="default" w:ascii="Times New Roman" w:hAnsi="Times New Roman" w:cs="Times New Roman"/>
          <w:b/>
          <w:bCs/>
        </w:rPr>
      </w:pPr>
      <w:r>
        <w:rPr>
          <w:rFonts w:hint="default" w:ascii="Times New Roman" w:hAnsi="Times New Roman" w:cs="Times New Roman"/>
          <w:lang w:val="zh-CN"/>
        </w:rPr>
        <w:t>通过查阅施工及监理资料，</w:t>
      </w:r>
      <w:r>
        <w:rPr>
          <w:rFonts w:hint="eastAsia" w:cs="Times New Roman"/>
          <w:lang w:eastAsia="zh-CN"/>
        </w:rPr>
        <w:t>道路及硬化区</w:t>
      </w:r>
      <w:r>
        <w:rPr>
          <w:rFonts w:hint="eastAsia" w:cs="Times New Roman"/>
          <w:lang w:val="en-US" w:eastAsia="zh-CN"/>
        </w:rPr>
        <w:t>将</w:t>
      </w:r>
      <w:r>
        <w:rPr>
          <w:rFonts w:hint="default" w:ascii="Times New Roman" w:hAnsi="Times New Roman" w:cs="Times New Roman"/>
          <w:lang w:val="zh-CN"/>
        </w:rPr>
        <w:t>产生一般土石方开挖共计</w:t>
      </w:r>
      <w:r>
        <w:rPr>
          <w:rFonts w:hint="eastAsia" w:cs="Times New Roman"/>
          <w:lang w:val="en-US" w:eastAsia="zh-CN"/>
        </w:rPr>
        <w:t>1491.00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，其中场地平整</w:t>
      </w:r>
      <w:r>
        <w:rPr>
          <w:rFonts w:hint="eastAsia" w:cs="Times New Roman"/>
          <w:color w:val="auto"/>
          <w:lang w:val="en-US" w:eastAsia="zh-CN"/>
        </w:rPr>
        <w:t>441.00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eastAsia="zh-CN"/>
        </w:rPr>
        <w:t>，</w:t>
      </w:r>
      <w:r>
        <w:rPr>
          <w:rFonts w:hint="default" w:ascii="Times New Roman" w:hAnsi="Times New Roman" w:cs="Times New Roman"/>
          <w:color w:val="auto"/>
        </w:rPr>
        <w:t>基础开挖</w:t>
      </w:r>
      <w:r>
        <w:rPr>
          <w:rFonts w:hint="eastAsia" w:cs="Times New Roman"/>
          <w:color w:val="auto"/>
          <w:lang w:val="en-US" w:eastAsia="zh-CN"/>
        </w:rPr>
        <w:t>1050.00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eastAsia="zh-CN"/>
        </w:rPr>
        <w:t>；</w:t>
      </w:r>
      <w:r>
        <w:rPr>
          <w:rFonts w:hint="default" w:ascii="Times New Roman" w:hAnsi="Times New Roman" w:cs="Times New Roman"/>
          <w:color w:val="auto"/>
        </w:rPr>
        <w:t>土石方回填</w:t>
      </w:r>
      <w:r>
        <w:rPr>
          <w:rFonts w:hint="eastAsia" w:cs="Times New Roman"/>
          <w:color w:val="auto"/>
          <w:lang w:val="en-US" w:eastAsia="zh-CN"/>
        </w:rPr>
        <w:t>3021.00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；从建构筑物区调入回填</w:t>
      </w:r>
      <w:r>
        <w:rPr>
          <w:rFonts w:hint="default" w:ascii="Times New Roman" w:hAnsi="Times New Roman" w:cs="Times New Roman"/>
          <w:color w:val="auto"/>
          <w:lang w:val="en-US" w:eastAsia="zh-CN"/>
        </w:rPr>
        <w:t>1</w:t>
      </w:r>
      <w:r>
        <w:rPr>
          <w:rFonts w:hint="eastAsia" w:cs="Times New Roman"/>
          <w:color w:val="auto"/>
          <w:lang w:val="en-US" w:eastAsia="zh-CN"/>
        </w:rPr>
        <w:t>530.00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不</w:t>
      </w:r>
      <w:r>
        <w:rPr>
          <w:rFonts w:hint="default" w:ascii="Times New Roman" w:hAnsi="Times New Roman" w:cs="Times New Roman"/>
          <w:color w:val="auto"/>
        </w:rPr>
        <w:t>产生永久弃方。</w:t>
      </w:r>
    </w:p>
    <w:p w14:paraId="0EFF7CA9">
      <w:pPr>
        <w:adjustRightInd w:val="0"/>
        <w:snapToGrid w:val="0"/>
        <w:ind w:firstLine="480"/>
        <w:rPr>
          <w:rFonts w:hint="default" w:ascii="Times New Roman" w:hAnsi="Times New Roman" w:cs="Times New Roman"/>
        </w:rPr>
      </w:pPr>
      <w:r>
        <w:rPr>
          <w:rFonts w:hint="default" w:ascii="Times New Roman" w:hAnsi="Times New Roman" w:cs="Times New Roman"/>
        </w:rPr>
        <w:t>（3）绿化区</w:t>
      </w:r>
    </w:p>
    <w:p w14:paraId="17A0C3D4">
      <w:pPr>
        <w:pStyle w:val="93"/>
        <w:rPr>
          <w:rFonts w:hint="default" w:ascii="Times New Roman" w:hAnsi="Times New Roman" w:cs="Times New Roman"/>
          <w:b/>
          <w:bCs/>
        </w:rPr>
      </w:pPr>
      <w:r>
        <w:rPr>
          <w:rFonts w:hint="default" w:ascii="Times New Roman" w:hAnsi="Times New Roman" w:cs="Times New Roman"/>
          <w:lang w:val="zh-CN"/>
        </w:rPr>
        <w:t>通过查阅施工及监理资料，绿化</w:t>
      </w:r>
      <w:r>
        <w:rPr>
          <w:rFonts w:hint="default" w:ascii="Times New Roman" w:hAnsi="Times New Roman" w:cs="Times New Roman"/>
          <w:color w:val="auto"/>
        </w:rPr>
        <w:t>区</w:t>
      </w:r>
      <w:r>
        <w:rPr>
          <w:rFonts w:hint="default" w:ascii="Times New Roman" w:hAnsi="Times New Roman" w:cs="Times New Roman"/>
          <w:lang w:val="zh-CN"/>
        </w:rPr>
        <w:t>已产生一般土石方开挖共计</w:t>
      </w:r>
      <w:r>
        <w:rPr>
          <w:rFonts w:hint="eastAsia" w:cs="Times New Roman"/>
          <w:lang w:val="en-US" w:eastAsia="zh-CN"/>
        </w:rPr>
        <w:t>189.00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，其中场地平整</w:t>
      </w:r>
      <w:r>
        <w:rPr>
          <w:rFonts w:hint="eastAsia" w:cs="Times New Roman"/>
          <w:color w:val="auto"/>
          <w:lang w:val="en-US" w:eastAsia="zh-CN"/>
        </w:rPr>
        <w:t>189.00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w:t>
      </w:r>
      <w:r>
        <w:rPr>
          <w:rFonts w:hint="eastAsia" w:cs="Times New Roman"/>
          <w:color w:val="auto"/>
          <w:lang w:val="en-US" w:eastAsia="zh-CN"/>
        </w:rPr>
        <w:t>189.00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不</w:t>
      </w:r>
      <w:r>
        <w:rPr>
          <w:rFonts w:hint="default" w:ascii="Times New Roman" w:hAnsi="Times New Roman" w:cs="Times New Roman"/>
          <w:color w:val="auto"/>
        </w:rPr>
        <w:t>产生永久弃方。</w:t>
      </w:r>
    </w:p>
    <w:p w14:paraId="4A9D3C64">
      <w:pPr>
        <w:adjustRightInd w:val="0"/>
        <w:snapToGrid w:val="0"/>
        <w:ind w:firstLine="480"/>
        <w:rPr>
          <w:rFonts w:hint="default" w:ascii="Times New Roman" w:hAnsi="Times New Roman" w:eastAsia="仿宋_GB2312" w:cs="Times New Roman"/>
          <w:lang w:val="en-US" w:eastAsia="zh-CN"/>
        </w:rPr>
      </w:pPr>
      <w:r>
        <w:rPr>
          <w:rFonts w:hint="eastAsia" w:cs="Times New Roman"/>
          <w:lang w:val="en-US" w:eastAsia="zh-CN"/>
        </w:rPr>
        <w:t>二、地块二</w:t>
      </w:r>
    </w:p>
    <w:p w14:paraId="76801334">
      <w:pPr>
        <w:adjustRightInd w:val="0"/>
        <w:snapToGrid w:val="0"/>
        <w:ind w:firstLine="480"/>
        <w:rPr>
          <w:rFonts w:hint="default" w:ascii="Times New Roman" w:hAnsi="Times New Roman" w:cs="Times New Roman"/>
        </w:rPr>
      </w:pPr>
      <w:r>
        <w:rPr>
          <w:rFonts w:hint="default" w:ascii="Times New Roman" w:hAnsi="Times New Roman" w:cs="Times New Roman"/>
        </w:rPr>
        <w:t>（1）建构筑物区</w:t>
      </w:r>
    </w:p>
    <w:p w14:paraId="3FBF64FC">
      <w:pPr>
        <w:pStyle w:val="93"/>
        <w:rPr>
          <w:rFonts w:hint="default" w:ascii="Times New Roman" w:hAnsi="Times New Roman" w:cs="Times New Roman"/>
          <w:b/>
          <w:bCs/>
        </w:rPr>
      </w:pPr>
      <w:r>
        <w:rPr>
          <w:rFonts w:hint="default" w:ascii="Times New Roman" w:hAnsi="Times New Roman" w:cs="Times New Roman"/>
          <w:lang w:val="zh-CN"/>
        </w:rPr>
        <w:t>建构筑物区</w:t>
      </w:r>
      <w:r>
        <w:rPr>
          <w:rFonts w:hint="eastAsia" w:cs="Times New Roman"/>
          <w:lang w:val="en-US" w:eastAsia="zh-CN"/>
        </w:rPr>
        <w:t>将产生</w:t>
      </w:r>
      <w:r>
        <w:rPr>
          <w:rFonts w:hint="default" w:ascii="Times New Roman" w:hAnsi="Times New Roman" w:cs="Times New Roman"/>
          <w:lang w:val="zh-CN"/>
        </w:rPr>
        <w:t>一般土石方开挖共计</w:t>
      </w:r>
      <w:r>
        <w:rPr>
          <w:rFonts w:hint="eastAsia" w:cs="Times New Roman"/>
          <w:lang w:val="en-US" w:eastAsia="zh-CN"/>
        </w:rPr>
        <w:t>1200.00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，其中基础开挖</w:t>
      </w:r>
      <w:r>
        <w:rPr>
          <w:rFonts w:hint="eastAsia" w:cs="Times New Roman"/>
          <w:color w:val="auto"/>
          <w:lang w:val="en-US" w:eastAsia="zh-CN"/>
        </w:rPr>
        <w:t>1200.00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；土石方回填</w:t>
      </w:r>
      <w:r>
        <w:rPr>
          <w:rFonts w:hint="eastAsia" w:cs="Times New Roman"/>
          <w:color w:val="auto"/>
          <w:lang w:val="en-US" w:eastAsia="zh-CN"/>
        </w:rPr>
        <w:t>180.00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；调往</w:t>
      </w:r>
      <w:r>
        <w:rPr>
          <w:rFonts w:hint="eastAsia" w:cs="Times New Roman"/>
          <w:color w:val="auto"/>
          <w:lang w:eastAsia="zh-CN"/>
        </w:rPr>
        <w:t>道路及硬化区</w:t>
      </w:r>
      <w:r>
        <w:rPr>
          <w:rFonts w:hint="default" w:ascii="Times New Roman" w:hAnsi="Times New Roman" w:cs="Times New Roman"/>
          <w:color w:val="auto"/>
        </w:rPr>
        <w:t>回填</w:t>
      </w:r>
      <w:r>
        <w:rPr>
          <w:rFonts w:hint="eastAsia" w:cs="Times New Roman"/>
          <w:color w:val="auto"/>
          <w:lang w:val="en-US" w:eastAsia="zh-CN"/>
        </w:rPr>
        <w:t>1020.00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eastAsia="zh-CN"/>
        </w:rPr>
        <w:t>；</w:t>
      </w:r>
      <w:r>
        <w:rPr>
          <w:rFonts w:hint="eastAsia" w:cs="Times New Roman"/>
          <w:color w:val="auto"/>
          <w:lang w:val="en-US" w:eastAsia="zh-CN"/>
        </w:rPr>
        <w:t>不</w:t>
      </w:r>
      <w:r>
        <w:rPr>
          <w:rFonts w:hint="default" w:ascii="Times New Roman" w:hAnsi="Times New Roman" w:cs="Times New Roman"/>
          <w:color w:val="auto"/>
        </w:rPr>
        <w:t>产生永久弃方。</w:t>
      </w:r>
    </w:p>
    <w:p w14:paraId="704869BE">
      <w:pPr>
        <w:adjustRightInd w:val="0"/>
        <w:snapToGrid w:val="0"/>
        <w:ind w:firstLine="480"/>
        <w:rPr>
          <w:rFonts w:hint="eastAsia" w:ascii="Times New Roman" w:hAnsi="Times New Roman" w:eastAsia="仿宋_GB2312" w:cs="Times New Roman"/>
          <w:lang w:eastAsia="zh-CN"/>
        </w:rPr>
      </w:pPr>
      <w:r>
        <w:rPr>
          <w:rFonts w:hint="default" w:ascii="Times New Roman" w:hAnsi="Times New Roman" w:cs="Times New Roman"/>
        </w:rPr>
        <w:t>（2）</w:t>
      </w:r>
      <w:r>
        <w:rPr>
          <w:rFonts w:hint="eastAsia" w:cs="Times New Roman"/>
          <w:lang w:eastAsia="zh-CN"/>
        </w:rPr>
        <w:t>道路及硬化区</w:t>
      </w:r>
    </w:p>
    <w:p w14:paraId="2E67F7FD">
      <w:pPr>
        <w:pStyle w:val="93"/>
        <w:rPr>
          <w:rFonts w:hint="default" w:ascii="Times New Roman" w:hAnsi="Times New Roman" w:cs="Times New Roman"/>
          <w:b/>
          <w:bCs/>
        </w:rPr>
      </w:pPr>
      <w:r>
        <w:rPr>
          <w:rFonts w:hint="default" w:ascii="Times New Roman" w:hAnsi="Times New Roman" w:cs="Times New Roman"/>
          <w:lang w:val="zh-CN"/>
        </w:rPr>
        <w:t>通过查阅施工及监理资料，</w:t>
      </w:r>
      <w:r>
        <w:rPr>
          <w:rFonts w:hint="eastAsia" w:cs="Times New Roman"/>
          <w:lang w:eastAsia="zh-CN"/>
        </w:rPr>
        <w:t>道路及硬化区</w:t>
      </w:r>
      <w:r>
        <w:rPr>
          <w:rFonts w:hint="eastAsia" w:cs="Times New Roman"/>
          <w:lang w:val="en-US" w:eastAsia="zh-CN"/>
        </w:rPr>
        <w:t>将</w:t>
      </w:r>
      <w:r>
        <w:rPr>
          <w:rFonts w:hint="default" w:ascii="Times New Roman" w:hAnsi="Times New Roman" w:cs="Times New Roman"/>
          <w:lang w:val="zh-CN"/>
        </w:rPr>
        <w:t>产生一般土石方开挖共计</w:t>
      </w:r>
      <w:r>
        <w:rPr>
          <w:rFonts w:hint="eastAsia" w:cs="Times New Roman"/>
          <w:lang w:val="en-US" w:eastAsia="zh-CN"/>
        </w:rPr>
        <w:t>700.00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，其中基础开挖</w:t>
      </w:r>
      <w:r>
        <w:rPr>
          <w:rFonts w:hint="eastAsia" w:cs="Times New Roman"/>
          <w:color w:val="auto"/>
          <w:lang w:val="en-US" w:eastAsia="zh-CN"/>
        </w:rPr>
        <w:t>700.00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lang w:eastAsia="zh-CN"/>
        </w:rPr>
        <w:t>；</w:t>
      </w:r>
      <w:r>
        <w:rPr>
          <w:rFonts w:hint="default" w:ascii="Times New Roman" w:hAnsi="Times New Roman" w:cs="Times New Roman"/>
          <w:color w:val="auto"/>
        </w:rPr>
        <w:t>土石方回填</w:t>
      </w:r>
      <w:r>
        <w:rPr>
          <w:rFonts w:hint="eastAsia" w:cs="Times New Roman"/>
          <w:color w:val="auto"/>
          <w:lang w:val="en-US" w:eastAsia="zh-CN"/>
        </w:rPr>
        <w:t>1720.00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；从建构筑物区调入回填</w:t>
      </w:r>
      <w:r>
        <w:rPr>
          <w:rFonts w:hint="eastAsia" w:cs="Times New Roman"/>
          <w:color w:val="auto"/>
          <w:lang w:val="en-US" w:eastAsia="zh-CN"/>
        </w:rPr>
        <w:t>1020.00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s="Times New Roman"/>
          <w:color w:val="auto"/>
          <w:lang w:val="en-US" w:eastAsia="zh-CN"/>
        </w:rPr>
        <w:t>不</w:t>
      </w:r>
      <w:r>
        <w:rPr>
          <w:rFonts w:hint="default" w:ascii="Times New Roman" w:hAnsi="Times New Roman" w:cs="Times New Roman"/>
          <w:color w:val="auto"/>
        </w:rPr>
        <w:t>产生永久弃方。</w:t>
      </w:r>
    </w:p>
    <w:p w14:paraId="0C47BAB8">
      <w:pPr>
        <w:pStyle w:val="93"/>
        <w:rPr>
          <w:rFonts w:hint="default" w:ascii="Times New Roman" w:hAnsi="Times New Roman" w:cs="Times New Roman"/>
          <w:b/>
          <w:bCs/>
        </w:rPr>
      </w:pPr>
      <w:r>
        <w:rPr>
          <w:rFonts w:hint="default" w:ascii="Times New Roman" w:hAnsi="Times New Roman" w:cs="Times New Roman"/>
          <w:color w:val="auto"/>
        </w:rPr>
        <w:t>综上所述，项目</w:t>
      </w:r>
      <w:r>
        <w:rPr>
          <w:rFonts w:hint="eastAsia" w:cs="Times New Roman"/>
          <w:color w:val="auto"/>
          <w:lang w:val="en-US" w:eastAsia="zh-CN"/>
        </w:rPr>
        <w:t>将</w:t>
      </w:r>
      <w:r>
        <w:rPr>
          <w:rFonts w:hint="default" w:ascii="Times New Roman" w:hAnsi="Times New Roman" w:cs="Times New Roman"/>
        </w:rPr>
        <w:t>产生</w:t>
      </w:r>
      <w:r>
        <w:rPr>
          <w:rFonts w:hint="default" w:ascii="Times New Roman" w:hAnsi="Times New Roman" w:cs="Times New Roman"/>
          <w:color w:val="auto"/>
        </w:rPr>
        <w:t>一般土石方开挖</w:t>
      </w:r>
      <w:r>
        <w:rPr>
          <w:rFonts w:hint="eastAsia" w:cs="Times New Roman"/>
          <w:color w:val="auto"/>
          <w:lang w:val="en-US" w:eastAsia="zh-CN"/>
        </w:rPr>
        <w:t>6010.00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，回填土石方</w:t>
      </w:r>
      <w:r>
        <w:rPr>
          <w:rFonts w:hint="eastAsia" w:cs="Times New Roman"/>
          <w:color w:val="auto"/>
          <w:lang w:val="en-US" w:eastAsia="zh-CN"/>
        </w:rPr>
        <w:t>6010.00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，项目区内调运土石方</w:t>
      </w:r>
      <w:r>
        <w:rPr>
          <w:rFonts w:hint="eastAsia" w:cs="Times New Roman"/>
          <w:color w:val="auto"/>
          <w:lang w:val="en-US" w:eastAsia="zh-CN"/>
        </w:rPr>
        <w:t>2550.00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rPr>
        <w:t>，未产生永久弃方。</w:t>
      </w:r>
    </w:p>
    <w:p w14:paraId="46E404DC">
      <w:pPr>
        <w:pStyle w:val="26"/>
        <w:rPr>
          <w:rFonts w:hint="default"/>
        </w:rPr>
      </w:pPr>
    </w:p>
    <w:p w14:paraId="24C11500">
      <w:pPr>
        <w:pStyle w:val="23"/>
        <w:ind w:firstLine="480"/>
        <w:rPr>
          <w:rFonts w:hint="default" w:ascii="Times New Roman" w:hAnsi="Times New Roman" w:cs="Times New Roman"/>
        </w:rPr>
        <w:sectPr>
          <w:headerReference r:id="rId15" w:type="default"/>
          <w:pgSz w:w="11906" w:h="16838"/>
          <w:pgMar w:top="1531" w:right="1418" w:bottom="1418" w:left="1531" w:header="851" w:footer="992" w:gutter="0"/>
          <w:pgBorders>
            <w:top w:val="none" w:sz="0" w:space="0"/>
            <w:left w:val="none" w:sz="0" w:space="0"/>
            <w:bottom w:val="none" w:sz="0" w:space="0"/>
            <w:right w:val="none" w:sz="0" w:space="0"/>
          </w:pgBorders>
          <w:pgNumType w:fmt="decimal"/>
          <w:cols w:space="425" w:num="1"/>
          <w:docGrid w:linePitch="312" w:charSpace="0"/>
        </w:sectPr>
      </w:pPr>
    </w:p>
    <w:p w14:paraId="5E7131C2">
      <w:pPr>
        <w:pStyle w:val="83"/>
        <w:keepNext w:val="0"/>
        <w:keepLines w:val="0"/>
        <w:pageBreakBefore w:val="0"/>
        <w:widowControl/>
        <w:kinsoku/>
        <w:wordWrap/>
        <w:overflowPunct/>
        <w:topLinePunct w:val="0"/>
        <w:autoSpaceDE/>
        <w:autoSpaceDN/>
        <w:bidi w:val="0"/>
        <w:adjustRightInd w:val="0"/>
        <w:snapToGrid w:val="0"/>
        <w:textAlignment w:val="baseline"/>
        <w:rPr>
          <w:rFonts w:hint="default" w:ascii="Times New Roman" w:hAnsi="Times New Roman" w:eastAsia="仿宋_GB2312" w:cs="Times New Roman"/>
          <w:b/>
          <w:bCs w:val="0"/>
          <w:sz w:val="21"/>
          <w:szCs w:val="21"/>
          <w:vertAlign w:val="superscript"/>
        </w:rPr>
      </w:pPr>
      <w:r>
        <w:rPr>
          <w:rFonts w:hint="default" w:ascii="Times New Roman" w:hAnsi="Times New Roman" w:eastAsia="仿宋_GB2312" w:cs="Times New Roman"/>
          <w:b/>
          <w:bCs w:val="0"/>
        </w:rPr>
        <w:t xml:space="preserve">表2-9                                    </w:t>
      </w:r>
      <w:r>
        <w:rPr>
          <w:rFonts w:hint="eastAsia" w:eastAsia="仿宋_GB2312" w:cs="Times New Roman"/>
          <w:b/>
          <w:bCs w:val="0"/>
          <w:lang w:val="en-US" w:eastAsia="zh-CN"/>
        </w:rPr>
        <w:t>方案介入前</w:t>
      </w:r>
      <w:r>
        <w:rPr>
          <w:rFonts w:hint="default" w:ascii="Times New Roman" w:hAnsi="Times New Roman" w:eastAsia="仿宋_GB2312" w:cs="Times New Roman"/>
          <w:b/>
          <w:bCs w:val="0"/>
        </w:rPr>
        <w:t>已产生一般土石方平衡及流向分析表                          单位：</w:t>
      </w:r>
      <w:r>
        <w:rPr>
          <w:rFonts w:hint="default" w:ascii="Times New Roman" w:hAnsi="Times New Roman" w:eastAsia="仿宋_GB2312" w:cs="Times New Roman"/>
          <w:b/>
          <w:bCs w:val="0"/>
          <w:sz w:val="21"/>
          <w:szCs w:val="21"/>
        </w:rPr>
        <w:t>m</w:t>
      </w:r>
      <w:r>
        <w:rPr>
          <w:rFonts w:hint="default" w:ascii="Times New Roman" w:hAnsi="Times New Roman" w:eastAsia="仿宋_GB2312" w:cs="Times New Roman"/>
          <w:b/>
          <w:bCs w:val="0"/>
          <w:sz w:val="21"/>
          <w:szCs w:val="21"/>
          <w:vertAlign w:val="superscript"/>
        </w:rPr>
        <w:t>3</w:t>
      </w:r>
    </w:p>
    <w:tbl>
      <w:tblPr>
        <w:tblStyle w:val="27"/>
        <w:tblW w:w="1478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46"/>
        <w:gridCol w:w="1476"/>
        <w:gridCol w:w="1056"/>
        <w:gridCol w:w="1056"/>
        <w:gridCol w:w="899"/>
        <w:gridCol w:w="1056"/>
        <w:gridCol w:w="899"/>
        <w:gridCol w:w="899"/>
        <w:gridCol w:w="1266"/>
        <w:gridCol w:w="899"/>
        <w:gridCol w:w="1477"/>
        <w:gridCol w:w="637"/>
        <w:gridCol w:w="637"/>
        <w:gridCol w:w="739"/>
        <w:gridCol w:w="941"/>
      </w:tblGrid>
      <w:tr w14:paraId="2B2E9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2322" w:type="dxa"/>
            <w:gridSpan w:val="2"/>
            <w:vMerge w:val="restart"/>
            <w:tcBorders>
              <w:tl2br w:val="nil"/>
              <w:tr2bl w:val="nil"/>
            </w:tcBorders>
            <w:shd w:val="clear" w:color="auto" w:fill="FFFFFF"/>
            <w:vAlign w:val="center"/>
          </w:tcPr>
          <w:p w14:paraId="3C97C9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w:t>
            </w:r>
          </w:p>
        </w:tc>
        <w:tc>
          <w:tcPr>
            <w:tcW w:w="3011" w:type="dxa"/>
            <w:gridSpan w:val="3"/>
            <w:tcBorders>
              <w:tl2br w:val="nil"/>
              <w:tr2bl w:val="nil"/>
            </w:tcBorders>
            <w:shd w:val="clear" w:color="auto" w:fill="FFFFFF"/>
            <w:noWrap/>
            <w:vAlign w:val="center"/>
          </w:tcPr>
          <w:p w14:paraId="340A39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土石方开挖</w:t>
            </w:r>
          </w:p>
        </w:tc>
        <w:tc>
          <w:tcPr>
            <w:tcW w:w="1955" w:type="dxa"/>
            <w:gridSpan w:val="2"/>
            <w:tcBorders>
              <w:tl2br w:val="nil"/>
              <w:tr2bl w:val="nil"/>
            </w:tcBorders>
            <w:shd w:val="clear" w:color="auto" w:fill="FFFFFF"/>
            <w:noWrap/>
            <w:vAlign w:val="center"/>
          </w:tcPr>
          <w:p w14:paraId="21FB1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土石方回填</w:t>
            </w:r>
          </w:p>
        </w:tc>
        <w:tc>
          <w:tcPr>
            <w:tcW w:w="2165" w:type="dxa"/>
            <w:gridSpan w:val="2"/>
            <w:tcBorders>
              <w:tl2br w:val="nil"/>
              <w:tr2bl w:val="nil"/>
            </w:tcBorders>
            <w:shd w:val="clear" w:color="auto" w:fill="FFFFFF"/>
            <w:noWrap/>
            <w:vAlign w:val="center"/>
          </w:tcPr>
          <w:p w14:paraId="0115A4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调入</w:t>
            </w:r>
          </w:p>
        </w:tc>
        <w:tc>
          <w:tcPr>
            <w:tcW w:w="2376" w:type="dxa"/>
            <w:gridSpan w:val="2"/>
            <w:tcBorders>
              <w:tl2br w:val="nil"/>
              <w:tr2bl w:val="nil"/>
            </w:tcBorders>
            <w:shd w:val="clear" w:color="auto" w:fill="FFFFFF"/>
            <w:noWrap/>
            <w:vAlign w:val="center"/>
          </w:tcPr>
          <w:p w14:paraId="04F6C3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调出</w:t>
            </w:r>
          </w:p>
        </w:tc>
        <w:tc>
          <w:tcPr>
            <w:tcW w:w="1274" w:type="dxa"/>
            <w:gridSpan w:val="2"/>
            <w:tcBorders>
              <w:tl2br w:val="nil"/>
              <w:tr2bl w:val="nil"/>
            </w:tcBorders>
            <w:shd w:val="clear" w:color="auto" w:fill="FFFFFF"/>
            <w:noWrap/>
            <w:vAlign w:val="center"/>
          </w:tcPr>
          <w:p w14:paraId="5AD42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外借</w:t>
            </w:r>
          </w:p>
        </w:tc>
        <w:tc>
          <w:tcPr>
            <w:tcW w:w="1680" w:type="dxa"/>
            <w:gridSpan w:val="2"/>
            <w:tcBorders>
              <w:tl2br w:val="nil"/>
              <w:tr2bl w:val="nil"/>
            </w:tcBorders>
            <w:shd w:val="clear" w:color="auto" w:fill="FFFFFF"/>
            <w:noWrap/>
            <w:vAlign w:val="center"/>
          </w:tcPr>
          <w:p w14:paraId="70D89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废弃</w:t>
            </w:r>
          </w:p>
        </w:tc>
      </w:tr>
      <w:tr w14:paraId="47762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322" w:type="dxa"/>
            <w:gridSpan w:val="2"/>
            <w:vMerge w:val="continue"/>
            <w:tcBorders>
              <w:tl2br w:val="nil"/>
              <w:tr2bl w:val="nil"/>
            </w:tcBorders>
            <w:shd w:val="clear" w:color="auto" w:fill="FFFFFF"/>
            <w:vAlign w:val="center"/>
          </w:tcPr>
          <w:p w14:paraId="679B57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auto"/>
            <w:noWrap/>
            <w:vAlign w:val="center"/>
          </w:tcPr>
          <w:p w14:paraId="39636B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场地平整</w:t>
            </w:r>
          </w:p>
        </w:tc>
        <w:tc>
          <w:tcPr>
            <w:tcW w:w="1056" w:type="dxa"/>
            <w:tcBorders>
              <w:tl2br w:val="nil"/>
              <w:tr2bl w:val="nil"/>
            </w:tcBorders>
            <w:shd w:val="clear" w:color="auto" w:fill="FFFFFF"/>
            <w:noWrap/>
            <w:vAlign w:val="center"/>
          </w:tcPr>
          <w:p w14:paraId="5AD38D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基础开挖</w:t>
            </w:r>
          </w:p>
        </w:tc>
        <w:tc>
          <w:tcPr>
            <w:tcW w:w="899" w:type="dxa"/>
            <w:tcBorders>
              <w:tl2br w:val="nil"/>
              <w:tr2bl w:val="nil"/>
            </w:tcBorders>
            <w:shd w:val="clear" w:color="auto" w:fill="FFFFFF"/>
            <w:noWrap/>
            <w:vAlign w:val="center"/>
          </w:tcPr>
          <w:p w14:paraId="5EC59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1056" w:type="dxa"/>
            <w:tcBorders>
              <w:tl2br w:val="nil"/>
              <w:tr2bl w:val="nil"/>
            </w:tcBorders>
            <w:shd w:val="clear" w:color="auto" w:fill="FFFFFF"/>
            <w:noWrap/>
            <w:vAlign w:val="center"/>
          </w:tcPr>
          <w:p w14:paraId="59338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场地回填</w:t>
            </w:r>
          </w:p>
        </w:tc>
        <w:tc>
          <w:tcPr>
            <w:tcW w:w="899" w:type="dxa"/>
            <w:tcBorders>
              <w:tl2br w:val="nil"/>
              <w:tr2bl w:val="nil"/>
            </w:tcBorders>
            <w:shd w:val="clear" w:color="auto" w:fill="FFFFFF"/>
            <w:noWrap/>
            <w:vAlign w:val="center"/>
          </w:tcPr>
          <w:p w14:paraId="1D76D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899" w:type="dxa"/>
            <w:tcBorders>
              <w:tl2br w:val="nil"/>
              <w:tr2bl w:val="nil"/>
            </w:tcBorders>
            <w:shd w:val="clear" w:color="auto" w:fill="FFFFFF"/>
            <w:noWrap/>
            <w:vAlign w:val="center"/>
          </w:tcPr>
          <w:p w14:paraId="5D2D60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1266" w:type="dxa"/>
            <w:tcBorders>
              <w:tl2br w:val="nil"/>
              <w:tr2bl w:val="nil"/>
            </w:tcBorders>
            <w:shd w:val="clear" w:color="auto" w:fill="FFFFFF"/>
            <w:noWrap/>
            <w:vAlign w:val="center"/>
          </w:tcPr>
          <w:p w14:paraId="2852C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来源</w:t>
            </w:r>
          </w:p>
        </w:tc>
        <w:tc>
          <w:tcPr>
            <w:tcW w:w="899" w:type="dxa"/>
            <w:tcBorders>
              <w:tl2br w:val="nil"/>
              <w:tr2bl w:val="nil"/>
            </w:tcBorders>
            <w:shd w:val="clear" w:color="auto" w:fill="FFFFFF"/>
            <w:noWrap/>
            <w:vAlign w:val="center"/>
          </w:tcPr>
          <w:p w14:paraId="30D35E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1477" w:type="dxa"/>
            <w:tcBorders>
              <w:tl2br w:val="nil"/>
              <w:tr2bl w:val="nil"/>
            </w:tcBorders>
            <w:shd w:val="clear" w:color="auto" w:fill="FFFFFF"/>
            <w:noWrap/>
            <w:vAlign w:val="center"/>
          </w:tcPr>
          <w:p w14:paraId="1BBAD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去向</w:t>
            </w:r>
          </w:p>
        </w:tc>
        <w:tc>
          <w:tcPr>
            <w:tcW w:w="637" w:type="dxa"/>
            <w:tcBorders>
              <w:tl2br w:val="nil"/>
              <w:tr2bl w:val="nil"/>
            </w:tcBorders>
            <w:shd w:val="clear" w:color="auto" w:fill="FFFFFF"/>
            <w:noWrap/>
            <w:vAlign w:val="center"/>
          </w:tcPr>
          <w:p w14:paraId="0D1F2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637" w:type="dxa"/>
            <w:tcBorders>
              <w:tl2br w:val="nil"/>
              <w:tr2bl w:val="nil"/>
            </w:tcBorders>
            <w:shd w:val="clear" w:color="auto" w:fill="FFFFFF"/>
            <w:noWrap/>
            <w:vAlign w:val="center"/>
          </w:tcPr>
          <w:p w14:paraId="1AEE13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来源</w:t>
            </w:r>
          </w:p>
        </w:tc>
        <w:tc>
          <w:tcPr>
            <w:tcW w:w="739" w:type="dxa"/>
            <w:tcBorders>
              <w:tl2br w:val="nil"/>
              <w:tr2bl w:val="nil"/>
            </w:tcBorders>
            <w:shd w:val="clear" w:color="auto" w:fill="FFFFFF"/>
            <w:noWrap/>
            <w:vAlign w:val="center"/>
          </w:tcPr>
          <w:p w14:paraId="2215CD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941" w:type="dxa"/>
            <w:tcBorders>
              <w:tl2br w:val="nil"/>
              <w:tr2bl w:val="nil"/>
            </w:tcBorders>
            <w:shd w:val="clear" w:color="auto" w:fill="FFFFFF"/>
            <w:noWrap/>
            <w:vAlign w:val="center"/>
          </w:tcPr>
          <w:p w14:paraId="7A9246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去向</w:t>
            </w:r>
          </w:p>
        </w:tc>
      </w:tr>
      <w:tr w14:paraId="0CAFC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restart"/>
            <w:tcBorders>
              <w:tl2br w:val="nil"/>
              <w:tr2bl w:val="nil"/>
            </w:tcBorders>
            <w:shd w:val="clear" w:color="auto" w:fill="auto"/>
            <w:noWrap/>
            <w:vAlign w:val="center"/>
          </w:tcPr>
          <w:p w14:paraId="3E482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1476" w:type="dxa"/>
            <w:tcBorders>
              <w:tl2br w:val="nil"/>
              <w:tr2bl w:val="nil"/>
            </w:tcBorders>
            <w:shd w:val="clear" w:color="auto" w:fill="auto"/>
            <w:noWrap/>
            <w:vAlign w:val="center"/>
          </w:tcPr>
          <w:p w14:paraId="11EF9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1056" w:type="dxa"/>
            <w:tcBorders>
              <w:tl2br w:val="nil"/>
              <w:tr2bl w:val="nil"/>
            </w:tcBorders>
            <w:shd w:val="clear" w:color="auto" w:fill="FFFFFF"/>
            <w:noWrap/>
            <w:vAlign w:val="center"/>
          </w:tcPr>
          <w:p w14:paraId="630A0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630.00 </w:t>
            </w:r>
          </w:p>
        </w:tc>
        <w:tc>
          <w:tcPr>
            <w:tcW w:w="1056" w:type="dxa"/>
            <w:tcBorders>
              <w:tl2br w:val="nil"/>
              <w:tr2bl w:val="nil"/>
            </w:tcBorders>
            <w:shd w:val="clear" w:color="auto" w:fill="FFFFFF"/>
            <w:noWrap/>
            <w:vAlign w:val="center"/>
          </w:tcPr>
          <w:p w14:paraId="5608B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1800.00 </w:t>
            </w:r>
          </w:p>
        </w:tc>
        <w:tc>
          <w:tcPr>
            <w:tcW w:w="899" w:type="dxa"/>
            <w:tcBorders>
              <w:tl2br w:val="nil"/>
              <w:tr2bl w:val="nil"/>
            </w:tcBorders>
            <w:shd w:val="clear" w:color="auto" w:fill="FFFFFF"/>
            <w:noWrap/>
            <w:vAlign w:val="center"/>
          </w:tcPr>
          <w:p w14:paraId="59FB14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2430.00 </w:t>
            </w:r>
          </w:p>
        </w:tc>
        <w:tc>
          <w:tcPr>
            <w:tcW w:w="1056" w:type="dxa"/>
            <w:tcBorders>
              <w:tl2br w:val="nil"/>
              <w:tr2bl w:val="nil"/>
            </w:tcBorders>
            <w:shd w:val="clear" w:color="auto" w:fill="FFFFFF"/>
            <w:noWrap/>
            <w:vAlign w:val="center"/>
          </w:tcPr>
          <w:p w14:paraId="621EC8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900.00 </w:t>
            </w:r>
          </w:p>
        </w:tc>
        <w:tc>
          <w:tcPr>
            <w:tcW w:w="899" w:type="dxa"/>
            <w:tcBorders>
              <w:tl2br w:val="nil"/>
              <w:tr2bl w:val="nil"/>
            </w:tcBorders>
            <w:shd w:val="clear" w:color="auto" w:fill="FFFFFF"/>
            <w:noWrap/>
            <w:vAlign w:val="center"/>
          </w:tcPr>
          <w:p w14:paraId="7B9679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900.00 </w:t>
            </w:r>
          </w:p>
        </w:tc>
        <w:tc>
          <w:tcPr>
            <w:tcW w:w="899" w:type="dxa"/>
            <w:tcBorders>
              <w:tl2br w:val="nil"/>
              <w:tr2bl w:val="nil"/>
            </w:tcBorders>
            <w:shd w:val="clear" w:color="auto" w:fill="FFFFFF"/>
            <w:noWrap/>
            <w:vAlign w:val="center"/>
          </w:tcPr>
          <w:p w14:paraId="014EEC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234448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69D4A8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477" w:type="dxa"/>
            <w:tcBorders>
              <w:tl2br w:val="nil"/>
              <w:tr2bl w:val="nil"/>
            </w:tcBorders>
            <w:shd w:val="clear" w:color="auto" w:fill="FFFFFF"/>
            <w:noWrap/>
            <w:vAlign w:val="center"/>
          </w:tcPr>
          <w:p w14:paraId="31AAF1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637" w:type="dxa"/>
            <w:tcBorders>
              <w:tl2br w:val="nil"/>
              <w:tr2bl w:val="nil"/>
            </w:tcBorders>
            <w:shd w:val="clear" w:color="auto" w:fill="FFFFFF"/>
            <w:noWrap/>
            <w:vAlign w:val="center"/>
          </w:tcPr>
          <w:p w14:paraId="2CFA9F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12EB18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7EC896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1B924A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74FB95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28CC5F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4E631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1056" w:type="dxa"/>
            <w:tcBorders>
              <w:tl2br w:val="nil"/>
              <w:tr2bl w:val="nil"/>
            </w:tcBorders>
            <w:shd w:val="clear" w:color="auto" w:fill="FFFFFF"/>
            <w:noWrap/>
            <w:vAlign w:val="center"/>
          </w:tcPr>
          <w:p w14:paraId="4FF208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441.00 </w:t>
            </w:r>
          </w:p>
        </w:tc>
        <w:tc>
          <w:tcPr>
            <w:tcW w:w="1056" w:type="dxa"/>
            <w:tcBorders>
              <w:tl2br w:val="nil"/>
              <w:tr2bl w:val="nil"/>
            </w:tcBorders>
            <w:shd w:val="clear" w:color="auto" w:fill="FFFFFF"/>
            <w:noWrap/>
            <w:vAlign w:val="center"/>
          </w:tcPr>
          <w:p w14:paraId="48FE8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1050.00 </w:t>
            </w:r>
          </w:p>
        </w:tc>
        <w:tc>
          <w:tcPr>
            <w:tcW w:w="899" w:type="dxa"/>
            <w:tcBorders>
              <w:tl2br w:val="nil"/>
              <w:tr2bl w:val="nil"/>
            </w:tcBorders>
            <w:shd w:val="clear" w:color="auto" w:fill="FFFFFF"/>
            <w:noWrap/>
            <w:vAlign w:val="center"/>
          </w:tcPr>
          <w:p w14:paraId="55975D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1491.00 </w:t>
            </w:r>
          </w:p>
        </w:tc>
        <w:tc>
          <w:tcPr>
            <w:tcW w:w="1056" w:type="dxa"/>
            <w:tcBorders>
              <w:tl2br w:val="nil"/>
              <w:tr2bl w:val="nil"/>
            </w:tcBorders>
            <w:shd w:val="clear" w:color="auto" w:fill="FFFFFF"/>
            <w:noWrap/>
            <w:vAlign w:val="center"/>
          </w:tcPr>
          <w:p w14:paraId="748D0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3021.00 </w:t>
            </w:r>
          </w:p>
        </w:tc>
        <w:tc>
          <w:tcPr>
            <w:tcW w:w="899" w:type="dxa"/>
            <w:tcBorders>
              <w:tl2br w:val="nil"/>
              <w:tr2bl w:val="nil"/>
            </w:tcBorders>
            <w:shd w:val="clear" w:color="auto" w:fill="FFFFFF"/>
            <w:noWrap/>
            <w:vAlign w:val="center"/>
          </w:tcPr>
          <w:p w14:paraId="784AF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3021.00 </w:t>
            </w:r>
          </w:p>
        </w:tc>
        <w:tc>
          <w:tcPr>
            <w:tcW w:w="899" w:type="dxa"/>
            <w:tcBorders>
              <w:tl2br w:val="nil"/>
              <w:tr2bl w:val="nil"/>
            </w:tcBorders>
            <w:shd w:val="clear" w:color="auto" w:fill="FFFFFF"/>
            <w:noWrap/>
            <w:vAlign w:val="center"/>
          </w:tcPr>
          <w:p w14:paraId="37480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266" w:type="dxa"/>
            <w:tcBorders>
              <w:tl2br w:val="nil"/>
              <w:tr2bl w:val="nil"/>
            </w:tcBorders>
            <w:shd w:val="clear" w:color="auto" w:fill="FFFFFF"/>
            <w:noWrap/>
            <w:vAlign w:val="center"/>
          </w:tcPr>
          <w:p w14:paraId="19FE67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99" w:type="dxa"/>
            <w:tcBorders>
              <w:tl2br w:val="nil"/>
              <w:tr2bl w:val="nil"/>
            </w:tcBorders>
            <w:shd w:val="clear" w:color="auto" w:fill="FFFFFF"/>
            <w:noWrap/>
            <w:vAlign w:val="center"/>
          </w:tcPr>
          <w:p w14:paraId="01B5FB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7" w:type="dxa"/>
            <w:tcBorders>
              <w:tl2br w:val="nil"/>
              <w:tr2bl w:val="nil"/>
            </w:tcBorders>
            <w:shd w:val="clear" w:color="auto" w:fill="FFFFFF"/>
            <w:noWrap/>
            <w:vAlign w:val="center"/>
          </w:tcPr>
          <w:p w14:paraId="7D5A51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0F31F4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53C63A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09F574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0B1F22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4A33BE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68AB88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1CEB1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1056" w:type="dxa"/>
            <w:tcBorders>
              <w:tl2br w:val="nil"/>
              <w:tr2bl w:val="nil"/>
            </w:tcBorders>
            <w:shd w:val="clear" w:color="auto" w:fill="FFFFFF"/>
            <w:noWrap/>
            <w:vAlign w:val="center"/>
          </w:tcPr>
          <w:p w14:paraId="2B1959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1056" w:type="dxa"/>
            <w:tcBorders>
              <w:tl2br w:val="nil"/>
              <w:tr2bl w:val="nil"/>
            </w:tcBorders>
            <w:shd w:val="clear" w:color="auto" w:fill="FFFFFF"/>
            <w:noWrap/>
            <w:vAlign w:val="center"/>
          </w:tcPr>
          <w:p w14:paraId="4A1BA3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159CA0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1056" w:type="dxa"/>
            <w:tcBorders>
              <w:tl2br w:val="nil"/>
              <w:tr2bl w:val="nil"/>
            </w:tcBorders>
            <w:shd w:val="clear" w:color="auto" w:fill="FFFFFF"/>
            <w:noWrap/>
            <w:vAlign w:val="center"/>
          </w:tcPr>
          <w:p w14:paraId="2C2D69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899" w:type="dxa"/>
            <w:tcBorders>
              <w:tl2br w:val="nil"/>
              <w:tr2bl w:val="nil"/>
            </w:tcBorders>
            <w:shd w:val="clear" w:color="auto" w:fill="FFFFFF"/>
            <w:noWrap/>
            <w:vAlign w:val="center"/>
          </w:tcPr>
          <w:p w14:paraId="60C5E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899" w:type="dxa"/>
            <w:tcBorders>
              <w:tl2br w:val="nil"/>
              <w:tr2bl w:val="nil"/>
            </w:tcBorders>
            <w:shd w:val="clear" w:color="auto" w:fill="FFFFFF"/>
            <w:noWrap/>
            <w:vAlign w:val="center"/>
          </w:tcPr>
          <w:p w14:paraId="627555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4A50D3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64354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7" w:type="dxa"/>
            <w:tcBorders>
              <w:tl2br w:val="nil"/>
              <w:tr2bl w:val="nil"/>
            </w:tcBorders>
            <w:shd w:val="clear" w:color="auto" w:fill="FFFFFF"/>
            <w:noWrap/>
            <w:vAlign w:val="center"/>
          </w:tcPr>
          <w:p w14:paraId="0DD862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10A245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6B5A3C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6EE99F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0AD4AA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56A416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36DB15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5BF9F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1056" w:type="dxa"/>
            <w:tcBorders>
              <w:tl2br w:val="nil"/>
              <w:tr2bl w:val="nil"/>
            </w:tcBorders>
            <w:shd w:val="clear" w:color="auto" w:fill="FFFFFF"/>
            <w:noWrap/>
            <w:vAlign w:val="center"/>
          </w:tcPr>
          <w:p w14:paraId="34960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1260.00 </w:t>
            </w:r>
          </w:p>
        </w:tc>
        <w:tc>
          <w:tcPr>
            <w:tcW w:w="1056" w:type="dxa"/>
            <w:tcBorders>
              <w:tl2br w:val="nil"/>
              <w:tr2bl w:val="nil"/>
            </w:tcBorders>
            <w:shd w:val="clear" w:color="auto" w:fill="FFFFFF"/>
            <w:noWrap/>
            <w:vAlign w:val="center"/>
          </w:tcPr>
          <w:p w14:paraId="3FEAD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2850.00 </w:t>
            </w:r>
          </w:p>
        </w:tc>
        <w:tc>
          <w:tcPr>
            <w:tcW w:w="899" w:type="dxa"/>
            <w:tcBorders>
              <w:tl2br w:val="nil"/>
              <w:tr2bl w:val="nil"/>
            </w:tcBorders>
            <w:shd w:val="clear" w:color="auto" w:fill="FFFFFF"/>
            <w:noWrap/>
            <w:vAlign w:val="center"/>
          </w:tcPr>
          <w:p w14:paraId="4FF15B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4110.00 </w:t>
            </w:r>
          </w:p>
        </w:tc>
        <w:tc>
          <w:tcPr>
            <w:tcW w:w="1056" w:type="dxa"/>
            <w:tcBorders>
              <w:tl2br w:val="nil"/>
              <w:tr2bl w:val="nil"/>
            </w:tcBorders>
            <w:shd w:val="clear" w:color="auto" w:fill="FFFFFF"/>
            <w:noWrap/>
            <w:vAlign w:val="center"/>
          </w:tcPr>
          <w:p w14:paraId="61A45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4110.00 </w:t>
            </w:r>
          </w:p>
        </w:tc>
        <w:tc>
          <w:tcPr>
            <w:tcW w:w="899" w:type="dxa"/>
            <w:tcBorders>
              <w:tl2br w:val="nil"/>
              <w:tr2bl w:val="nil"/>
            </w:tcBorders>
            <w:shd w:val="clear" w:color="auto" w:fill="FFFFFF"/>
            <w:noWrap/>
            <w:vAlign w:val="center"/>
          </w:tcPr>
          <w:p w14:paraId="2556A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4110.00 </w:t>
            </w:r>
          </w:p>
        </w:tc>
        <w:tc>
          <w:tcPr>
            <w:tcW w:w="899" w:type="dxa"/>
            <w:tcBorders>
              <w:tl2br w:val="nil"/>
              <w:tr2bl w:val="nil"/>
            </w:tcBorders>
            <w:shd w:val="clear" w:color="auto" w:fill="FFFFFF"/>
            <w:noWrap/>
            <w:vAlign w:val="center"/>
          </w:tcPr>
          <w:p w14:paraId="48421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266" w:type="dxa"/>
            <w:tcBorders>
              <w:tl2br w:val="nil"/>
              <w:tr2bl w:val="nil"/>
            </w:tcBorders>
            <w:shd w:val="clear" w:color="auto" w:fill="FFFFFF"/>
            <w:noWrap/>
            <w:vAlign w:val="center"/>
          </w:tcPr>
          <w:p w14:paraId="23EB10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7E04E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477" w:type="dxa"/>
            <w:tcBorders>
              <w:tl2br w:val="nil"/>
              <w:tr2bl w:val="nil"/>
            </w:tcBorders>
            <w:shd w:val="clear" w:color="auto" w:fill="FFFFFF"/>
            <w:noWrap/>
            <w:vAlign w:val="center"/>
          </w:tcPr>
          <w:p w14:paraId="4B8373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662E0F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10FD79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7DF3C8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00171D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3ECC6E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restart"/>
            <w:tcBorders>
              <w:tl2br w:val="nil"/>
              <w:tr2bl w:val="nil"/>
            </w:tcBorders>
            <w:shd w:val="clear" w:color="auto" w:fill="auto"/>
            <w:noWrap/>
            <w:vAlign w:val="center"/>
          </w:tcPr>
          <w:p w14:paraId="08560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1476" w:type="dxa"/>
            <w:tcBorders>
              <w:tl2br w:val="nil"/>
              <w:tr2bl w:val="nil"/>
            </w:tcBorders>
            <w:shd w:val="clear" w:color="auto" w:fill="auto"/>
            <w:noWrap/>
            <w:vAlign w:val="center"/>
          </w:tcPr>
          <w:p w14:paraId="5EDBF1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1056" w:type="dxa"/>
            <w:tcBorders>
              <w:tl2br w:val="nil"/>
              <w:tr2bl w:val="nil"/>
            </w:tcBorders>
            <w:shd w:val="clear" w:color="auto" w:fill="FFFFFF"/>
            <w:noWrap/>
            <w:vAlign w:val="center"/>
          </w:tcPr>
          <w:p w14:paraId="6A3A6FF0">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560E9F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1200.00 </w:t>
            </w:r>
          </w:p>
        </w:tc>
        <w:tc>
          <w:tcPr>
            <w:tcW w:w="899" w:type="dxa"/>
            <w:tcBorders>
              <w:tl2br w:val="nil"/>
              <w:tr2bl w:val="nil"/>
            </w:tcBorders>
            <w:shd w:val="clear" w:color="auto" w:fill="FFFFFF"/>
            <w:noWrap/>
            <w:vAlign w:val="center"/>
          </w:tcPr>
          <w:p w14:paraId="32B06C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1200.00 </w:t>
            </w:r>
          </w:p>
        </w:tc>
        <w:tc>
          <w:tcPr>
            <w:tcW w:w="1056" w:type="dxa"/>
            <w:tcBorders>
              <w:tl2br w:val="nil"/>
              <w:tr2bl w:val="nil"/>
            </w:tcBorders>
            <w:shd w:val="clear" w:color="auto" w:fill="FFFFFF"/>
            <w:noWrap/>
            <w:vAlign w:val="center"/>
          </w:tcPr>
          <w:p w14:paraId="6B896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180.00 </w:t>
            </w:r>
          </w:p>
        </w:tc>
        <w:tc>
          <w:tcPr>
            <w:tcW w:w="899" w:type="dxa"/>
            <w:tcBorders>
              <w:tl2br w:val="nil"/>
              <w:tr2bl w:val="nil"/>
            </w:tcBorders>
            <w:shd w:val="clear" w:color="auto" w:fill="FFFFFF"/>
            <w:noWrap/>
            <w:vAlign w:val="center"/>
          </w:tcPr>
          <w:p w14:paraId="24C7AA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180.00 </w:t>
            </w:r>
          </w:p>
        </w:tc>
        <w:tc>
          <w:tcPr>
            <w:tcW w:w="899" w:type="dxa"/>
            <w:tcBorders>
              <w:tl2br w:val="nil"/>
              <w:tr2bl w:val="nil"/>
            </w:tcBorders>
            <w:shd w:val="clear" w:color="auto" w:fill="FFFFFF"/>
            <w:noWrap/>
            <w:vAlign w:val="center"/>
          </w:tcPr>
          <w:p w14:paraId="019529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185C50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0BB827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477" w:type="dxa"/>
            <w:tcBorders>
              <w:tl2br w:val="nil"/>
              <w:tr2bl w:val="nil"/>
            </w:tcBorders>
            <w:shd w:val="clear" w:color="auto" w:fill="FFFFFF"/>
            <w:noWrap/>
            <w:vAlign w:val="center"/>
          </w:tcPr>
          <w:p w14:paraId="696F8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637" w:type="dxa"/>
            <w:tcBorders>
              <w:tl2br w:val="nil"/>
              <w:tr2bl w:val="nil"/>
            </w:tcBorders>
            <w:shd w:val="clear" w:color="auto" w:fill="FFFFFF"/>
            <w:noWrap/>
            <w:vAlign w:val="center"/>
          </w:tcPr>
          <w:p w14:paraId="56B72C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377E49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14EA0A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4F4E1A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369522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6FC429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60E2C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1056" w:type="dxa"/>
            <w:tcBorders>
              <w:tl2br w:val="nil"/>
              <w:tr2bl w:val="nil"/>
            </w:tcBorders>
            <w:shd w:val="clear" w:color="auto" w:fill="FFFFFF"/>
            <w:noWrap/>
            <w:vAlign w:val="center"/>
          </w:tcPr>
          <w:p w14:paraId="569DC39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70C297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700.00 </w:t>
            </w:r>
          </w:p>
        </w:tc>
        <w:tc>
          <w:tcPr>
            <w:tcW w:w="899" w:type="dxa"/>
            <w:tcBorders>
              <w:tl2br w:val="nil"/>
              <w:tr2bl w:val="nil"/>
            </w:tcBorders>
            <w:shd w:val="clear" w:color="auto" w:fill="FFFFFF"/>
            <w:noWrap/>
            <w:vAlign w:val="center"/>
          </w:tcPr>
          <w:p w14:paraId="53B38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700.00 </w:t>
            </w:r>
          </w:p>
        </w:tc>
        <w:tc>
          <w:tcPr>
            <w:tcW w:w="1056" w:type="dxa"/>
            <w:tcBorders>
              <w:tl2br w:val="nil"/>
              <w:tr2bl w:val="nil"/>
            </w:tcBorders>
            <w:shd w:val="clear" w:color="auto" w:fill="FFFFFF"/>
            <w:noWrap/>
            <w:vAlign w:val="center"/>
          </w:tcPr>
          <w:p w14:paraId="0E7025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1720.00 </w:t>
            </w:r>
          </w:p>
        </w:tc>
        <w:tc>
          <w:tcPr>
            <w:tcW w:w="899" w:type="dxa"/>
            <w:tcBorders>
              <w:tl2br w:val="nil"/>
              <w:tr2bl w:val="nil"/>
            </w:tcBorders>
            <w:shd w:val="clear" w:color="auto" w:fill="FFFFFF"/>
            <w:noWrap/>
            <w:vAlign w:val="center"/>
          </w:tcPr>
          <w:p w14:paraId="59F12E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1720.00 </w:t>
            </w:r>
          </w:p>
        </w:tc>
        <w:tc>
          <w:tcPr>
            <w:tcW w:w="899" w:type="dxa"/>
            <w:tcBorders>
              <w:tl2br w:val="nil"/>
              <w:tr2bl w:val="nil"/>
            </w:tcBorders>
            <w:shd w:val="clear" w:color="auto" w:fill="FFFFFF"/>
            <w:noWrap/>
            <w:vAlign w:val="center"/>
          </w:tcPr>
          <w:p w14:paraId="2BEB79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266" w:type="dxa"/>
            <w:tcBorders>
              <w:tl2br w:val="nil"/>
              <w:tr2bl w:val="nil"/>
            </w:tcBorders>
            <w:shd w:val="clear" w:color="auto" w:fill="FFFFFF"/>
            <w:noWrap/>
            <w:vAlign w:val="center"/>
          </w:tcPr>
          <w:p w14:paraId="337D79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99" w:type="dxa"/>
            <w:tcBorders>
              <w:tl2br w:val="nil"/>
              <w:tr2bl w:val="nil"/>
            </w:tcBorders>
            <w:shd w:val="clear" w:color="auto" w:fill="FFFFFF"/>
            <w:noWrap/>
            <w:vAlign w:val="center"/>
          </w:tcPr>
          <w:p w14:paraId="70CF38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7" w:type="dxa"/>
            <w:tcBorders>
              <w:tl2br w:val="nil"/>
              <w:tr2bl w:val="nil"/>
            </w:tcBorders>
            <w:shd w:val="clear" w:color="auto" w:fill="FFFFFF"/>
            <w:noWrap/>
            <w:vAlign w:val="center"/>
          </w:tcPr>
          <w:p w14:paraId="540E6E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322933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473BFE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3AE428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293E67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314103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0D1708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008C6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1056" w:type="dxa"/>
            <w:tcBorders>
              <w:tl2br w:val="nil"/>
              <w:tr2bl w:val="nil"/>
            </w:tcBorders>
            <w:shd w:val="clear" w:color="auto" w:fill="FFFFFF"/>
            <w:noWrap/>
            <w:vAlign w:val="center"/>
          </w:tcPr>
          <w:p w14:paraId="0592EBC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08AE13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77E5B3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6DBEBC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7ECC84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2B2B1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659C0F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2248A2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7" w:type="dxa"/>
            <w:tcBorders>
              <w:tl2br w:val="nil"/>
              <w:tr2bl w:val="nil"/>
            </w:tcBorders>
            <w:shd w:val="clear" w:color="auto" w:fill="FFFFFF"/>
            <w:noWrap/>
            <w:vAlign w:val="center"/>
          </w:tcPr>
          <w:p w14:paraId="2DE5C4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1254F5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46800B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69FC6F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4DCCF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2DC2D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2D75D2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04A53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1056" w:type="dxa"/>
            <w:tcBorders>
              <w:tl2br w:val="nil"/>
              <w:tr2bl w:val="nil"/>
            </w:tcBorders>
            <w:shd w:val="clear" w:color="auto" w:fill="FFFFFF"/>
            <w:noWrap/>
            <w:vAlign w:val="center"/>
          </w:tcPr>
          <w:p w14:paraId="7E8245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2F3723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899" w:type="dxa"/>
            <w:tcBorders>
              <w:tl2br w:val="nil"/>
              <w:tr2bl w:val="nil"/>
            </w:tcBorders>
            <w:shd w:val="clear" w:color="auto" w:fill="FFFFFF"/>
            <w:noWrap/>
            <w:vAlign w:val="center"/>
          </w:tcPr>
          <w:p w14:paraId="7E316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1056" w:type="dxa"/>
            <w:tcBorders>
              <w:tl2br w:val="nil"/>
              <w:tr2bl w:val="nil"/>
            </w:tcBorders>
            <w:shd w:val="clear" w:color="auto" w:fill="FFFFFF"/>
            <w:noWrap/>
            <w:vAlign w:val="center"/>
          </w:tcPr>
          <w:p w14:paraId="50049A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899" w:type="dxa"/>
            <w:tcBorders>
              <w:tl2br w:val="nil"/>
              <w:tr2bl w:val="nil"/>
            </w:tcBorders>
            <w:shd w:val="clear" w:color="auto" w:fill="FFFFFF"/>
            <w:noWrap/>
            <w:vAlign w:val="center"/>
          </w:tcPr>
          <w:p w14:paraId="716BB0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899" w:type="dxa"/>
            <w:tcBorders>
              <w:tl2br w:val="nil"/>
              <w:tr2bl w:val="nil"/>
            </w:tcBorders>
            <w:shd w:val="clear" w:color="auto" w:fill="FFFFFF"/>
            <w:noWrap/>
            <w:vAlign w:val="center"/>
          </w:tcPr>
          <w:p w14:paraId="16FA40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266" w:type="dxa"/>
            <w:tcBorders>
              <w:tl2br w:val="nil"/>
              <w:tr2bl w:val="nil"/>
            </w:tcBorders>
            <w:shd w:val="clear" w:color="auto" w:fill="FFFFFF"/>
            <w:noWrap/>
            <w:vAlign w:val="center"/>
          </w:tcPr>
          <w:p w14:paraId="099E9F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038B4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477" w:type="dxa"/>
            <w:tcBorders>
              <w:tl2br w:val="nil"/>
              <w:tr2bl w:val="nil"/>
            </w:tcBorders>
            <w:shd w:val="clear" w:color="auto" w:fill="FFFFFF"/>
            <w:noWrap/>
            <w:vAlign w:val="center"/>
          </w:tcPr>
          <w:p w14:paraId="4291CC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05F4EA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7349FB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7D8F66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5E69E5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39CDA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322" w:type="dxa"/>
            <w:gridSpan w:val="2"/>
            <w:tcBorders>
              <w:tl2br w:val="nil"/>
              <w:tr2bl w:val="nil"/>
            </w:tcBorders>
            <w:shd w:val="clear" w:color="auto" w:fill="FFFFFF"/>
            <w:noWrap/>
            <w:vAlign w:val="center"/>
          </w:tcPr>
          <w:p w14:paraId="1883D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合计</w:t>
            </w:r>
          </w:p>
        </w:tc>
        <w:tc>
          <w:tcPr>
            <w:tcW w:w="1056" w:type="dxa"/>
            <w:tcBorders>
              <w:tl2br w:val="nil"/>
              <w:tr2bl w:val="nil"/>
            </w:tcBorders>
            <w:shd w:val="clear" w:color="auto" w:fill="FFFFFF"/>
            <w:noWrap/>
            <w:vAlign w:val="center"/>
          </w:tcPr>
          <w:p w14:paraId="3AF5B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1260.00 </w:t>
            </w:r>
          </w:p>
        </w:tc>
        <w:tc>
          <w:tcPr>
            <w:tcW w:w="1056" w:type="dxa"/>
            <w:tcBorders>
              <w:tl2br w:val="nil"/>
              <w:tr2bl w:val="nil"/>
            </w:tcBorders>
            <w:shd w:val="clear" w:color="auto" w:fill="FFFFFF"/>
            <w:noWrap/>
            <w:vAlign w:val="center"/>
          </w:tcPr>
          <w:p w14:paraId="38C5B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4750.00 </w:t>
            </w:r>
          </w:p>
        </w:tc>
        <w:tc>
          <w:tcPr>
            <w:tcW w:w="899" w:type="dxa"/>
            <w:tcBorders>
              <w:tl2br w:val="nil"/>
              <w:tr2bl w:val="nil"/>
            </w:tcBorders>
            <w:shd w:val="clear" w:color="auto" w:fill="FFFFFF"/>
            <w:noWrap/>
            <w:vAlign w:val="center"/>
          </w:tcPr>
          <w:p w14:paraId="18B0B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6010.00 </w:t>
            </w:r>
          </w:p>
        </w:tc>
        <w:tc>
          <w:tcPr>
            <w:tcW w:w="1056" w:type="dxa"/>
            <w:tcBorders>
              <w:tl2br w:val="nil"/>
              <w:tr2bl w:val="nil"/>
            </w:tcBorders>
            <w:shd w:val="clear" w:color="auto" w:fill="FFFFFF"/>
            <w:noWrap/>
            <w:vAlign w:val="center"/>
          </w:tcPr>
          <w:p w14:paraId="4F5F4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6010.00 </w:t>
            </w:r>
          </w:p>
        </w:tc>
        <w:tc>
          <w:tcPr>
            <w:tcW w:w="899" w:type="dxa"/>
            <w:tcBorders>
              <w:tl2br w:val="nil"/>
              <w:tr2bl w:val="nil"/>
            </w:tcBorders>
            <w:shd w:val="clear" w:color="auto" w:fill="FFFFFF"/>
            <w:noWrap/>
            <w:vAlign w:val="center"/>
          </w:tcPr>
          <w:p w14:paraId="059CCD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6010.00 </w:t>
            </w:r>
          </w:p>
        </w:tc>
        <w:tc>
          <w:tcPr>
            <w:tcW w:w="899" w:type="dxa"/>
            <w:tcBorders>
              <w:tl2br w:val="nil"/>
              <w:tr2bl w:val="nil"/>
            </w:tcBorders>
            <w:shd w:val="clear" w:color="auto" w:fill="FFFFFF"/>
            <w:noWrap/>
            <w:vAlign w:val="center"/>
          </w:tcPr>
          <w:p w14:paraId="11A5EE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2550.00 </w:t>
            </w:r>
          </w:p>
        </w:tc>
        <w:tc>
          <w:tcPr>
            <w:tcW w:w="1266" w:type="dxa"/>
            <w:tcBorders>
              <w:tl2br w:val="nil"/>
              <w:tr2bl w:val="nil"/>
            </w:tcBorders>
            <w:shd w:val="clear" w:color="auto" w:fill="FFFFFF"/>
            <w:noWrap/>
            <w:vAlign w:val="center"/>
          </w:tcPr>
          <w:p w14:paraId="44F800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0FD694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2550.00 </w:t>
            </w:r>
          </w:p>
        </w:tc>
        <w:tc>
          <w:tcPr>
            <w:tcW w:w="1477" w:type="dxa"/>
            <w:tcBorders>
              <w:tl2br w:val="nil"/>
              <w:tr2bl w:val="nil"/>
            </w:tcBorders>
            <w:shd w:val="clear" w:color="auto" w:fill="FFFFFF"/>
            <w:noWrap/>
            <w:vAlign w:val="center"/>
          </w:tcPr>
          <w:p w14:paraId="4BD563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0FFB79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7" w:type="dxa"/>
            <w:tcBorders>
              <w:tl2br w:val="nil"/>
              <w:tr2bl w:val="nil"/>
            </w:tcBorders>
            <w:shd w:val="clear" w:color="auto" w:fill="FFFFFF"/>
            <w:noWrap/>
            <w:vAlign w:val="center"/>
          </w:tcPr>
          <w:p w14:paraId="274499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39" w:type="dxa"/>
            <w:tcBorders>
              <w:tl2br w:val="nil"/>
              <w:tr2bl w:val="nil"/>
            </w:tcBorders>
            <w:shd w:val="clear" w:color="auto" w:fill="FFFFFF"/>
            <w:noWrap/>
            <w:vAlign w:val="center"/>
          </w:tcPr>
          <w:p w14:paraId="025C8E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41" w:type="dxa"/>
            <w:tcBorders>
              <w:tl2br w:val="nil"/>
              <w:tr2bl w:val="nil"/>
            </w:tcBorders>
            <w:shd w:val="clear" w:color="auto" w:fill="FFFFFF"/>
            <w:noWrap/>
            <w:vAlign w:val="center"/>
          </w:tcPr>
          <w:p w14:paraId="23D6C4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bl>
    <w:p w14:paraId="701B35FE">
      <w:pPr>
        <w:pStyle w:val="83"/>
        <w:keepNext w:val="0"/>
        <w:keepLines w:val="0"/>
        <w:pageBreakBefore w:val="0"/>
        <w:widowControl/>
        <w:kinsoku/>
        <w:wordWrap/>
        <w:overflowPunct/>
        <w:topLinePunct w:val="0"/>
        <w:autoSpaceDE/>
        <w:autoSpaceDN/>
        <w:bidi w:val="0"/>
        <w:adjustRightInd w:val="0"/>
        <w:snapToGrid w:val="0"/>
        <w:textAlignment w:val="baseline"/>
        <w:rPr>
          <w:rFonts w:hint="default" w:ascii="Times New Roman" w:hAnsi="Times New Roman" w:eastAsia="仿宋_GB2312" w:cs="Times New Roman"/>
          <w:b/>
          <w:bCs w:val="0"/>
          <w:sz w:val="21"/>
          <w:szCs w:val="21"/>
          <w:vertAlign w:val="superscript"/>
        </w:rPr>
      </w:pPr>
      <w:r>
        <w:rPr>
          <w:rFonts w:hint="default" w:ascii="Times New Roman" w:hAnsi="Times New Roman" w:eastAsia="仿宋_GB2312" w:cs="Times New Roman"/>
          <w:b/>
          <w:bCs w:val="0"/>
        </w:rPr>
        <w:t xml:space="preserve">表2-10                                    </w:t>
      </w:r>
      <w:r>
        <w:rPr>
          <w:rFonts w:hint="eastAsia" w:eastAsia="仿宋_GB2312" w:cs="Times New Roman"/>
          <w:b/>
          <w:bCs w:val="0"/>
          <w:lang w:val="en-US" w:eastAsia="zh-CN"/>
        </w:rPr>
        <w:t>方案介入后</w:t>
      </w:r>
      <w:r>
        <w:rPr>
          <w:rFonts w:hint="default" w:ascii="Times New Roman" w:hAnsi="Times New Roman" w:eastAsia="仿宋_GB2312" w:cs="Times New Roman"/>
          <w:b/>
          <w:bCs w:val="0"/>
        </w:rPr>
        <w:t>将产生一般土石方平衡及流向分析表                           单位：</w:t>
      </w:r>
      <w:r>
        <w:rPr>
          <w:rFonts w:hint="default" w:ascii="Times New Roman" w:hAnsi="Times New Roman" w:eastAsia="仿宋_GB2312" w:cs="Times New Roman"/>
          <w:b/>
          <w:bCs w:val="0"/>
          <w:sz w:val="21"/>
          <w:szCs w:val="21"/>
        </w:rPr>
        <w:t>m</w:t>
      </w:r>
      <w:r>
        <w:rPr>
          <w:rFonts w:hint="default" w:ascii="Times New Roman" w:hAnsi="Times New Roman" w:eastAsia="仿宋_GB2312" w:cs="Times New Roman"/>
          <w:b/>
          <w:bCs w:val="0"/>
          <w:sz w:val="21"/>
          <w:szCs w:val="21"/>
          <w:vertAlign w:val="superscript"/>
        </w:rPr>
        <w:t>3</w:t>
      </w:r>
    </w:p>
    <w:tbl>
      <w:tblPr>
        <w:tblStyle w:val="27"/>
        <w:tblW w:w="1478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46"/>
        <w:gridCol w:w="1476"/>
        <w:gridCol w:w="1056"/>
        <w:gridCol w:w="1056"/>
        <w:gridCol w:w="899"/>
        <w:gridCol w:w="1056"/>
        <w:gridCol w:w="899"/>
        <w:gridCol w:w="899"/>
        <w:gridCol w:w="1266"/>
        <w:gridCol w:w="899"/>
        <w:gridCol w:w="1476"/>
        <w:gridCol w:w="636"/>
        <w:gridCol w:w="636"/>
        <w:gridCol w:w="742"/>
        <w:gridCol w:w="938"/>
      </w:tblGrid>
      <w:tr w14:paraId="11DF9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trPr>
        <w:tc>
          <w:tcPr>
            <w:tcW w:w="846" w:type="dxa"/>
            <w:vMerge w:val="restart"/>
            <w:tcBorders>
              <w:tl2br w:val="nil"/>
              <w:tr2bl w:val="nil"/>
            </w:tcBorders>
            <w:shd w:val="clear" w:color="auto" w:fill="auto"/>
            <w:noWrap/>
            <w:vAlign w:val="center"/>
          </w:tcPr>
          <w:p w14:paraId="6CDDF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w:t>
            </w:r>
          </w:p>
        </w:tc>
        <w:tc>
          <w:tcPr>
            <w:tcW w:w="1476" w:type="dxa"/>
            <w:vMerge w:val="restart"/>
            <w:tcBorders>
              <w:tl2br w:val="nil"/>
              <w:tr2bl w:val="nil"/>
            </w:tcBorders>
            <w:shd w:val="clear" w:color="auto" w:fill="auto"/>
            <w:noWrap/>
            <w:vAlign w:val="center"/>
          </w:tcPr>
          <w:p w14:paraId="62C329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项目分区</w:t>
            </w:r>
          </w:p>
        </w:tc>
        <w:tc>
          <w:tcPr>
            <w:tcW w:w="3011" w:type="dxa"/>
            <w:gridSpan w:val="3"/>
            <w:tcBorders>
              <w:tl2br w:val="nil"/>
              <w:tr2bl w:val="nil"/>
            </w:tcBorders>
            <w:shd w:val="clear" w:color="auto" w:fill="FFFFFF"/>
            <w:noWrap/>
            <w:vAlign w:val="center"/>
          </w:tcPr>
          <w:p w14:paraId="597B1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土石方开挖</w:t>
            </w:r>
          </w:p>
        </w:tc>
        <w:tc>
          <w:tcPr>
            <w:tcW w:w="1955" w:type="dxa"/>
            <w:gridSpan w:val="2"/>
            <w:tcBorders>
              <w:tl2br w:val="nil"/>
              <w:tr2bl w:val="nil"/>
            </w:tcBorders>
            <w:shd w:val="clear" w:color="auto" w:fill="FFFFFF"/>
            <w:noWrap/>
            <w:vAlign w:val="center"/>
          </w:tcPr>
          <w:p w14:paraId="4FCCA6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土石方回填</w:t>
            </w:r>
          </w:p>
        </w:tc>
        <w:tc>
          <w:tcPr>
            <w:tcW w:w="2165" w:type="dxa"/>
            <w:gridSpan w:val="2"/>
            <w:tcBorders>
              <w:tl2br w:val="nil"/>
              <w:tr2bl w:val="nil"/>
            </w:tcBorders>
            <w:shd w:val="clear" w:color="auto" w:fill="FFFFFF"/>
            <w:noWrap/>
            <w:vAlign w:val="center"/>
          </w:tcPr>
          <w:p w14:paraId="770DE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调入</w:t>
            </w:r>
          </w:p>
        </w:tc>
        <w:tc>
          <w:tcPr>
            <w:tcW w:w="2375" w:type="dxa"/>
            <w:gridSpan w:val="2"/>
            <w:tcBorders>
              <w:tl2br w:val="nil"/>
              <w:tr2bl w:val="nil"/>
            </w:tcBorders>
            <w:shd w:val="clear" w:color="auto" w:fill="FFFFFF"/>
            <w:noWrap/>
            <w:vAlign w:val="center"/>
          </w:tcPr>
          <w:p w14:paraId="15BDB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调出</w:t>
            </w:r>
          </w:p>
        </w:tc>
        <w:tc>
          <w:tcPr>
            <w:tcW w:w="1272" w:type="dxa"/>
            <w:gridSpan w:val="2"/>
            <w:tcBorders>
              <w:tl2br w:val="nil"/>
              <w:tr2bl w:val="nil"/>
            </w:tcBorders>
            <w:shd w:val="clear" w:color="auto" w:fill="FFFFFF"/>
            <w:noWrap/>
            <w:vAlign w:val="center"/>
          </w:tcPr>
          <w:p w14:paraId="7E7E56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外借</w:t>
            </w:r>
          </w:p>
        </w:tc>
        <w:tc>
          <w:tcPr>
            <w:tcW w:w="1680" w:type="dxa"/>
            <w:gridSpan w:val="2"/>
            <w:tcBorders>
              <w:tl2br w:val="nil"/>
              <w:tr2bl w:val="nil"/>
            </w:tcBorders>
            <w:shd w:val="clear" w:color="auto" w:fill="FFFFFF"/>
            <w:noWrap/>
            <w:vAlign w:val="center"/>
          </w:tcPr>
          <w:p w14:paraId="1283B1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废弃</w:t>
            </w:r>
          </w:p>
        </w:tc>
      </w:tr>
      <w:tr w14:paraId="3405ED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4CF84E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vMerge w:val="continue"/>
            <w:tcBorders>
              <w:tl2br w:val="nil"/>
              <w:tr2bl w:val="nil"/>
            </w:tcBorders>
            <w:shd w:val="clear" w:color="auto" w:fill="auto"/>
            <w:noWrap/>
            <w:vAlign w:val="center"/>
          </w:tcPr>
          <w:p w14:paraId="67AC07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auto"/>
            <w:noWrap/>
            <w:vAlign w:val="center"/>
          </w:tcPr>
          <w:p w14:paraId="32AF1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场地平整</w:t>
            </w:r>
          </w:p>
        </w:tc>
        <w:tc>
          <w:tcPr>
            <w:tcW w:w="1056" w:type="dxa"/>
            <w:tcBorders>
              <w:tl2br w:val="nil"/>
              <w:tr2bl w:val="nil"/>
            </w:tcBorders>
            <w:shd w:val="clear" w:color="auto" w:fill="FFFFFF"/>
            <w:noWrap/>
            <w:vAlign w:val="center"/>
          </w:tcPr>
          <w:p w14:paraId="2590CB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基础开挖</w:t>
            </w:r>
          </w:p>
        </w:tc>
        <w:tc>
          <w:tcPr>
            <w:tcW w:w="899" w:type="dxa"/>
            <w:tcBorders>
              <w:tl2br w:val="nil"/>
              <w:tr2bl w:val="nil"/>
            </w:tcBorders>
            <w:shd w:val="clear" w:color="auto" w:fill="FFFFFF"/>
            <w:noWrap/>
            <w:vAlign w:val="center"/>
          </w:tcPr>
          <w:p w14:paraId="23B69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1056" w:type="dxa"/>
            <w:tcBorders>
              <w:tl2br w:val="nil"/>
              <w:tr2bl w:val="nil"/>
            </w:tcBorders>
            <w:shd w:val="clear" w:color="auto" w:fill="FFFFFF"/>
            <w:noWrap/>
            <w:vAlign w:val="center"/>
          </w:tcPr>
          <w:p w14:paraId="23464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场地回填</w:t>
            </w:r>
          </w:p>
        </w:tc>
        <w:tc>
          <w:tcPr>
            <w:tcW w:w="899" w:type="dxa"/>
            <w:tcBorders>
              <w:tl2br w:val="nil"/>
              <w:tr2bl w:val="nil"/>
            </w:tcBorders>
            <w:shd w:val="clear" w:color="auto" w:fill="FFFFFF"/>
            <w:noWrap/>
            <w:vAlign w:val="center"/>
          </w:tcPr>
          <w:p w14:paraId="10AB8C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899" w:type="dxa"/>
            <w:tcBorders>
              <w:tl2br w:val="nil"/>
              <w:tr2bl w:val="nil"/>
            </w:tcBorders>
            <w:shd w:val="clear" w:color="auto" w:fill="FFFFFF"/>
            <w:noWrap/>
            <w:vAlign w:val="center"/>
          </w:tcPr>
          <w:p w14:paraId="7A36C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1266" w:type="dxa"/>
            <w:tcBorders>
              <w:tl2br w:val="nil"/>
              <w:tr2bl w:val="nil"/>
            </w:tcBorders>
            <w:shd w:val="clear" w:color="auto" w:fill="FFFFFF"/>
            <w:noWrap/>
            <w:vAlign w:val="center"/>
          </w:tcPr>
          <w:p w14:paraId="6A413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来源</w:t>
            </w:r>
          </w:p>
        </w:tc>
        <w:tc>
          <w:tcPr>
            <w:tcW w:w="899" w:type="dxa"/>
            <w:tcBorders>
              <w:tl2br w:val="nil"/>
              <w:tr2bl w:val="nil"/>
            </w:tcBorders>
            <w:shd w:val="clear" w:color="auto" w:fill="FFFFFF"/>
            <w:noWrap/>
            <w:vAlign w:val="center"/>
          </w:tcPr>
          <w:p w14:paraId="50B6D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1476" w:type="dxa"/>
            <w:tcBorders>
              <w:tl2br w:val="nil"/>
              <w:tr2bl w:val="nil"/>
            </w:tcBorders>
            <w:shd w:val="clear" w:color="auto" w:fill="FFFFFF"/>
            <w:noWrap/>
            <w:vAlign w:val="center"/>
          </w:tcPr>
          <w:p w14:paraId="3B0DC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去向</w:t>
            </w:r>
          </w:p>
        </w:tc>
        <w:tc>
          <w:tcPr>
            <w:tcW w:w="636" w:type="dxa"/>
            <w:tcBorders>
              <w:tl2br w:val="nil"/>
              <w:tr2bl w:val="nil"/>
            </w:tcBorders>
            <w:shd w:val="clear" w:color="auto" w:fill="FFFFFF"/>
            <w:noWrap/>
            <w:vAlign w:val="center"/>
          </w:tcPr>
          <w:p w14:paraId="0A53E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636" w:type="dxa"/>
            <w:tcBorders>
              <w:tl2br w:val="nil"/>
              <w:tr2bl w:val="nil"/>
            </w:tcBorders>
            <w:shd w:val="clear" w:color="auto" w:fill="FFFFFF"/>
            <w:noWrap/>
            <w:vAlign w:val="center"/>
          </w:tcPr>
          <w:p w14:paraId="222193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来源</w:t>
            </w:r>
          </w:p>
        </w:tc>
        <w:tc>
          <w:tcPr>
            <w:tcW w:w="742" w:type="dxa"/>
            <w:tcBorders>
              <w:tl2br w:val="nil"/>
              <w:tr2bl w:val="nil"/>
            </w:tcBorders>
            <w:shd w:val="clear" w:color="auto" w:fill="FFFFFF"/>
            <w:noWrap/>
            <w:vAlign w:val="center"/>
          </w:tcPr>
          <w:p w14:paraId="7693E9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938" w:type="dxa"/>
            <w:tcBorders>
              <w:tl2br w:val="nil"/>
              <w:tr2bl w:val="nil"/>
            </w:tcBorders>
            <w:shd w:val="clear" w:color="auto" w:fill="FFFFFF"/>
            <w:noWrap/>
            <w:vAlign w:val="center"/>
          </w:tcPr>
          <w:p w14:paraId="22160C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去向</w:t>
            </w:r>
          </w:p>
        </w:tc>
      </w:tr>
      <w:tr w14:paraId="70EA0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46" w:type="dxa"/>
            <w:vMerge w:val="restart"/>
            <w:tcBorders>
              <w:tl2br w:val="nil"/>
              <w:tr2bl w:val="nil"/>
            </w:tcBorders>
            <w:shd w:val="clear" w:color="auto" w:fill="auto"/>
            <w:noWrap/>
            <w:vAlign w:val="center"/>
          </w:tcPr>
          <w:p w14:paraId="6B82B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1476" w:type="dxa"/>
            <w:tcBorders>
              <w:tl2br w:val="nil"/>
              <w:tr2bl w:val="nil"/>
            </w:tcBorders>
            <w:shd w:val="clear" w:color="auto" w:fill="auto"/>
            <w:noWrap/>
            <w:vAlign w:val="center"/>
          </w:tcPr>
          <w:p w14:paraId="1ECAF6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1056" w:type="dxa"/>
            <w:tcBorders>
              <w:tl2br w:val="nil"/>
              <w:tr2bl w:val="nil"/>
            </w:tcBorders>
            <w:shd w:val="clear" w:color="auto" w:fill="FFFFFF"/>
            <w:noWrap/>
            <w:vAlign w:val="center"/>
          </w:tcPr>
          <w:p w14:paraId="4D9DE8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630.00 </w:t>
            </w:r>
          </w:p>
        </w:tc>
        <w:tc>
          <w:tcPr>
            <w:tcW w:w="1056" w:type="dxa"/>
            <w:tcBorders>
              <w:tl2br w:val="nil"/>
              <w:tr2bl w:val="nil"/>
            </w:tcBorders>
            <w:shd w:val="clear" w:color="auto" w:fill="FFFFFF"/>
            <w:noWrap/>
            <w:vAlign w:val="center"/>
          </w:tcPr>
          <w:p w14:paraId="115CAE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1800.00 </w:t>
            </w:r>
          </w:p>
        </w:tc>
        <w:tc>
          <w:tcPr>
            <w:tcW w:w="899" w:type="dxa"/>
            <w:tcBorders>
              <w:tl2br w:val="nil"/>
              <w:tr2bl w:val="nil"/>
            </w:tcBorders>
            <w:shd w:val="clear" w:color="auto" w:fill="FFFFFF"/>
            <w:noWrap/>
            <w:vAlign w:val="center"/>
          </w:tcPr>
          <w:p w14:paraId="704DA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2430.00 </w:t>
            </w:r>
          </w:p>
        </w:tc>
        <w:tc>
          <w:tcPr>
            <w:tcW w:w="1056" w:type="dxa"/>
            <w:tcBorders>
              <w:tl2br w:val="nil"/>
              <w:tr2bl w:val="nil"/>
            </w:tcBorders>
            <w:shd w:val="clear" w:color="auto" w:fill="FFFFFF"/>
            <w:noWrap/>
            <w:vAlign w:val="center"/>
          </w:tcPr>
          <w:p w14:paraId="17DF14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900.00 </w:t>
            </w:r>
          </w:p>
        </w:tc>
        <w:tc>
          <w:tcPr>
            <w:tcW w:w="899" w:type="dxa"/>
            <w:tcBorders>
              <w:tl2br w:val="nil"/>
              <w:tr2bl w:val="nil"/>
            </w:tcBorders>
            <w:shd w:val="clear" w:color="auto" w:fill="FFFFFF"/>
            <w:noWrap/>
            <w:vAlign w:val="center"/>
          </w:tcPr>
          <w:p w14:paraId="09E84F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900.00 </w:t>
            </w:r>
          </w:p>
        </w:tc>
        <w:tc>
          <w:tcPr>
            <w:tcW w:w="899" w:type="dxa"/>
            <w:tcBorders>
              <w:tl2br w:val="nil"/>
              <w:tr2bl w:val="nil"/>
            </w:tcBorders>
            <w:shd w:val="clear" w:color="auto" w:fill="FFFFFF"/>
            <w:noWrap/>
            <w:vAlign w:val="center"/>
          </w:tcPr>
          <w:p w14:paraId="57FDAE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083336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101C67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476" w:type="dxa"/>
            <w:tcBorders>
              <w:tl2br w:val="nil"/>
              <w:tr2bl w:val="nil"/>
            </w:tcBorders>
            <w:shd w:val="clear" w:color="auto" w:fill="FFFFFF"/>
            <w:noWrap/>
            <w:vAlign w:val="center"/>
          </w:tcPr>
          <w:p w14:paraId="3C4A47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636" w:type="dxa"/>
            <w:tcBorders>
              <w:tl2br w:val="nil"/>
              <w:tr2bl w:val="nil"/>
            </w:tcBorders>
            <w:shd w:val="clear" w:color="auto" w:fill="FFFFFF"/>
            <w:noWrap/>
            <w:vAlign w:val="center"/>
          </w:tcPr>
          <w:p w14:paraId="268DE1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695D5A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0A3F73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6A1826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289CE9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41F4FD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75AB7A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1056" w:type="dxa"/>
            <w:tcBorders>
              <w:tl2br w:val="nil"/>
              <w:tr2bl w:val="nil"/>
            </w:tcBorders>
            <w:shd w:val="clear" w:color="auto" w:fill="FFFFFF"/>
            <w:noWrap/>
            <w:vAlign w:val="center"/>
          </w:tcPr>
          <w:p w14:paraId="14AC24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441.00 </w:t>
            </w:r>
          </w:p>
        </w:tc>
        <w:tc>
          <w:tcPr>
            <w:tcW w:w="1056" w:type="dxa"/>
            <w:tcBorders>
              <w:tl2br w:val="nil"/>
              <w:tr2bl w:val="nil"/>
            </w:tcBorders>
            <w:shd w:val="clear" w:color="auto" w:fill="FFFFFF"/>
            <w:noWrap/>
            <w:vAlign w:val="center"/>
          </w:tcPr>
          <w:p w14:paraId="691EEF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1050.00 </w:t>
            </w:r>
          </w:p>
        </w:tc>
        <w:tc>
          <w:tcPr>
            <w:tcW w:w="899" w:type="dxa"/>
            <w:tcBorders>
              <w:tl2br w:val="nil"/>
              <w:tr2bl w:val="nil"/>
            </w:tcBorders>
            <w:shd w:val="clear" w:color="auto" w:fill="FFFFFF"/>
            <w:noWrap/>
            <w:vAlign w:val="center"/>
          </w:tcPr>
          <w:p w14:paraId="5CA5D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1491.00 </w:t>
            </w:r>
          </w:p>
        </w:tc>
        <w:tc>
          <w:tcPr>
            <w:tcW w:w="1056" w:type="dxa"/>
            <w:tcBorders>
              <w:tl2br w:val="nil"/>
              <w:tr2bl w:val="nil"/>
            </w:tcBorders>
            <w:shd w:val="clear" w:color="auto" w:fill="FFFFFF"/>
            <w:noWrap/>
            <w:vAlign w:val="center"/>
          </w:tcPr>
          <w:p w14:paraId="2E6348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3021.00 </w:t>
            </w:r>
          </w:p>
        </w:tc>
        <w:tc>
          <w:tcPr>
            <w:tcW w:w="899" w:type="dxa"/>
            <w:tcBorders>
              <w:tl2br w:val="nil"/>
              <w:tr2bl w:val="nil"/>
            </w:tcBorders>
            <w:shd w:val="clear" w:color="auto" w:fill="FFFFFF"/>
            <w:noWrap/>
            <w:vAlign w:val="center"/>
          </w:tcPr>
          <w:p w14:paraId="4B374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3021.00 </w:t>
            </w:r>
          </w:p>
        </w:tc>
        <w:tc>
          <w:tcPr>
            <w:tcW w:w="899" w:type="dxa"/>
            <w:tcBorders>
              <w:tl2br w:val="nil"/>
              <w:tr2bl w:val="nil"/>
            </w:tcBorders>
            <w:shd w:val="clear" w:color="auto" w:fill="FFFFFF"/>
            <w:noWrap/>
            <w:vAlign w:val="center"/>
          </w:tcPr>
          <w:p w14:paraId="2BB6F0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266" w:type="dxa"/>
            <w:tcBorders>
              <w:tl2br w:val="nil"/>
              <w:tr2bl w:val="nil"/>
            </w:tcBorders>
            <w:shd w:val="clear" w:color="auto" w:fill="FFFFFF"/>
            <w:noWrap/>
            <w:vAlign w:val="center"/>
          </w:tcPr>
          <w:p w14:paraId="312C9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99" w:type="dxa"/>
            <w:tcBorders>
              <w:tl2br w:val="nil"/>
              <w:tr2bl w:val="nil"/>
            </w:tcBorders>
            <w:shd w:val="clear" w:color="auto" w:fill="FFFFFF"/>
            <w:noWrap/>
            <w:vAlign w:val="center"/>
          </w:tcPr>
          <w:p w14:paraId="38407C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FFFFFF"/>
            <w:noWrap/>
            <w:vAlign w:val="center"/>
          </w:tcPr>
          <w:p w14:paraId="4AA559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034E95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17AA73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3D35FF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7D5176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1DC05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0455D6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6DA44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1056" w:type="dxa"/>
            <w:tcBorders>
              <w:tl2br w:val="nil"/>
              <w:tr2bl w:val="nil"/>
            </w:tcBorders>
            <w:shd w:val="clear" w:color="auto" w:fill="FFFFFF"/>
            <w:noWrap/>
            <w:vAlign w:val="center"/>
          </w:tcPr>
          <w:p w14:paraId="2A9D47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1056" w:type="dxa"/>
            <w:tcBorders>
              <w:tl2br w:val="nil"/>
              <w:tr2bl w:val="nil"/>
            </w:tcBorders>
            <w:shd w:val="clear" w:color="auto" w:fill="FFFFFF"/>
            <w:noWrap/>
            <w:vAlign w:val="center"/>
          </w:tcPr>
          <w:p w14:paraId="283F5F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113F0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1056" w:type="dxa"/>
            <w:tcBorders>
              <w:tl2br w:val="nil"/>
              <w:tr2bl w:val="nil"/>
            </w:tcBorders>
            <w:shd w:val="clear" w:color="auto" w:fill="FFFFFF"/>
            <w:noWrap/>
            <w:vAlign w:val="center"/>
          </w:tcPr>
          <w:p w14:paraId="457AD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899" w:type="dxa"/>
            <w:tcBorders>
              <w:tl2br w:val="nil"/>
              <w:tr2bl w:val="nil"/>
            </w:tcBorders>
            <w:shd w:val="clear" w:color="auto" w:fill="FFFFFF"/>
            <w:noWrap/>
            <w:vAlign w:val="center"/>
          </w:tcPr>
          <w:p w14:paraId="39BE9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189.00 </w:t>
            </w:r>
          </w:p>
        </w:tc>
        <w:tc>
          <w:tcPr>
            <w:tcW w:w="899" w:type="dxa"/>
            <w:tcBorders>
              <w:tl2br w:val="nil"/>
              <w:tr2bl w:val="nil"/>
            </w:tcBorders>
            <w:shd w:val="clear" w:color="auto" w:fill="FFFFFF"/>
            <w:noWrap/>
            <w:vAlign w:val="center"/>
          </w:tcPr>
          <w:p w14:paraId="3C9584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12CBF6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09DF0A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FFFFFF"/>
            <w:noWrap/>
            <w:vAlign w:val="center"/>
          </w:tcPr>
          <w:p w14:paraId="2E1901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5BA484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6ABB08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6356E4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665C01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1F69BE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07B682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3FF23C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1056" w:type="dxa"/>
            <w:tcBorders>
              <w:tl2br w:val="nil"/>
              <w:tr2bl w:val="nil"/>
            </w:tcBorders>
            <w:shd w:val="clear" w:color="auto" w:fill="FFFFFF"/>
            <w:noWrap/>
            <w:vAlign w:val="center"/>
          </w:tcPr>
          <w:p w14:paraId="68910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1260.00 </w:t>
            </w:r>
          </w:p>
        </w:tc>
        <w:tc>
          <w:tcPr>
            <w:tcW w:w="1056" w:type="dxa"/>
            <w:tcBorders>
              <w:tl2br w:val="nil"/>
              <w:tr2bl w:val="nil"/>
            </w:tcBorders>
            <w:shd w:val="clear" w:color="auto" w:fill="FFFFFF"/>
            <w:noWrap/>
            <w:vAlign w:val="center"/>
          </w:tcPr>
          <w:p w14:paraId="214A9D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2850.00 </w:t>
            </w:r>
          </w:p>
        </w:tc>
        <w:tc>
          <w:tcPr>
            <w:tcW w:w="899" w:type="dxa"/>
            <w:tcBorders>
              <w:tl2br w:val="nil"/>
              <w:tr2bl w:val="nil"/>
            </w:tcBorders>
            <w:shd w:val="clear" w:color="auto" w:fill="FFFFFF"/>
            <w:noWrap/>
            <w:vAlign w:val="center"/>
          </w:tcPr>
          <w:p w14:paraId="22262F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4110.00 </w:t>
            </w:r>
          </w:p>
        </w:tc>
        <w:tc>
          <w:tcPr>
            <w:tcW w:w="1056" w:type="dxa"/>
            <w:tcBorders>
              <w:tl2br w:val="nil"/>
              <w:tr2bl w:val="nil"/>
            </w:tcBorders>
            <w:shd w:val="clear" w:color="auto" w:fill="FFFFFF"/>
            <w:noWrap/>
            <w:vAlign w:val="center"/>
          </w:tcPr>
          <w:p w14:paraId="5E4FF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4110.00 </w:t>
            </w:r>
          </w:p>
        </w:tc>
        <w:tc>
          <w:tcPr>
            <w:tcW w:w="899" w:type="dxa"/>
            <w:tcBorders>
              <w:tl2br w:val="nil"/>
              <w:tr2bl w:val="nil"/>
            </w:tcBorders>
            <w:shd w:val="clear" w:color="auto" w:fill="FFFFFF"/>
            <w:noWrap/>
            <w:vAlign w:val="center"/>
          </w:tcPr>
          <w:p w14:paraId="34D43B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4110.00 </w:t>
            </w:r>
          </w:p>
        </w:tc>
        <w:tc>
          <w:tcPr>
            <w:tcW w:w="899" w:type="dxa"/>
            <w:tcBorders>
              <w:tl2br w:val="nil"/>
              <w:tr2bl w:val="nil"/>
            </w:tcBorders>
            <w:shd w:val="clear" w:color="auto" w:fill="FFFFFF"/>
            <w:noWrap/>
            <w:vAlign w:val="center"/>
          </w:tcPr>
          <w:p w14:paraId="47958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266" w:type="dxa"/>
            <w:tcBorders>
              <w:tl2br w:val="nil"/>
              <w:tr2bl w:val="nil"/>
            </w:tcBorders>
            <w:shd w:val="clear" w:color="auto" w:fill="FFFFFF"/>
            <w:noWrap/>
            <w:vAlign w:val="center"/>
          </w:tcPr>
          <w:p w14:paraId="0EBBB1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4A4F2A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1530.00 </w:t>
            </w:r>
          </w:p>
        </w:tc>
        <w:tc>
          <w:tcPr>
            <w:tcW w:w="1476" w:type="dxa"/>
            <w:tcBorders>
              <w:tl2br w:val="nil"/>
              <w:tr2bl w:val="nil"/>
            </w:tcBorders>
            <w:shd w:val="clear" w:color="auto" w:fill="FFFFFF"/>
            <w:noWrap/>
            <w:vAlign w:val="center"/>
          </w:tcPr>
          <w:p w14:paraId="268D9E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4424E0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67DA1F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538C66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4C3679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495F48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restart"/>
            <w:tcBorders>
              <w:tl2br w:val="nil"/>
              <w:tr2bl w:val="nil"/>
            </w:tcBorders>
            <w:shd w:val="clear" w:color="auto" w:fill="auto"/>
            <w:noWrap/>
            <w:vAlign w:val="center"/>
          </w:tcPr>
          <w:p w14:paraId="61C13C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1476" w:type="dxa"/>
            <w:tcBorders>
              <w:tl2br w:val="nil"/>
              <w:tr2bl w:val="nil"/>
            </w:tcBorders>
            <w:shd w:val="clear" w:color="auto" w:fill="auto"/>
            <w:noWrap/>
            <w:vAlign w:val="center"/>
          </w:tcPr>
          <w:p w14:paraId="441C0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1056" w:type="dxa"/>
            <w:tcBorders>
              <w:tl2br w:val="nil"/>
              <w:tr2bl w:val="nil"/>
            </w:tcBorders>
            <w:shd w:val="clear" w:color="auto" w:fill="FFFFFF"/>
            <w:noWrap/>
            <w:vAlign w:val="center"/>
          </w:tcPr>
          <w:p w14:paraId="575F5AF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59E7F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1200.00 </w:t>
            </w:r>
          </w:p>
        </w:tc>
        <w:tc>
          <w:tcPr>
            <w:tcW w:w="899" w:type="dxa"/>
            <w:tcBorders>
              <w:tl2br w:val="nil"/>
              <w:tr2bl w:val="nil"/>
            </w:tcBorders>
            <w:shd w:val="clear" w:color="auto" w:fill="FFFFFF"/>
            <w:noWrap/>
            <w:vAlign w:val="center"/>
          </w:tcPr>
          <w:p w14:paraId="7CE33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1200.00 </w:t>
            </w:r>
          </w:p>
        </w:tc>
        <w:tc>
          <w:tcPr>
            <w:tcW w:w="1056" w:type="dxa"/>
            <w:tcBorders>
              <w:tl2br w:val="nil"/>
              <w:tr2bl w:val="nil"/>
            </w:tcBorders>
            <w:shd w:val="clear" w:color="auto" w:fill="FFFFFF"/>
            <w:noWrap/>
            <w:vAlign w:val="center"/>
          </w:tcPr>
          <w:p w14:paraId="3EC721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180.00 </w:t>
            </w:r>
          </w:p>
        </w:tc>
        <w:tc>
          <w:tcPr>
            <w:tcW w:w="899" w:type="dxa"/>
            <w:tcBorders>
              <w:tl2br w:val="nil"/>
              <w:tr2bl w:val="nil"/>
            </w:tcBorders>
            <w:shd w:val="clear" w:color="auto" w:fill="FFFFFF"/>
            <w:noWrap/>
            <w:vAlign w:val="center"/>
          </w:tcPr>
          <w:p w14:paraId="24AEE1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180.00 </w:t>
            </w:r>
          </w:p>
        </w:tc>
        <w:tc>
          <w:tcPr>
            <w:tcW w:w="899" w:type="dxa"/>
            <w:tcBorders>
              <w:tl2br w:val="nil"/>
              <w:tr2bl w:val="nil"/>
            </w:tcBorders>
            <w:shd w:val="clear" w:color="auto" w:fill="FFFFFF"/>
            <w:noWrap/>
            <w:vAlign w:val="center"/>
          </w:tcPr>
          <w:p w14:paraId="65E48A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6A3604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3FC22D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476" w:type="dxa"/>
            <w:tcBorders>
              <w:tl2br w:val="nil"/>
              <w:tr2bl w:val="nil"/>
            </w:tcBorders>
            <w:shd w:val="clear" w:color="auto" w:fill="FFFFFF"/>
            <w:noWrap/>
            <w:vAlign w:val="center"/>
          </w:tcPr>
          <w:p w14:paraId="5D0CA5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636" w:type="dxa"/>
            <w:tcBorders>
              <w:tl2br w:val="nil"/>
              <w:tr2bl w:val="nil"/>
            </w:tcBorders>
            <w:shd w:val="clear" w:color="auto" w:fill="FFFFFF"/>
            <w:noWrap/>
            <w:vAlign w:val="center"/>
          </w:tcPr>
          <w:p w14:paraId="01379E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64E440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506A82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4862D7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27B77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0A3E5A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7812C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1056" w:type="dxa"/>
            <w:tcBorders>
              <w:tl2br w:val="nil"/>
              <w:tr2bl w:val="nil"/>
            </w:tcBorders>
            <w:shd w:val="clear" w:color="auto" w:fill="FFFFFF"/>
            <w:noWrap/>
            <w:vAlign w:val="center"/>
          </w:tcPr>
          <w:p w14:paraId="365B522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30DDB3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700.00 </w:t>
            </w:r>
          </w:p>
        </w:tc>
        <w:tc>
          <w:tcPr>
            <w:tcW w:w="899" w:type="dxa"/>
            <w:tcBorders>
              <w:tl2br w:val="nil"/>
              <w:tr2bl w:val="nil"/>
            </w:tcBorders>
            <w:shd w:val="clear" w:color="auto" w:fill="FFFFFF"/>
            <w:noWrap/>
            <w:vAlign w:val="center"/>
          </w:tcPr>
          <w:p w14:paraId="224AD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700.00 </w:t>
            </w:r>
          </w:p>
        </w:tc>
        <w:tc>
          <w:tcPr>
            <w:tcW w:w="1056" w:type="dxa"/>
            <w:tcBorders>
              <w:tl2br w:val="nil"/>
              <w:tr2bl w:val="nil"/>
            </w:tcBorders>
            <w:shd w:val="clear" w:color="auto" w:fill="FFFFFF"/>
            <w:noWrap/>
            <w:vAlign w:val="center"/>
          </w:tcPr>
          <w:p w14:paraId="4F619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1720.00 </w:t>
            </w:r>
          </w:p>
        </w:tc>
        <w:tc>
          <w:tcPr>
            <w:tcW w:w="899" w:type="dxa"/>
            <w:tcBorders>
              <w:tl2br w:val="nil"/>
              <w:tr2bl w:val="nil"/>
            </w:tcBorders>
            <w:shd w:val="clear" w:color="auto" w:fill="FFFFFF"/>
            <w:noWrap/>
            <w:vAlign w:val="center"/>
          </w:tcPr>
          <w:p w14:paraId="140701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1720.00 </w:t>
            </w:r>
          </w:p>
        </w:tc>
        <w:tc>
          <w:tcPr>
            <w:tcW w:w="899" w:type="dxa"/>
            <w:tcBorders>
              <w:tl2br w:val="nil"/>
              <w:tr2bl w:val="nil"/>
            </w:tcBorders>
            <w:shd w:val="clear" w:color="auto" w:fill="FFFFFF"/>
            <w:noWrap/>
            <w:vAlign w:val="center"/>
          </w:tcPr>
          <w:p w14:paraId="0B33D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266" w:type="dxa"/>
            <w:tcBorders>
              <w:tl2br w:val="nil"/>
              <w:tr2bl w:val="nil"/>
            </w:tcBorders>
            <w:shd w:val="clear" w:color="auto" w:fill="FFFFFF"/>
            <w:noWrap/>
            <w:vAlign w:val="center"/>
          </w:tcPr>
          <w:p w14:paraId="4DB11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99" w:type="dxa"/>
            <w:tcBorders>
              <w:tl2br w:val="nil"/>
              <w:tr2bl w:val="nil"/>
            </w:tcBorders>
            <w:shd w:val="clear" w:color="auto" w:fill="FFFFFF"/>
            <w:noWrap/>
            <w:vAlign w:val="center"/>
          </w:tcPr>
          <w:p w14:paraId="512615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FFFFFF"/>
            <w:noWrap/>
            <w:vAlign w:val="center"/>
          </w:tcPr>
          <w:p w14:paraId="78B620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4B336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32428C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22A4C7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6C86E1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23FC3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50A6A7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78FEF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1056" w:type="dxa"/>
            <w:tcBorders>
              <w:tl2br w:val="nil"/>
              <w:tr2bl w:val="nil"/>
            </w:tcBorders>
            <w:shd w:val="clear" w:color="auto" w:fill="FFFFFF"/>
            <w:noWrap/>
            <w:vAlign w:val="center"/>
          </w:tcPr>
          <w:p w14:paraId="010543A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77D85B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40828C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21B3AB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0D7BD3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34DE74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66" w:type="dxa"/>
            <w:tcBorders>
              <w:tl2br w:val="nil"/>
              <w:tr2bl w:val="nil"/>
            </w:tcBorders>
            <w:shd w:val="clear" w:color="auto" w:fill="FFFFFF"/>
            <w:noWrap/>
            <w:vAlign w:val="center"/>
          </w:tcPr>
          <w:p w14:paraId="1A5651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224946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FFFFFF"/>
            <w:noWrap/>
            <w:vAlign w:val="center"/>
          </w:tcPr>
          <w:p w14:paraId="73BB90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2E2AC4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777F29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789A1B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7DF3E4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6EB9B5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552492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76" w:type="dxa"/>
            <w:tcBorders>
              <w:tl2br w:val="nil"/>
              <w:tr2bl w:val="nil"/>
            </w:tcBorders>
            <w:shd w:val="clear" w:color="auto" w:fill="auto"/>
            <w:noWrap/>
            <w:vAlign w:val="center"/>
          </w:tcPr>
          <w:p w14:paraId="3830C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小计</w:t>
            </w:r>
          </w:p>
        </w:tc>
        <w:tc>
          <w:tcPr>
            <w:tcW w:w="1056" w:type="dxa"/>
            <w:tcBorders>
              <w:tl2br w:val="nil"/>
              <w:tr2bl w:val="nil"/>
            </w:tcBorders>
            <w:shd w:val="clear" w:color="auto" w:fill="FFFFFF"/>
            <w:noWrap/>
            <w:vAlign w:val="center"/>
          </w:tcPr>
          <w:p w14:paraId="1E52C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056" w:type="dxa"/>
            <w:tcBorders>
              <w:tl2br w:val="nil"/>
              <w:tr2bl w:val="nil"/>
            </w:tcBorders>
            <w:shd w:val="clear" w:color="auto" w:fill="FFFFFF"/>
            <w:noWrap/>
            <w:vAlign w:val="center"/>
          </w:tcPr>
          <w:p w14:paraId="74001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899" w:type="dxa"/>
            <w:tcBorders>
              <w:tl2br w:val="nil"/>
              <w:tr2bl w:val="nil"/>
            </w:tcBorders>
            <w:shd w:val="clear" w:color="auto" w:fill="FFFFFF"/>
            <w:noWrap/>
            <w:vAlign w:val="center"/>
          </w:tcPr>
          <w:p w14:paraId="1500B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1056" w:type="dxa"/>
            <w:tcBorders>
              <w:tl2br w:val="nil"/>
              <w:tr2bl w:val="nil"/>
            </w:tcBorders>
            <w:shd w:val="clear" w:color="auto" w:fill="FFFFFF"/>
            <w:noWrap/>
            <w:vAlign w:val="center"/>
          </w:tcPr>
          <w:p w14:paraId="2F403E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899" w:type="dxa"/>
            <w:tcBorders>
              <w:tl2br w:val="nil"/>
              <w:tr2bl w:val="nil"/>
            </w:tcBorders>
            <w:shd w:val="clear" w:color="auto" w:fill="FFFFFF"/>
            <w:noWrap/>
            <w:vAlign w:val="center"/>
          </w:tcPr>
          <w:p w14:paraId="4BF31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1900.00 </w:t>
            </w:r>
          </w:p>
        </w:tc>
        <w:tc>
          <w:tcPr>
            <w:tcW w:w="899" w:type="dxa"/>
            <w:tcBorders>
              <w:tl2br w:val="nil"/>
              <w:tr2bl w:val="nil"/>
            </w:tcBorders>
            <w:shd w:val="clear" w:color="auto" w:fill="FFFFFF"/>
            <w:noWrap/>
            <w:vAlign w:val="center"/>
          </w:tcPr>
          <w:p w14:paraId="3B0DD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266" w:type="dxa"/>
            <w:tcBorders>
              <w:tl2br w:val="nil"/>
              <w:tr2bl w:val="nil"/>
            </w:tcBorders>
            <w:shd w:val="clear" w:color="auto" w:fill="FFFFFF"/>
            <w:noWrap/>
            <w:vAlign w:val="center"/>
          </w:tcPr>
          <w:p w14:paraId="3946D1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4B43B1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1020.00 </w:t>
            </w:r>
          </w:p>
        </w:tc>
        <w:tc>
          <w:tcPr>
            <w:tcW w:w="1476" w:type="dxa"/>
            <w:tcBorders>
              <w:tl2br w:val="nil"/>
              <w:tr2bl w:val="nil"/>
            </w:tcBorders>
            <w:shd w:val="clear" w:color="auto" w:fill="FFFFFF"/>
            <w:noWrap/>
            <w:vAlign w:val="center"/>
          </w:tcPr>
          <w:p w14:paraId="65A711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2A090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2C382E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634D04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6CF187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083568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2322" w:type="dxa"/>
            <w:gridSpan w:val="2"/>
            <w:tcBorders>
              <w:tl2br w:val="nil"/>
              <w:tr2bl w:val="nil"/>
            </w:tcBorders>
            <w:shd w:val="clear" w:color="auto" w:fill="FFFFFF"/>
            <w:noWrap/>
            <w:vAlign w:val="center"/>
          </w:tcPr>
          <w:p w14:paraId="39D26E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合计</w:t>
            </w:r>
          </w:p>
        </w:tc>
        <w:tc>
          <w:tcPr>
            <w:tcW w:w="1056" w:type="dxa"/>
            <w:tcBorders>
              <w:tl2br w:val="nil"/>
              <w:tr2bl w:val="nil"/>
            </w:tcBorders>
            <w:shd w:val="clear" w:color="auto" w:fill="FFFFFF"/>
            <w:noWrap/>
            <w:vAlign w:val="center"/>
          </w:tcPr>
          <w:p w14:paraId="11B9C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1260.00 </w:t>
            </w:r>
          </w:p>
        </w:tc>
        <w:tc>
          <w:tcPr>
            <w:tcW w:w="1056" w:type="dxa"/>
            <w:tcBorders>
              <w:tl2br w:val="nil"/>
              <w:tr2bl w:val="nil"/>
            </w:tcBorders>
            <w:shd w:val="clear" w:color="auto" w:fill="FFFFFF"/>
            <w:noWrap/>
            <w:vAlign w:val="center"/>
          </w:tcPr>
          <w:p w14:paraId="4D113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4750.00 </w:t>
            </w:r>
          </w:p>
        </w:tc>
        <w:tc>
          <w:tcPr>
            <w:tcW w:w="899" w:type="dxa"/>
            <w:tcBorders>
              <w:tl2br w:val="nil"/>
              <w:tr2bl w:val="nil"/>
            </w:tcBorders>
            <w:shd w:val="clear" w:color="auto" w:fill="FFFFFF"/>
            <w:noWrap/>
            <w:vAlign w:val="center"/>
          </w:tcPr>
          <w:p w14:paraId="429C8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6010.00 </w:t>
            </w:r>
          </w:p>
        </w:tc>
        <w:tc>
          <w:tcPr>
            <w:tcW w:w="1056" w:type="dxa"/>
            <w:tcBorders>
              <w:tl2br w:val="nil"/>
              <w:tr2bl w:val="nil"/>
            </w:tcBorders>
            <w:shd w:val="clear" w:color="auto" w:fill="FFFFFF"/>
            <w:noWrap/>
            <w:vAlign w:val="center"/>
          </w:tcPr>
          <w:p w14:paraId="2073D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6010.00 </w:t>
            </w:r>
          </w:p>
        </w:tc>
        <w:tc>
          <w:tcPr>
            <w:tcW w:w="899" w:type="dxa"/>
            <w:tcBorders>
              <w:tl2br w:val="nil"/>
              <w:tr2bl w:val="nil"/>
            </w:tcBorders>
            <w:shd w:val="clear" w:color="auto" w:fill="FFFFFF"/>
            <w:noWrap/>
            <w:vAlign w:val="center"/>
          </w:tcPr>
          <w:p w14:paraId="44E9A5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6010.00 </w:t>
            </w:r>
          </w:p>
        </w:tc>
        <w:tc>
          <w:tcPr>
            <w:tcW w:w="899" w:type="dxa"/>
            <w:tcBorders>
              <w:tl2br w:val="nil"/>
              <w:tr2bl w:val="nil"/>
            </w:tcBorders>
            <w:shd w:val="clear" w:color="auto" w:fill="FFFFFF"/>
            <w:noWrap/>
            <w:vAlign w:val="center"/>
          </w:tcPr>
          <w:p w14:paraId="2D3585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2550.00 </w:t>
            </w:r>
          </w:p>
        </w:tc>
        <w:tc>
          <w:tcPr>
            <w:tcW w:w="1266" w:type="dxa"/>
            <w:tcBorders>
              <w:tl2br w:val="nil"/>
              <w:tr2bl w:val="nil"/>
            </w:tcBorders>
            <w:shd w:val="clear" w:color="auto" w:fill="FFFFFF"/>
            <w:noWrap/>
            <w:vAlign w:val="center"/>
          </w:tcPr>
          <w:p w14:paraId="788BC8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99" w:type="dxa"/>
            <w:tcBorders>
              <w:tl2br w:val="nil"/>
              <w:tr2bl w:val="nil"/>
            </w:tcBorders>
            <w:shd w:val="clear" w:color="auto" w:fill="FFFFFF"/>
            <w:noWrap/>
            <w:vAlign w:val="center"/>
          </w:tcPr>
          <w:p w14:paraId="2CB83D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2550.00 </w:t>
            </w:r>
          </w:p>
        </w:tc>
        <w:tc>
          <w:tcPr>
            <w:tcW w:w="1476" w:type="dxa"/>
            <w:tcBorders>
              <w:tl2br w:val="nil"/>
              <w:tr2bl w:val="nil"/>
            </w:tcBorders>
            <w:shd w:val="clear" w:color="auto" w:fill="FFFFFF"/>
            <w:noWrap/>
            <w:vAlign w:val="center"/>
          </w:tcPr>
          <w:p w14:paraId="242C0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4CBC25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36" w:type="dxa"/>
            <w:tcBorders>
              <w:tl2br w:val="nil"/>
              <w:tr2bl w:val="nil"/>
            </w:tcBorders>
            <w:shd w:val="clear" w:color="auto" w:fill="FFFFFF"/>
            <w:noWrap/>
            <w:vAlign w:val="center"/>
          </w:tcPr>
          <w:p w14:paraId="4893AA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742" w:type="dxa"/>
            <w:tcBorders>
              <w:tl2br w:val="nil"/>
              <w:tr2bl w:val="nil"/>
            </w:tcBorders>
            <w:shd w:val="clear" w:color="auto" w:fill="FFFFFF"/>
            <w:noWrap/>
            <w:vAlign w:val="center"/>
          </w:tcPr>
          <w:p w14:paraId="00B7A8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938" w:type="dxa"/>
            <w:tcBorders>
              <w:tl2br w:val="nil"/>
              <w:tr2bl w:val="nil"/>
            </w:tcBorders>
            <w:shd w:val="clear" w:color="auto" w:fill="FFFFFF"/>
            <w:noWrap/>
            <w:vAlign w:val="center"/>
          </w:tcPr>
          <w:p w14:paraId="3558DB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bl>
    <w:p w14:paraId="0A25721F">
      <w:pPr>
        <w:ind w:firstLine="360"/>
        <w:rPr>
          <w:rFonts w:hint="default" w:ascii="Times New Roman" w:hAnsi="Times New Roman" w:cs="Times New Roman"/>
          <w:sz w:val="18"/>
          <w:szCs w:val="18"/>
        </w:rPr>
      </w:pPr>
      <w:r>
        <w:rPr>
          <w:rFonts w:hint="default" w:ascii="Times New Roman" w:hAnsi="Times New Roman" w:cs="Times New Roman"/>
          <w:sz w:val="18"/>
          <w:szCs w:val="18"/>
        </w:rPr>
        <w:t>注：</w:t>
      </w:r>
      <w:r>
        <w:rPr>
          <w:rFonts w:hint="default" w:ascii="Times New Roman" w:hAnsi="Times New Roman" w:eastAsia="宋体" w:cs="Times New Roman"/>
          <w:sz w:val="18"/>
          <w:szCs w:val="18"/>
        </w:rPr>
        <w:t>①</w:t>
      </w:r>
      <w:r>
        <w:rPr>
          <w:rFonts w:hint="default" w:ascii="Times New Roman" w:hAnsi="Times New Roman" w:cs="Times New Roman"/>
          <w:sz w:val="18"/>
          <w:szCs w:val="18"/>
        </w:rPr>
        <w:t>开挖+调入+外借=回填+调出+废弃；</w:t>
      </w:r>
      <w:r>
        <w:rPr>
          <w:rFonts w:hint="default" w:ascii="Times New Roman" w:hAnsi="Times New Roman" w:eastAsia="宋体" w:cs="Times New Roman"/>
          <w:sz w:val="18"/>
          <w:szCs w:val="18"/>
        </w:rPr>
        <w:t>②</w:t>
      </w:r>
      <w:r>
        <w:rPr>
          <w:rFonts w:hint="default" w:ascii="Times New Roman" w:hAnsi="Times New Roman" w:cs="Times New Roman"/>
          <w:sz w:val="18"/>
          <w:szCs w:val="18"/>
        </w:rPr>
        <w:t>上述土石方均为自然方。</w:t>
      </w:r>
    </w:p>
    <w:p w14:paraId="5665ED95">
      <w:pPr>
        <w:pStyle w:val="4"/>
        <w:rPr>
          <w:rFonts w:hint="default" w:ascii="Times New Roman" w:hAnsi="Times New Roman" w:cs="Times New Roman"/>
        </w:rPr>
      </w:pPr>
      <w:r>
        <w:rPr>
          <w:rFonts w:hint="default" w:ascii="Times New Roman" w:hAnsi="Times New Roman" w:cs="Times New Roman"/>
        </w:rPr>
        <w:t>土石方平衡汇总分析</w:t>
      </w:r>
    </w:p>
    <w:p w14:paraId="16CD93E7">
      <w:pPr>
        <w:adjustRightInd w:val="0"/>
        <w:snapToGrid w:val="0"/>
        <w:ind w:firstLine="480"/>
        <w:rPr>
          <w:rFonts w:hint="eastAsia" w:ascii="Times New Roman" w:hAnsi="Times New Roman" w:eastAsia="仿宋_GB2312" w:cs="Times New Roman"/>
          <w:lang w:eastAsia="zh-CN"/>
        </w:rPr>
      </w:pPr>
      <w:r>
        <w:rPr>
          <w:rFonts w:hint="default" w:ascii="Times New Roman" w:hAnsi="Times New Roman" w:cs="Times New Roman"/>
        </w:rPr>
        <w:t>结合2.4.1及2.4.2章节，</w:t>
      </w:r>
      <w:bookmarkStart w:id="37" w:name="_Hlk71531933"/>
      <w:bookmarkStart w:id="38" w:name="_Hlk73369153"/>
      <w:r>
        <w:rPr>
          <w:rFonts w:hint="default" w:ascii="Times New Roman" w:hAnsi="Times New Roman" w:cs="Times New Roman"/>
        </w:rPr>
        <w:t>项目共开挖土石方</w:t>
      </w:r>
      <w:bookmarkStart w:id="39" w:name="_Hlk82505498"/>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（其中表土剥离</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，建筑垃圾</w:t>
      </w:r>
      <w:r>
        <w:rPr>
          <w:rFonts w:hint="eastAsia" w:cs="Times New Roman"/>
          <w:lang w:val="en-US" w:eastAsia="zh-CN"/>
        </w:rPr>
        <w:t>204.60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，场地平整</w:t>
      </w:r>
      <w:r>
        <w:rPr>
          <w:rFonts w:hint="eastAsia" w:cs="Times New Roman"/>
          <w:lang w:val="en-US" w:eastAsia="zh-CN"/>
        </w:rPr>
        <w:t>3171.00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，基础开挖</w:t>
      </w:r>
      <w:r>
        <w:rPr>
          <w:rFonts w:hint="eastAsia" w:cs="Times New Roman"/>
          <w:lang w:val="en-US" w:eastAsia="zh-CN"/>
        </w:rPr>
        <w:t>4750.00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），回填土石方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（其中绿化覆土</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，一般回填</w:t>
      </w:r>
      <w:r>
        <w:rPr>
          <w:rFonts w:hint="eastAsia" w:cs="Times New Roman"/>
          <w:lang w:val="en-US" w:eastAsia="zh-CN"/>
        </w:rPr>
        <w:t>8125.60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），项目区内调运土石方</w:t>
      </w:r>
      <w:r>
        <w:rPr>
          <w:rFonts w:hint="eastAsia" w:cs="Times New Roman"/>
          <w:lang w:val="en-US" w:eastAsia="zh-CN"/>
        </w:rPr>
        <w:t>4329.60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w:t>
      </w:r>
      <w:r>
        <w:rPr>
          <w:rFonts w:hint="eastAsia" w:cs="Times New Roman"/>
          <w:color w:val="auto"/>
          <w:lang w:val="en-US" w:eastAsia="zh-CN"/>
        </w:rPr>
        <w:t>不</w:t>
      </w:r>
      <w:r>
        <w:rPr>
          <w:rFonts w:hint="default" w:ascii="Times New Roman" w:hAnsi="Times New Roman" w:cs="Times New Roman"/>
          <w:color w:val="auto"/>
        </w:rPr>
        <w:t>产生永久弃方。</w:t>
      </w:r>
      <w:bookmarkEnd w:id="37"/>
      <w:bookmarkEnd w:id="38"/>
      <w:bookmarkEnd w:id="39"/>
      <w:r>
        <w:rPr>
          <w:rFonts w:hint="default" w:ascii="Times New Roman" w:hAnsi="Times New Roman" w:cs="Times New Roman"/>
        </w:rPr>
        <w:t>土石方平衡汇总分析见表2-11。</w:t>
      </w:r>
    </w:p>
    <w:p w14:paraId="1D62286F">
      <w:pPr>
        <w:pStyle w:val="83"/>
        <w:jc w:val="left"/>
        <w:rPr>
          <w:rFonts w:hint="default" w:ascii="Times New Roman" w:hAnsi="Times New Roman" w:eastAsia="仿宋_GB2312" w:cs="Times New Roman"/>
          <w:b/>
          <w:bCs w:val="0"/>
          <w:vertAlign w:val="superscript"/>
        </w:rPr>
      </w:pPr>
      <w:r>
        <w:rPr>
          <w:rFonts w:hint="default" w:ascii="Times New Roman" w:hAnsi="Times New Roman" w:eastAsia="仿宋_GB2312" w:cs="Times New Roman"/>
          <w:b/>
          <w:bCs w:val="0"/>
        </w:rPr>
        <w:t>表2-11                                      土石方平衡及流向分析</w:t>
      </w:r>
      <w:r>
        <w:rPr>
          <w:rFonts w:hint="eastAsia" w:eastAsia="仿宋_GB2312" w:cs="Times New Roman"/>
          <w:b/>
          <w:bCs w:val="0"/>
          <w:lang w:val="en-US" w:eastAsia="zh-CN"/>
        </w:rPr>
        <w:t>汇总</w:t>
      </w:r>
      <w:r>
        <w:rPr>
          <w:rFonts w:hint="default" w:ascii="Times New Roman" w:hAnsi="Times New Roman" w:eastAsia="仿宋_GB2312" w:cs="Times New Roman"/>
          <w:b/>
          <w:bCs w:val="0"/>
        </w:rPr>
        <w:t>表                                           单位： m</w:t>
      </w:r>
      <w:r>
        <w:rPr>
          <w:rFonts w:hint="default" w:ascii="Times New Roman" w:hAnsi="Times New Roman" w:eastAsia="仿宋_GB2312" w:cs="Times New Roman"/>
          <w:b/>
          <w:bCs w:val="0"/>
          <w:vertAlign w:val="superscript"/>
        </w:rPr>
        <w:t>3</w:t>
      </w:r>
    </w:p>
    <w:tbl>
      <w:tblPr>
        <w:tblStyle w:val="27"/>
        <w:tblW w:w="1483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28"/>
        <w:gridCol w:w="1114"/>
        <w:gridCol w:w="653"/>
        <w:gridCol w:w="635"/>
        <w:gridCol w:w="686"/>
        <w:gridCol w:w="686"/>
        <w:gridCol w:w="772"/>
        <w:gridCol w:w="738"/>
        <w:gridCol w:w="868"/>
        <w:gridCol w:w="782"/>
        <w:gridCol w:w="844"/>
        <w:gridCol w:w="1466"/>
        <w:gridCol w:w="846"/>
        <w:gridCol w:w="2792"/>
        <w:gridCol w:w="353"/>
        <w:gridCol w:w="353"/>
        <w:gridCol w:w="354"/>
        <w:gridCol w:w="362"/>
      </w:tblGrid>
      <w:tr w14:paraId="352580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528" w:type="dxa"/>
            <w:vMerge w:val="restart"/>
            <w:tcBorders>
              <w:tl2br w:val="nil"/>
              <w:tr2bl w:val="nil"/>
            </w:tcBorders>
            <w:shd w:val="clear" w:color="auto" w:fill="auto"/>
            <w:noWrap/>
            <w:vAlign w:val="center"/>
          </w:tcPr>
          <w:p w14:paraId="2888F9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w:t>
            </w:r>
          </w:p>
        </w:tc>
        <w:tc>
          <w:tcPr>
            <w:tcW w:w="1114" w:type="dxa"/>
            <w:vMerge w:val="restart"/>
            <w:tcBorders>
              <w:tl2br w:val="nil"/>
              <w:tr2bl w:val="nil"/>
            </w:tcBorders>
            <w:shd w:val="clear" w:color="auto" w:fill="auto"/>
            <w:noWrap/>
            <w:vAlign w:val="center"/>
          </w:tcPr>
          <w:p w14:paraId="370BF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项目分区</w:t>
            </w:r>
          </w:p>
        </w:tc>
        <w:tc>
          <w:tcPr>
            <w:tcW w:w="3432" w:type="dxa"/>
            <w:gridSpan w:val="5"/>
            <w:tcBorders>
              <w:tl2br w:val="nil"/>
              <w:tr2bl w:val="nil"/>
            </w:tcBorders>
            <w:shd w:val="clear" w:color="auto" w:fill="FFFFFF"/>
            <w:noWrap/>
            <w:vAlign w:val="center"/>
          </w:tcPr>
          <w:p w14:paraId="48C9A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土石方开挖</w:t>
            </w:r>
          </w:p>
        </w:tc>
        <w:tc>
          <w:tcPr>
            <w:tcW w:w="2388" w:type="dxa"/>
            <w:gridSpan w:val="3"/>
            <w:tcBorders>
              <w:tl2br w:val="nil"/>
              <w:tr2bl w:val="nil"/>
            </w:tcBorders>
            <w:shd w:val="clear" w:color="auto" w:fill="FFFFFF"/>
            <w:noWrap/>
            <w:vAlign w:val="center"/>
          </w:tcPr>
          <w:p w14:paraId="7778C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土石方回填</w:t>
            </w:r>
          </w:p>
        </w:tc>
        <w:tc>
          <w:tcPr>
            <w:tcW w:w="2310" w:type="dxa"/>
            <w:gridSpan w:val="2"/>
            <w:tcBorders>
              <w:tl2br w:val="nil"/>
              <w:tr2bl w:val="nil"/>
            </w:tcBorders>
            <w:shd w:val="clear" w:color="auto" w:fill="FFFFFF"/>
            <w:noWrap/>
            <w:vAlign w:val="center"/>
          </w:tcPr>
          <w:p w14:paraId="0E7A3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调入</w:t>
            </w:r>
          </w:p>
        </w:tc>
        <w:tc>
          <w:tcPr>
            <w:tcW w:w="3638" w:type="dxa"/>
            <w:gridSpan w:val="2"/>
            <w:tcBorders>
              <w:tl2br w:val="nil"/>
              <w:tr2bl w:val="nil"/>
            </w:tcBorders>
            <w:shd w:val="clear" w:color="auto" w:fill="FFFFFF"/>
            <w:noWrap/>
            <w:vAlign w:val="center"/>
          </w:tcPr>
          <w:p w14:paraId="6844FA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调出</w:t>
            </w:r>
          </w:p>
        </w:tc>
        <w:tc>
          <w:tcPr>
            <w:tcW w:w="706" w:type="dxa"/>
            <w:gridSpan w:val="2"/>
            <w:tcBorders>
              <w:tl2br w:val="nil"/>
              <w:tr2bl w:val="nil"/>
            </w:tcBorders>
            <w:shd w:val="clear" w:color="auto" w:fill="FFFFFF"/>
            <w:noWrap/>
            <w:vAlign w:val="center"/>
          </w:tcPr>
          <w:p w14:paraId="7C022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外借</w:t>
            </w:r>
          </w:p>
        </w:tc>
        <w:tc>
          <w:tcPr>
            <w:tcW w:w="716" w:type="dxa"/>
            <w:gridSpan w:val="2"/>
            <w:tcBorders>
              <w:tl2br w:val="nil"/>
              <w:tr2bl w:val="nil"/>
            </w:tcBorders>
            <w:shd w:val="clear" w:color="auto" w:fill="FFFFFF"/>
            <w:noWrap/>
            <w:vAlign w:val="center"/>
          </w:tcPr>
          <w:p w14:paraId="5908C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废弃</w:t>
            </w:r>
          </w:p>
        </w:tc>
      </w:tr>
      <w:tr w14:paraId="7CF655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46D585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vMerge w:val="continue"/>
            <w:tcBorders>
              <w:tl2br w:val="nil"/>
              <w:tr2bl w:val="nil"/>
            </w:tcBorders>
            <w:shd w:val="clear" w:color="auto" w:fill="auto"/>
            <w:noWrap/>
            <w:vAlign w:val="center"/>
          </w:tcPr>
          <w:p w14:paraId="007230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53" w:type="dxa"/>
            <w:tcBorders>
              <w:tl2br w:val="nil"/>
              <w:tr2bl w:val="nil"/>
            </w:tcBorders>
            <w:shd w:val="clear" w:color="auto" w:fill="auto"/>
            <w:noWrap/>
            <w:vAlign w:val="center"/>
          </w:tcPr>
          <w:p w14:paraId="10DAB6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表土剥离</w:t>
            </w:r>
          </w:p>
        </w:tc>
        <w:tc>
          <w:tcPr>
            <w:tcW w:w="635" w:type="dxa"/>
            <w:tcBorders>
              <w:tl2br w:val="nil"/>
              <w:tr2bl w:val="nil"/>
            </w:tcBorders>
            <w:shd w:val="clear" w:color="auto" w:fill="FFFFFF"/>
            <w:noWrap/>
            <w:vAlign w:val="center"/>
          </w:tcPr>
          <w:p w14:paraId="508DC9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建筑垃圾</w:t>
            </w:r>
          </w:p>
        </w:tc>
        <w:tc>
          <w:tcPr>
            <w:tcW w:w="686" w:type="dxa"/>
            <w:tcBorders>
              <w:tl2br w:val="nil"/>
              <w:tr2bl w:val="nil"/>
            </w:tcBorders>
            <w:shd w:val="clear" w:color="auto" w:fill="FFFFFF"/>
            <w:noWrap/>
            <w:vAlign w:val="center"/>
          </w:tcPr>
          <w:p w14:paraId="3938E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场地平整</w:t>
            </w:r>
          </w:p>
        </w:tc>
        <w:tc>
          <w:tcPr>
            <w:tcW w:w="686" w:type="dxa"/>
            <w:tcBorders>
              <w:tl2br w:val="nil"/>
              <w:tr2bl w:val="nil"/>
            </w:tcBorders>
            <w:shd w:val="clear" w:color="auto" w:fill="FFFFFF"/>
            <w:noWrap/>
            <w:vAlign w:val="center"/>
          </w:tcPr>
          <w:p w14:paraId="2F091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基础开挖</w:t>
            </w:r>
          </w:p>
        </w:tc>
        <w:tc>
          <w:tcPr>
            <w:tcW w:w="772" w:type="dxa"/>
            <w:tcBorders>
              <w:tl2br w:val="nil"/>
              <w:tr2bl w:val="nil"/>
            </w:tcBorders>
            <w:shd w:val="clear" w:color="auto" w:fill="FFFFFF"/>
            <w:noWrap/>
            <w:vAlign w:val="center"/>
          </w:tcPr>
          <w:p w14:paraId="173E3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738" w:type="dxa"/>
            <w:tcBorders>
              <w:tl2br w:val="nil"/>
              <w:tr2bl w:val="nil"/>
            </w:tcBorders>
            <w:shd w:val="clear" w:color="auto" w:fill="auto"/>
            <w:noWrap/>
            <w:vAlign w:val="center"/>
          </w:tcPr>
          <w:p w14:paraId="1DE5AA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场地回填</w:t>
            </w:r>
          </w:p>
        </w:tc>
        <w:tc>
          <w:tcPr>
            <w:tcW w:w="868" w:type="dxa"/>
            <w:tcBorders>
              <w:tl2br w:val="nil"/>
              <w:tr2bl w:val="nil"/>
            </w:tcBorders>
            <w:shd w:val="clear" w:color="auto" w:fill="auto"/>
            <w:noWrap/>
            <w:vAlign w:val="center"/>
          </w:tcPr>
          <w:p w14:paraId="711A5B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绿化覆土回填</w:t>
            </w:r>
          </w:p>
        </w:tc>
        <w:tc>
          <w:tcPr>
            <w:tcW w:w="782" w:type="dxa"/>
            <w:tcBorders>
              <w:tl2br w:val="nil"/>
              <w:tr2bl w:val="nil"/>
            </w:tcBorders>
            <w:shd w:val="clear" w:color="auto" w:fill="FFFFFF"/>
            <w:noWrap/>
            <w:vAlign w:val="center"/>
          </w:tcPr>
          <w:p w14:paraId="26761B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844" w:type="dxa"/>
            <w:tcBorders>
              <w:tl2br w:val="nil"/>
              <w:tr2bl w:val="nil"/>
            </w:tcBorders>
            <w:shd w:val="clear" w:color="auto" w:fill="FFFFFF"/>
            <w:noWrap/>
            <w:vAlign w:val="center"/>
          </w:tcPr>
          <w:p w14:paraId="7C8DC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1466" w:type="dxa"/>
            <w:tcBorders>
              <w:tl2br w:val="nil"/>
              <w:tr2bl w:val="nil"/>
            </w:tcBorders>
            <w:shd w:val="clear" w:color="auto" w:fill="FFFFFF"/>
            <w:noWrap/>
            <w:vAlign w:val="center"/>
          </w:tcPr>
          <w:p w14:paraId="0A0AA4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来源</w:t>
            </w:r>
          </w:p>
        </w:tc>
        <w:tc>
          <w:tcPr>
            <w:tcW w:w="846" w:type="dxa"/>
            <w:tcBorders>
              <w:tl2br w:val="nil"/>
              <w:tr2bl w:val="nil"/>
            </w:tcBorders>
            <w:shd w:val="clear" w:color="auto" w:fill="FFFFFF"/>
            <w:noWrap/>
            <w:vAlign w:val="center"/>
          </w:tcPr>
          <w:p w14:paraId="12B70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2792" w:type="dxa"/>
            <w:tcBorders>
              <w:tl2br w:val="nil"/>
              <w:tr2bl w:val="nil"/>
            </w:tcBorders>
            <w:shd w:val="clear" w:color="auto" w:fill="FFFFFF"/>
            <w:noWrap/>
            <w:vAlign w:val="center"/>
          </w:tcPr>
          <w:p w14:paraId="7BA12B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去向</w:t>
            </w:r>
          </w:p>
        </w:tc>
        <w:tc>
          <w:tcPr>
            <w:tcW w:w="353" w:type="dxa"/>
            <w:tcBorders>
              <w:tl2br w:val="nil"/>
              <w:tr2bl w:val="nil"/>
            </w:tcBorders>
            <w:shd w:val="clear" w:color="auto" w:fill="FFFFFF"/>
            <w:noWrap/>
            <w:vAlign w:val="center"/>
          </w:tcPr>
          <w:p w14:paraId="5CE9F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353" w:type="dxa"/>
            <w:tcBorders>
              <w:tl2br w:val="nil"/>
              <w:tr2bl w:val="nil"/>
            </w:tcBorders>
            <w:shd w:val="clear" w:color="auto" w:fill="FFFFFF"/>
            <w:noWrap/>
            <w:vAlign w:val="center"/>
          </w:tcPr>
          <w:p w14:paraId="22FD98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来源</w:t>
            </w:r>
          </w:p>
        </w:tc>
        <w:tc>
          <w:tcPr>
            <w:tcW w:w="354" w:type="dxa"/>
            <w:tcBorders>
              <w:tl2br w:val="nil"/>
              <w:tr2bl w:val="nil"/>
            </w:tcBorders>
            <w:shd w:val="clear" w:color="auto" w:fill="FFFFFF"/>
            <w:noWrap/>
            <w:vAlign w:val="center"/>
          </w:tcPr>
          <w:p w14:paraId="6371E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数量</w:t>
            </w:r>
          </w:p>
        </w:tc>
        <w:tc>
          <w:tcPr>
            <w:tcW w:w="362" w:type="dxa"/>
            <w:tcBorders>
              <w:tl2br w:val="nil"/>
              <w:tr2bl w:val="nil"/>
            </w:tcBorders>
            <w:shd w:val="clear" w:color="auto" w:fill="FFFFFF"/>
            <w:noWrap/>
            <w:vAlign w:val="center"/>
          </w:tcPr>
          <w:p w14:paraId="004E6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去向</w:t>
            </w:r>
          </w:p>
        </w:tc>
      </w:tr>
      <w:tr w14:paraId="5C0DB3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restart"/>
            <w:tcBorders>
              <w:tl2br w:val="nil"/>
              <w:tr2bl w:val="nil"/>
            </w:tcBorders>
            <w:shd w:val="clear" w:color="auto" w:fill="auto"/>
            <w:noWrap/>
            <w:vAlign w:val="center"/>
          </w:tcPr>
          <w:p w14:paraId="0DB8A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地块一</w:t>
            </w:r>
          </w:p>
        </w:tc>
        <w:tc>
          <w:tcPr>
            <w:tcW w:w="1114" w:type="dxa"/>
            <w:tcBorders>
              <w:tl2br w:val="nil"/>
              <w:tr2bl w:val="nil"/>
            </w:tcBorders>
            <w:shd w:val="clear" w:color="auto" w:fill="auto"/>
            <w:noWrap/>
            <w:vAlign w:val="center"/>
          </w:tcPr>
          <w:p w14:paraId="2FB50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653" w:type="dxa"/>
            <w:tcBorders>
              <w:tl2br w:val="nil"/>
              <w:tr2bl w:val="nil"/>
            </w:tcBorders>
            <w:shd w:val="clear" w:color="auto" w:fill="auto"/>
            <w:noWrap/>
            <w:vAlign w:val="center"/>
          </w:tcPr>
          <w:p w14:paraId="62F0A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105.00 </w:t>
            </w:r>
          </w:p>
        </w:tc>
        <w:tc>
          <w:tcPr>
            <w:tcW w:w="635" w:type="dxa"/>
            <w:tcBorders>
              <w:tl2br w:val="nil"/>
              <w:tr2bl w:val="nil"/>
            </w:tcBorders>
            <w:shd w:val="clear" w:color="auto" w:fill="auto"/>
            <w:noWrap/>
            <w:vAlign w:val="center"/>
          </w:tcPr>
          <w:p w14:paraId="69E10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204.60 </w:t>
            </w:r>
          </w:p>
        </w:tc>
        <w:tc>
          <w:tcPr>
            <w:tcW w:w="686" w:type="dxa"/>
            <w:tcBorders>
              <w:tl2br w:val="nil"/>
              <w:tr2bl w:val="nil"/>
            </w:tcBorders>
            <w:shd w:val="clear" w:color="auto" w:fill="auto"/>
            <w:noWrap/>
            <w:vAlign w:val="center"/>
          </w:tcPr>
          <w:p w14:paraId="4DD8D7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630.00 </w:t>
            </w:r>
          </w:p>
        </w:tc>
        <w:tc>
          <w:tcPr>
            <w:tcW w:w="686" w:type="dxa"/>
            <w:tcBorders>
              <w:tl2br w:val="nil"/>
              <w:tr2bl w:val="nil"/>
            </w:tcBorders>
            <w:shd w:val="clear" w:color="auto" w:fill="auto"/>
            <w:noWrap/>
            <w:vAlign w:val="center"/>
          </w:tcPr>
          <w:p w14:paraId="5900B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1800.00 </w:t>
            </w:r>
          </w:p>
        </w:tc>
        <w:tc>
          <w:tcPr>
            <w:tcW w:w="772" w:type="dxa"/>
            <w:tcBorders>
              <w:tl2br w:val="nil"/>
              <w:tr2bl w:val="nil"/>
            </w:tcBorders>
            <w:shd w:val="clear" w:color="auto" w:fill="FFFFFF"/>
            <w:noWrap/>
            <w:vAlign w:val="center"/>
          </w:tcPr>
          <w:p w14:paraId="44090F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2739.60 </w:t>
            </w:r>
          </w:p>
        </w:tc>
        <w:tc>
          <w:tcPr>
            <w:tcW w:w="738" w:type="dxa"/>
            <w:tcBorders>
              <w:tl2br w:val="nil"/>
              <w:tr2bl w:val="nil"/>
            </w:tcBorders>
            <w:shd w:val="clear" w:color="auto" w:fill="auto"/>
            <w:noWrap/>
            <w:vAlign w:val="center"/>
          </w:tcPr>
          <w:p w14:paraId="732624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900.00 </w:t>
            </w:r>
          </w:p>
        </w:tc>
        <w:tc>
          <w:tcPr>
            <w:tcW w:w="868" w:type="dxa"/>
            <w:tcBorders>
              <w:tl2br w:val="nil"/>
              <w:tr2bl w:val="nil"/>
            </w:tcBorders>
            <w:shd w:val="clear" w:color="auto" w:fill="auto"/>
            <w:noWrap/>
            <w:vAlign w:val="center"/>
          </w:tcPr>
          <w:p w14:paraId="561AAF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82" w:type="dxa"/>
            <w:tcBorders>
              <w:tl2br w:val="nil"/>
              <w:tr2bl w:val="nil"/>
            </w:tcBorders>
            <w:shd w:val="clear" w:color="auto" w:fill="FFFFFF"/>
            <w:noWrap/>
            <w:vAlign w:val="center"/>
          </w:tcPr>
          <w:p w14:paraId="598EDE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900.00 </w:t>
            </w:r>
          </w:p>
        </w:tc>
        <w:tc>
          <w:tcPr>
            <w:tcW w:w="844" w:type="dxa"/>
            <w:tcBorders>
              <w:tl2br w:val="nil"/>
              <w:tr2bl w:val="nil"/>
            </w:tcBorders>
            <w:shd w:val="clear" w:color="auto" w:fill="FFFFFF"/>
            <w:noWrap/>
            <w:vAlign w:val="center"/>
          </w:tcPr>
          <w:p w14:paraId="7DCEC4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466" w:type="dxa"/>
            <w:tcBorders>
              <w:tl2br w:val="nil"/>
              <w:tr2bl w:val="nil"/>
            </w:tcBorders>
            <w:shd w:val="clear" w:color="auto" w:fill="FFFFFF"/>
            <w:noWrap/>
            <w:vAlign w:val="center"/>
          </w:tcPr>
          <w:p w14:paraId="3A9ADC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46" w:type="dxa"/>
            <w:tcBorders>
              <w:tl2br w:val="nil"/>
              <w:tr2bl w:val="nil"/>
            </w:tcBorders>
            <w:shd w:val="clear" w:color="auto" w:fill="FFFFFF"/>
            <w:noWrap/>
            <w:vAlign w:val="center"/>
          </w:tcPr>
          <w:p w14:paraId="051463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1839.60 </w:t>
            </w:r>
          </w:p>
        </w:tc>
        <w:tc>
          <w:tcPr>
            <w:tcW w:w="2792" w:type="dxa"/>
            <w:tcBorders>
              <w:tl2br w:val="nil"/>
              <w:tr2bl w:val="nil"/>
            </w:tcBorders>
            <w:shd w:val="clear" w:color="auto" w:fill="FFFFFF"/>
            <w:noWrap/>
            <w:vAlign w:val="center"/>
          </w:tcPr>
          <w:p w14:paraId="74ED4C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绿化区、道路及硬化场地区、1#表土堆场</w:t>
            </w:r>
          </w:p>
        </w:tc>
        <w:tc>
          <w:tcPr>
            <w:tcW w:w="353" w:type="dxa"/>
            <w:tcBorders>
              <w:tl2br w:val="nil"/>
              <w:tr2bl w:val="nil"/>
            </w:tcBorders>
            <w:shd w:val="clear" w:color="auto" w:fill="FFFFFF"/>
            <w:noWrap/>
            <w:vAlign w:val="center"/>
          </w:tcPr>
          <w:p w14:paraId="3A12A4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FFFFFF"/>
            <w:noWrap/>
            <w:vAlign w:val="center"/>
          </w:tcPr>
          <w:p w14:paraId="513D01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FFFFFF"/>
            <w:noWrap/>
            <w:vAlign w:val="center"/>
          </w:tcPr>
          <w:p w14:paraId="03F97F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FFFFFF"/>
            <w:noWrap/>
            <w:vAlign w:val="center"/>
          </w:tcPr>
          <w:p w14:paraId="4FF99C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30DDB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5F9CB3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tcBorders>
              <w:tl2br w:val="nil"/>
              <w:tr2bl w:val="nil"/>
            </w:tcBorders>
            <w:shd w:val="clear" w:color="auto" w:fill="auto"/>
            <w:noWrap/>
            <w:vAlign w:val="center"/>
          </w:tcPr>
          <w:p w14:paraId="4747A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道路及硬化区</w:t>
            </w:r>
          </w:p>
        </w:tc>
        <w:tc>
          <w:tcPr>
            <w:tcW w:w="653" w:type="dxa"/>
            <w:tcBorders>
              <w:tl2br w:val="nil"/>
              <w:tr2bl w:val="nil"/>
            </w:tcBorders>
            <w:shd w:val="clear" w:color="auto" w:fill="auto"/>
            <w:noWrap/>
            <w:vAlign w:val="center"/>
          </w:tcPr>
          <w:p w14:paraId="0B754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315.00 </w:t>
            </w:r>
          </w:p>
        </w:tc>
        <w:tc>
          <w:tcPr>
            <w:tcW w:w="635" w:type="dxa"/>
            <w:tcBorders>
              <w:tl2br w:val="nil"/>
              <w:tr2bl w:val="nil"/>
            </w:tcBorders>
            <w:shd w:val="clear" w:color="auto" w:fill="auto"/>
            <w:noWrap/>
            <w:vAlign w:val="center"/>
          </w:tcPr>
          <w:p w14:paraId="02C4C6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86" w:type="dxa"/>
            <w:tcBorders>
              <w:tl2br w:val="nil"/>
              <w:tr2bl w:val="nil"/>
            </w:tcBorders>
            <w:shd w:val="clear" w:color="auto" w:fill="auto"/>
            <w:noWrap/>
            <w:vAlign w:val="center"/>
          </w:tcPr>
          <w:p w14:paraId="58ADF4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441.00 </w:t>
            </w:r>
          </w:p>
        </w:tc>
        <w:tc>
          <w:tcPr>
            <w:tcW w:w="686" w:type="dxa"/>
            <w:tcBorders>
              <w:tl2br w:val="nil"/>
              <w:tr2bl w:val="nil"/>
            </w:tcBorders>
            <w:shd w:val="clear" w:color="auto" w:fill="auto"/>
            <w:noWrap/>
            <w:vAlign w:val="center"/>
          </w:tcPr>
          <w:p w14:paraId="34C611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1050.00 </w:t>
            </w:r>
          </w:p>
        </w:tc>
        <w:tc>
          <w:tcPr>
            <w:tcW w:w="772" w:type="dxa"/>
            <w:tcBorders>
              <w:tl2br w:val="nil"/>
              <w:tr2bl w:val="nil"/>
            </w:tcBorders>
            <w:shd w:val="clear" w:color="auto" w:fill="FFFFFF"/>
            <w:noWrap/>
            <w:vAlign w:val="center"/>
          </w:tcPr>
          <w:p w14:paraId="52659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1806.00 </w:t>
            </w:r>
          </w:p>
        </w:tc>
        <w:tc>
          <w:tcPr>
            <w:tcW w:w="738" w:type="dxa"/>
            <w:tcBorders>
              <w:tl2br w:val="nil"/>
              <w:tr2bl w:val="nil"/>
            </w:tcBorders>
            <w:shd w:val="clear" w:color="auto" w:fill="auto"/>
            <w:noWrap/>
            <w:vAlign w:val="center"/>
          </w:tcPr>
          <w:p w14:paraId="1B63D7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3021.00 </w:t>
            </w:r>
          </w:p>
        </w:tc>
        <w:tc>
          <w:tcPr>
            <w:tcW w:w="868" w:type="dxa"/>
            <w:tcBorders>
              <w:tl2br w:val="nil"/>
              <w:tr2bl w:val="nil"/>
            </w:tcBorders>
            <w:shd w:val="clear" w:color="auto" w:fill="auto"/>
            <w:noWrap/>
            <w:vAlign w:val="center"/>
          </w:tcPr>
          <w:p w14:paraId="4106A7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82" w:type="dxa"/>
            <w:tcBorders>
              <w:tl2br w:val="nil"/>
              <w:tr2bl w:val="nil"/>
            </w:tcBorders>
            <w:shd w:val="clear" w:color="auto" w:fill="FFFFFF"/>
            <w:noWrap/>
            <w:vAlign w:val="center"/>
          </w:tcPr>
          <w:p w14:paraId="1D92A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3021.00 </w:t>
            </w:r>
          </w:p>
        </w:tc>
        <w:tc>
          <w:tcPr>
            <w:tcW w:w="844" w:type="dxa"/>
            <w:tcBorders>
              <w:tl2br w:val="nil"/>
              <w:tr2bl w:val="nil"/>
            </w:tcBorders>
            <w:shd w:val="clear" w:color="auto" w:fill="FFFFFF"/>
            <w:noWrap/>
            <w:vAlign w:val="center"/>
          </w:tcPr>
          <w:p w14:paraId="32FCB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1530.00 </w:t>
            </w:r>
          </w:p>
        </w:tc>
        <w:tc>
          <w:tcPr>
            <w:tcW w:w="1466" w:type="dxa"/>
            <w:tcBorders>
              <w:tl2br w:val="nil"/>
              <w:tr2bl w:val="nil"/>
            </w:tcBorders>
            <w:shd w:val="clear" w:color="auto" w:fill="FFFFFF"/>
            <w:noWrap/>
            <w:vAlign w:val="center"/>
          </w:tcPr>
          <w:p w14:paraId="2CF631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846" w:type="dxa"/>
            <w:tcBorders>
              <w:tl2br w:val="nil"/>
              <w:tr2bl w:val="nil"/>
            </w:tcBorders>
            <w:shd w:val="clear" w:color="auto" w:fill="FFFFFF"/>
            <w:noWrap/>
            <w:vAlign w:val="center"/>
          </w:tcPr>
          <w:p w14:paraId="64348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315.00 </w:t>
            </w:r>
          </w:p>
        </w:tc>
        <w:tc>
          <w:tcPr>
            <w:tcW w:w="2792" w:type="dxa"/>
            <w:tcBorders>
              <w:tl2br w:val="nil"/>
              <w:tr2bl w:val="nil"/>
            </w:tcBorders>
            <w:shd w:val="clear" w:color="auto" w:fill="FFFFFF"/>
            <w:noWrap/>
            <w:vAlign w:val="center"/>
          </w:tcPr>
          <w:p w14:paraId="41C3E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1#表土堆场</w:t>
            </w:r>
          </w:p>
        </w:tc>
        <w:tc>
          <w:tcPr>
            <w:tcW w:w="353" w:type="dxa"/>
            <w:tcBorders>
              <w:tl2br w:val="nil"/>
              <w:tr2bl w:val="nil"/>
            </w:tcBorders>
            <w:shd w:val="clear" w:color="auto" w:fill="FFFFFF"/>
            <w:noWrap/>
            <w:vAlign w:val="center"/>
          </w:tcPr>
          <w:p w14:paraId="39BCFF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FFFFFF"/>
            <w:noWrap/>
            <w:vAlign w:val="center"/>
          </w:tcPr>
          <w:p w14:paraId="140182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FFFFFF"/>
            <w:noWrap/>
            <w:vAlign w:val="center"/>
          </w:tcPr>
          <w:p w14:paraId="3002B5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FFFFFF"/>
            <w:noWrap/>
            <w:vAlign w:val="center"/>
          </w:tcPr>
          <w:p w14:paraId="6EE15B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644247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4D2A51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tcBorders>
              <w:tl2br w:val="nil"/>
              <w:tr2bl w:val="nil"/>
            </w:tcBorders>
            <w:shd w:val="clear" w:color="auto" w:fill="auto"/>
            <w:noWrap/>
            <w:vAlign w:val="center"/>
          </w:tcPr>
          <w:p w14:paraId="2732B8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w:t>
            </w:r>
          </w:p>
        </w:tc>
        <w:tc>
          <w:tcPr>
            <w:tcW w:w="653" w:type="dxa"/>
            <w:tcBorders>
              <w:tl2br w:val="nil"/>
              <w:tr2bl w:val="nil"/>
            </w:tcBorders>
            <w:shd w:val="clear" w:color="auto" w:fill="auto"/>
            <w:noWrap/>
            <w:vAlign w:val="center"/>
          </w:tcPr>
          <w:p w14:paraId="572D62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135.00 </w:t>
            </w:r>
          </w:p>
        </w:tc>
        <w:tc>
          <w:tcPr>
            <w:tcW w:w="635" w:type="dxa"/>
            <w:tcBorders>
              <w:tl2br w:val="nil"/>
              <w:tr2bl w:val="nil"/>
            </w:tcBorders>
            <w:shd w:val="clear" w:color="auto" w:fill="auto"/>
            <w:noWrap/>
            <w:vAlign w:val="center"/>
          </w:tcPr>
          <w:p w14:paraId="5C45A6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86" w:type="dxa"/>
            <w:tcBorders>
              <w:tl2br w:val="nil"/>
              <w:tr2bl w:val="nil"/>
            </w:tcBorders>
            <w:shd w:val="clear" w:color="auto" w:fill="auto"/>
            <w:noWrap/>
            <w:vAlign w:val="center"/>
          </w:tcPr>
          <w:p w14:paraId="3EBADA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189.00 </w:t>
            </w:r>
          </w:p>
        </w:tc>
        <w:tc>
          <w:tcPr>
            <w:tcW w:w="686" w:type="dxa"/>
            <w:tcBorders>
              <w:tl2br w:val="nil"/>
              <w:tr2bl w:val="nil"/>
            </w:tcBorders>
            <w:shd w:val="clear" w:color="auto" w:fill="auto"/>
            <w:noWrap/>
            <w:vAlign w:val="center"/>
          </w:tcPr>
          <w:p w14:paraId="33ECE2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72" w:type="dxa"/>
            <w:tcBorders>
              <w:tl2br w:val="nil"/>
              <w:tr2bl w:val="nil"/>
            </w:tcBorders>
            <w:shd w:val="clear" w:color="auto" w:fill="FFFFFF"/>
            <w:noWrap/>
            <w:vAlign w:val="center"/>
          </w:tcPr>
          <w:p w14:paraId="72D49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324.00 </w:t>
            </w:r>
          </w:p>
        </w:tc>
        <w:tc>
          <w:tcPr>
            <w:tcW w:w="738" w:type="dxa"/>
            <w:tcBorders>
              <w:tl2br w:val="nil"/>
              <w:tr2bl w:val="nil"/>
            </w:tcBorders>
            <w:shd w:val="clear" w:color="auto" w:fill="auto"/>
            <w:noWrap/>
            <w:vAlign w:val="center"/>
          </w:tcPr>
          <w:p w14:paraId="2F7A93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393.60 </w:t>
            </w:r>
          </w:p>
        </w:tc>
        <w:tc>
          <w:tcPr>
            <w:tcW w:w="868" w:type="dxa"/>
            <w:tcBorders>
              <w:tl2br w:val="nil"/>
              <w:tr2bl w:val="nil"/>
            </w:tcBorders>
            <w:shd w:val="clear" w:color="auto" w:fill="auto"/>
            <w:noWrap/>
            <w:vAlign w:val="center"/>
          </w:tcPr>
          <w:p w14:paraId="282D3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751.30 </w:t>
            </w:r>
          </w:p>
        </w:tc>
        <w:tc>
          <w:tcPr>
            <w:tcW w:w="782" w:type="dxa"/>
            <w:tcBorders>
              <w:tl2br w:val="nil"/>
              <w:tr2bl w:val="nil"/>
            </w:tcBorders>
            <w:shd w:val="clear" w:color="auto" w:fill="FFFFFF"/>
            <w:noWrap/>
            <w:vAlign w:val="center"/>
          </w:tcPr>
          <w:p w14:paraId="4C818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1144.90 </w:t>
            </w:r>
          </w:p>
        </w:tc>
        <w:tc>
          <w:tcPr>
            <w:tcW w:w="844" w:type="dxa"/>
            <w:tcBorders>
              <w:tl2br w:val="nil"/>
              <w:tr2bl w:val="nil"/>
            </w:tcBorders>
            <w:shd w:val="clear" w:color="auto" w:fill="FFFFFF"/>
            <w:noWrap/>
            <w:vAlign w:val="center"/>
          </w:tcPr>
          <w:p w14:paraId="3CA9E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820.90 </w:t>
            </w:r>
          </w:p>
        </w:tc>
        <w:tc>
          <w:tcPr>
            <w:tcW w:w="1466" w:type="dxa"/>
            <w:tcBorders>
              <w:tl2br w:val="nil"/>
              <w:tr2bl w:val="nil"/>
            </w:tcBorders>
            <w:shd w:val="clear" w:color="auto" w:fill="FFFFFF"/>
            <w:noWrap/>
            <w:vAlign w:val="center"/>
          </w:tcPr>
          <w:p w14:paraId="3F032F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1#表土堆场、2#表土堆场</w:t>
            </w:r>
          </w:p>
        </w:tc>
        <w:tc>
          <w:tcPr>
            <w:tcW w:w="846" w:type="dxa"/>
            <w:tcBorders>
              <w:tl2br w:val="nil"/>
              <w:tr2bl w:val="nil"/>
            </w:tcBorders>
            <w:shd w:val="clear" w:color="auto" w:fill="FFFFFF"/>
            <w:noWrap/>
            <w:vAlign w:val="center"/>
          </w:tcPr>
          <w:p w14:paraId="2DF6ED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2792" w:type="dxa"/>
            <w:tcBorders>
              <w:tl2br w:val="nil"/>
              <w:tr2bl w:val="nil"/>
            </w:tcBorders>
            <w:shd w:val="clear" w:color="auto" w:fill="FFFFFF"/>
            <w:noWrap/>
            <w:vAlign w:val="center"/>
          </w:tcPr>
          <w:p w14:paraId="2B82B4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FFFFFF"/>
            <w:noWrap/>
            <w:vAlign w:val="center"/>
          </w:tcPr>
          <w:p w14:paraId="01E52D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FFFFFF"/>
            <w:noWrap/>
            <w:vAlign w:val="center"/>
          </w:tcPr>
          <w:p w14:paraId="6D957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FFFFFF"/>
            <w:noWrap/>
            <w:vAlign w:val="center"/>
          </w:tcPr>
          <w:p w14:paraId="322B9A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FFFFFF"/>
            <w:noWrap/>
            <w:vAlign w:val="center"/>
          </w:tcPr>
          <w:p w14:paraId="467B9A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2C2A95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7DC63E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tcBorders>
              <w:tl2br w:val="nil"/>
              <w:tr2bl w:val="nil"/>
            </w:tcBorders>
            <w:shd w:val="clear" w:color="auto" w:fill="auto"/>
            <w:noWrap/>
            <w:vAlign w:val="center"/>
          </w:tcPr>
          <w:p w14:paraId="10561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653" w:type="dxa"/>
            <w:tcBorders>
              <w:tl2br w:val="nil"/>
              <w:tr2bl w:val="nil"/>
            </w:tcBorders>
            <w:shd w:val="clear" w:color="auto" w:fill="auto"/>
            <w:noWrap/>
            <w:vAlign w:val="center"/>
          </w:tcPr>
          <w:p w14:paraId="370864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555.00 </w:t>
            </w:r>
          </w:p>
        </w:tc>
        <w:tc>
          <w:tcPr>
            <w:tcW w:w="635" w:type="dxa"/>
            <w:tcBorders>
              <w:tl2br w:val="nil"/>
              <w:tr2bl w:val="nil"/>
            </w:tcBorders>
            <w:shd w:val="clear" w:color="auto" w:fill="auto"/>
            <w:noWrap/>
            <w:vAlign w:val="center"/>
          </w:tcPr>
          <w:p w14:paraId="46B9E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204.60 </w:t>
            </w:r>
          </w:p>
        </w:tc>
        <w:tc>
          <w:tcPr>
            <w:tcW w:w="686" w:type="dxa"/>
            <w:tcBorders>
              <w:tl2br w:val="nil"/>
              <w:tr2bl w:val="nil"/>
            </w:tcBorders>
            <w:shd w:val="clear" w:color="auto" w:fill="auto"/>
            <w:noWrap/>
            <w:vAlign w:val="center"/>
          </w:tcPr>
          <w:p w14:paraId="537A3E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1260.00 </w:t>
            </w:r>
          </w:p>
        </w:tc>
        <w:tc>
          <w:tcPr>
            <w:tcW w:w="686" w:type="dxa"/>
            <w:tcBorders>
              <w:tl2br w:val="nil"/>
              <w:tr2bl w:val="nil"/>
            </w:tcBorders>
            <w:shd w:val="clear" w:color="auto" w:fill="auto"/>
            <w:noWrap/>
            <w:vAlign w:val="center"/>
          </w:tcPr>
          <w:p w14:paraId="49ACD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2850.00 </w:t>
            </w:r>
          </w:p>
        </w:tc>
        <w:tc>
          <w:tcPr>
            <w:tcW w:w="772" w:type="dxa"/>
            <w:tcBorders>
              <w:tl2br w:val="nil"/>
              <w:tr2bl w:val="nil"/>
            </w:tcBorders>
            <w:shd w:val="clear" w:color="auto" w:fill="FFFFFF"/>
            <w:noWrap/>
            <w:vAlign w:val="center"/>
          </w:tcPr>
          <w:p w14:paraId="6125C8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4869.60 </w:t>
            </w:r>
          </w:p>
        </w:tc>
        <w:tc>
          <w:tcPr>
            <w:tcW w:w="738" w:type="dxa"/>
            <w:tcBorders>
              <w:tl2br w:val="nil"/>
              <w:tr2bl w:val="nil"/>
            </w:tcBorders>
            <w:shd w:val="clear" w:color="auto" w:fill="auto"/>
            <w:noWrap/>
            <w:vAlign w:val="center"/>
          </w:tcPr>
          <w:p w14:paraId="0DA2D1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4314.60 </w:t>
            </w:r>
          </w:p>
        </w:tc>
        <w:tc>
          <w:tcPr>
            <w:tcW w:w="868" w:type="dxa"/>
            <w:tcBorders>
              <w:tl2br w:val="nil"/>
              <w:tr2bl w:val="nil"/>
            </w:tcBorders>
            <w:shd w:val="clear" w:color="auto" w:fill="auto"/>
            <w:noWrap/>
            <w:vAlign w:val="center"/>
          </w:tcPr>
          <w:p w14:paraId="0960B2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751.30 </w:t>
            </w:r>
          </w:p>
        </w:tc>
        <w:tc>
          <w:tcPr>
            <w:tcW w:w="782" w:type="dxa"/>
            <w:tcBorders>
              <w:tl2br w:val="nil"/>
              <w:tr2bl w:val="nil"/>
            </w:tcBorders>
            <w:shd w:val="clear" w:color="auto" w:fill="FFFFFF"/>
            <w:noWrap/>
            <w:vAlign w:val="center"/>
          </w:tcPr>
          <w:p w14:paraId="082C2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5065.90 </w:t>
            </w:r>
          </w:p>
        </w:tc>
        <w:tc>
          <w:tcPr>
            <w:tcW w:w="844" w:type="dxa"/>
            <w:tcBorders>
              <w:tl2br w:val="nil"/>
              <w:tr2bl w:val="nil"/>
            </w:tcBorders>
            <w:shd w:val="clear" w:color="auto" w:fill="auto"/>
            <w:noWrap/>
            <w:vAlign w:val="center"/>
          </w:tcPr>
          <w:p w14:paraId="4AA1FF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2350.90 </w:t>
            </w:r>
          </w:p>
        </w:tc>
        <w:tc>
          <w:tcPr>
            <w:tcW w:w="1466" w:type="dxa"/>
            <w:tcBorders>
              <w:tl2br w:val="nil"/>
              <w:tr2bl w:val="nil"/>
            </w:tcBorders>
            <w:shd w:val="clear" w:color="auto" w:fill="auto"/>
            <w:noWrap/>
            <w:vAlign w:val="center"/>
          </w:tcPr>
          <w:p w14:paraId="476891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46" w:type="dxa"/>
            <w:tcBorders>
              <w:tl2br w:val="nil"/>
              <w:tr2bl w:val="nil"/>
            </w:tcBorders>
            <w:shd w:val="clear" w:color="auto" w:fill="auto"/>
            <w:noWrap/>
            <w:vAlign w:val="center"/>
          </w:tcPr>
          <w:p w14:paraId="34402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2154.60 </w:t>
            </w:r>
          </w:p>
        </w:tc>
        <w:tc>
          <w:tcPr>
            <w:tcW w:w="2792" w:type="dxa"/>
            <w:tcBorders>
              <w:tl2br w:val="nil"/>
              <w:tr2bl w:val="nil"/>
            </w:tcBorders>
            <w:shd w:val="clear" w:color="auto" w:fill="auto"/>
            <w:noWrap/>
            <w:vAlign w:val="center"/>
          </w:tcPr>
          <w:p w14:paraId="4021DA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5FEA29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49E9FC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auto"/>
            <w:noWrap/>
            <w:vAlign w:val="center"/>
          </w:tcPr>
          <w:p w14:paraId="7FAEEF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auto"/>
            <w:noWrap/>
            <w:vAlign w:val="center"/>
          </w:tcPr>
          <w:p w14:paraId="05FB1C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0169D2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restart"/>
            <w:tcBorders>
              <w:tl2br w:val="nil"/>
              <w:tr2bl w:val="nil"/>
            </w:tcBorders>
            <w:shd w:val="clear" w:color="auto" w:fill="auto"/>
            <w:noWrap/>
            <w:vAlign w:val="center"/>
          </w:tcPr>
          <w:p w14:paraId="4ADF2B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地块二</w:t>
            </w:r>
          </w:p>
        </w:tc>
        <w:tc>
          <w:tcPr>
            <w:tcW w:w="1114" w:type="dxa"/>
            <w:tcBorders>
              <w:tl2br w:val="nil"/>
              <w:tr2bl w:val="nil"/>
            </w:tcBorders>
            <w:shd w:val="clear" w:color="auto" w:fill="auto"/>
            <w:noWrap/>
            <w:vAlign w:val="center"/>
          </w:tcPr>
          <w:p w14:paraId="17CE25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653" w:type="dxa"/>
            <w:tcBorders>
              <w:tl2br w:val="nil"/>
              <w:tr2bl w:val="nil"/>
            </w:tcBorders>
            <w:shd w:val="clear" w:color="auto" w:fill="auto"/>
            <w:noWrap/>
            <w:vAlign w:val="center"/>
          </w:tcPr>
          <w:p w14:paraId="3F3AB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855.00 </w:t>
            </w:r>
          </w:p>
        </w:tc>
        <w:tc>
          <w:tcPr>
            <w:tcW w:w="635" w:type="dxa"/>
            <w:tcBorders>
              <w:tl2br w:val="nil"/>
              <w:tr2bl w:val="nil"/>
            </w:tcBorders>
            <w:shd w:val="clear" w:color="auto" w:fill="auto"/>
            <w:noWrap/>
            <w:vAlign w:val="center"/>
          </w:tcPr>
          <w:p w14:paraId="4BFC11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86" w:type="dxa"/>
            <w:tcBorders>
              <w:tl2br w:val="nil"/>
              <w:tr2bl w:val="nil"/>
            </w:tcBorders>
            <w:shd w:val="clear" w:color="auto" w:fill="auto"/>
            <w:noWrap/>
            <w:vAlign w:val="center"/>
          </w:tcPr>
          <w:p w14:paraId="5F8215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1197.00 </w:t>
            </w:r>
          </w:p>
        </w:tc>
        <w:tc>
          <w:tcPr>
            <w:tcW w:w="686" w:type="dxa"/>
            <w:tcBorders>
              <w:tl2br w:val="nil"/>
              <w:tr2bl w:val="nil"/>
            </w:tcBorders>
            <w:shd w:val="clear" w:color="auto" w:fill="auto"/>
            <w:noWrap/>
            <w:vAlign w:val="center"/>
          </w:tcPr>
          <w:p w14:paraId="0856DB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1200.00 </w:t>
            </w:r>
          </w:p>
        </w:tc>
        <w:tc>
          <w:tcPr>
            <w:tcW w:w="772" w:type="dxa"/>
            <w:tcBorders>
              <w:tl2br w:val="nil"/>
              <w:tr2bl w:val="nil"/>
            </w:tcBorders>
            <w:shd w:val="clear" w:color="auto" w:fill="FFFFFF"/>
            <w:noWrap/>
            <w:vAlign w:val="center"/>
          </w:tcPr>
          <w:p w14:paraId="214C4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3252.00 </w:t>
            </w:r>
          </w:p>
        </w:tc>
        <w:tc>
          <w:tcPr>
            <w:tcW w:w="738" w:type="dxa"/>
            <w:tcBorders>
              <w:tl2br w:val="nil"/>
              <w:tr2bl w:val="nil"/>
            </w:tcBorders>
            <w:shd w:val="clear" w:color="auto" w:fill="auto"/>
            <w:noWrap/>
            <w:vAlign w:val="center"/>
          </w:tcPr>
          <w:p w14:paraId="4C4EFB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1377.00 </w:t>
            </w:r>
          </w:p>
        </w:tc>
        <w:tc>
          <w:tcPr>
            <w:tcW w:w="868" w:type="dxa"/>
            <w:tcBorders>
              <w:tl2br w:val="nil"/>
              <w:tr2bl w:val="nil"/>
            </w:tcBorders>
            <w:shd w:val="clear" w:color="auto" w:fill="auto"/>
            <w:noWrap/>
            <w:vAlign w:val="center"/>
          </w:tcPr>
          <w:p w14:paraId="31EE06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82" w:type="dxa"/>
            <w:tcBorders>
              <w:tl2br w:val="nil"/>
              <w:tr2bl w:val="nil"/>
            </w:tcBorders>
            <w:shd w:val="clear" w:color="auto" w:fill="FFFFFF"/>
            <w:noWrap/>
            <w:vAlign w:val="center"/>
          </w:tcPr>
          <w:p w14:paraId="141A86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1377.00 </w:t>
            </w:r>
          </w:p>
        </w:tc>
        <w:tc>
          <w:tcPr>
            <w:tcW w:w="844" w:type="dxa"/>
            <w:tcBorders>
              <w:tl2br w:val="nil"/>
              <w:tr2bl w:val="nil"/>
            </w:tcBorders>
            <w:shd w:val="clear" w:color="auto" w:fill="FFFFFF"/>
            <w:noWrap/>
            <w:vAlign w:val="center"/>
          </w:tcPr>
          <w:p w14:paraId="6BD6EB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466" w:type="dxa"/>
            <w:tcBorders>
              <w:tl2br w:val="nil"/>
              <w:tr2bl w:val="nil"/>
            </w:tcBorders>
            <w:shd w:val="clear" w:color="auto" w:fill="auto"/>
            <w:noWrap/>
            <w:vAlign w:val="center"/>
          </w:tcPr>
          <w:p w14:paraId="766796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46" w:type="dxa"/>
            <w:tcBorders>
              <w:tl2br w:val="nil"/>
              <w:tr2bl w:val="nil"/>
            </w:tcBorders>
            <w:shd w:val="clear" w:color="auto" w:fill="FFFFFF"/>
            <w:noWrap/>
            <w:vAlign w:val="center"/>
          </w:tcPr>
          <w:p w14:paraId="6A5335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1875.00 </w:t>
            </w:r>
          </w:p>
        </w:tc>
        <w:tc>
          <w:tcPr>
            <w:tcW w:w="2792" w:type="dxa"/>
            <w:tcBorders>
              <w:tl2br w:val="nil"/>
              <w:tr2bl w:val="nil"/>
            </w:tcBorders>
            <w:shd w:val="clear" w:color="auto" w:fill="FFFFFF"/>
            <w:vAlign w:val="center"/>
          </w:tcPr>
          <w:p w14:paraId="50DC94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2#表土堆场、3#表土堆场、道路及硬化场地区</w:t>
            </w:r>
          </w:p>
        </w:tc>
        <w:tc>
          <w:tcPr>
            <w:tcW w:w="353" w:type="dxa"/>
            <w:tcBorders>
              <w:tl2br w:val="nil"/>
              <w:tr2bl w:val="nil"/>
            </w:tcBorders>
            <w:shd w:val="clear" w:color="auto" w:fill="auto"/>
            <w:noWrap/>
            <w:vAlign w:val="center"/>
          </w:tcPr>
          <w:p w14:paraId="7B424F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7AA4C1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auto"/>
            <w:noWrap/>
            <w:vAlign w:val="center"/>
          </w:tcPr>
          <w:p w14:paraId="06722D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auto"/>
            <w:noWrap/>
            <w:vAlign w:val="center"/>
          </w:tcPr>
          <w:p w14:paraId="76B484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1E7B87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2E863F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tcBorders>
              <w:tl2br w:val="nil"/>
              <w:tr2bl w:val="nil"/>
            </w:tcBorders>
            <w:shd w:val="clear" w:color="auto" w:fill="auto"/>
            <w:noWrap/>
            <w:vAlign w:val="center"/>
          </w:tcPr>
          <w:p w14:paraId="3EAA2D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道路及硬化区</w:t>
            </w:r>
          </w:p>
        </w:tc>
        <w:tc>
          <w:tcPr>
            <w:tcW w:w="653" w:type="dxa"/>
            <w:tcBorders>
              <w:tl2br w:val="nil"/>
              <w:tr2bl w:val="nil"/>
            </w:tcBorders>
            <w:shd w:val="clear" w:color="auto" w:fill="auto"/>
            <w:noWrap/>
            <w:vAlign w:val="center"/>
          </w:tcPr>
          <w:p w14:paraId="44E4D3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300.00 </w:t>
            </w:r>
          </w:p>
        </w:tc>
        <w:tc>
          <w:tcPr>
            <w:tcW w:w="635" w:type="dxa"/>
            <w:tcBorders>
              <w:tl2br w:val="nil"/>
              <w:tr2bl w:val="nil"/>
            </w:tcBorders>
            <w:shd w:val="clear" w:color="auto" w:fill="auto"/>
            <w:noWrap/>
            <w:vAlign w:val="center"/>
          </w:tcPr>
          <w:p w14:paraId="1F03A8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86" w:type="dxa"/>
            <w:tcBorders>
              <w:tl2br w:val="nil"/>
              <w:tr2bl w:val="nil"/>
            </w:tcBorders>
            <w:shd w:val="clear" w:color="auto" w:fill="auto"/>
            <w:noWrap/>
            <w:vAlign w:val="center"/>
          </w:tcPr>
          <w:p w14:paraId="4389A4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420.00 </w:t>
            </w:r>
          </w:p>
        </w:tc>
        <w:tc>
          <w:tcPr>
            <w:tcW w:w="686" w:type="dxa"/>
            <w:tcBorders>
              <w:tl2br w:val="nil"/>
              <w:tr2bl w:val="nil"/>
            </w:tcBorders>
            <w:shd w:val="clear" w:color="auto" w:fill="auto"/>
            <w:noWrap/>
            <w:vAlign w:val="center"/>
          </w:tcPr>
          <w:p w14:paraId="37553E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700.00 </w:t>
            </w:r>
          </w:p>
        </w:tc>
        <w:tc>
          <w:tcPr>
            <w:tcW w:w="772" w:type="dxa"/>
            <w:tcBorders>
              <w:tl2br w:val="nil"/>
              <w:tr2bl w:val="nil"/>
            </w:tcBorders>
            <w:shd w:val="clear" w:color="auto" w:fill="FFFFFF"/>
            <w:noWrap/>
            <w:vAlign w:val="center"/>
          </w:tcPr>
          <w:p w14:paraId="05D2F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1420.00 </w:t>
            </w:r>
          </w:p>
        </w:tc>
        <w:tc>
          <w:tcPr>
            <w:tcW w:w="738" w:type="dxa"/>
            <w:tcBorders>
              <w:tl2br w:val="nil"/>
              <w:tr2bl w:val="nil"/>
            </w:tcBorders>
            <w:shd w:val="clear" w:color="auto" w:fill="auto"/>
            <w:noWrap/>
            <w:vAlign w:val="center"/>
          </w:tcPr>
          <w:p w14:paraId="15196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2140.00 </w:t>
            </w:r>
          </w:p>
        </w:tc>
        <w:tc>
          <w:tcPr>
            <w:tcW w:w="868" w:type="dxa"/>
            <w:tcBorders>
              <w:tl2br w:val="nil"/>
              <w:tr2bl w:val="nil"/>
            </w:tcBorders>
            <w:shd w:val="clear" w:color="auto" w:fill="auto"/>
            <w:noWrap/>
            <w:vAlign w:val="center"/>
          </w:tcPr>
          <w:p w14:paraId="471C54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82" w:type="dxa"/>
            <w:tcBorders>
              <w:tl2br w:val="nil"/>
              <w:tr2bl w:val="nil"/>
            </w:tcBorders>
            <w:shd w:val="clear" w:color="auto" w:fill="FFFFFF"/>
            <w:noWrap/>
            <w:vAlign w:val="center"/>
          </w:tcPr>
          <w:p w14:paraId="3DD7A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2140.00 </w:t>
            </w:r>
          </w:p>
        </w:tc>
        <w:tc>
          <w:tcPr>
            <w:tcW w:w="844" w:type="dxa"/>
            <w:tcBorders>
              <w:tl2br w:val="nil"/>
              <w:tr2bl w:val="nil"/>
            </w:tcBorders>
            <w:shd w:val="clear" w:color="auto" w:fill="FFFFFF"/>
            <w:noWrap/>
            <w:vAlign w:val="center"/>
          </w:tcPr>
          <w:p w14:paraId="642566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1020.00 </w:t>
            </w:r>
          </w:p>
        </w:tc>
        <w:tc>
          <w:tcPr>
            <w:tcW w:w="1466" w:type="dxa"/>
            <w:tcBorders>
              <w:tl2br w:val="nil"/>
              <w:tr2bl w:val="nil"/>
            </w:tcBorders>
            <w:shd w:val="clear" w:color="auto" w:fill="auto"/>
            <w:noWrap/>
            <w:vAlign w:val="center"/>
          </w:tcPr>
          <w:p w14:paraId="1CAA8F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846" w:type="dxa"/>
            <w:tcBorders>
              <w:tl2br w:val="nil"/>
              <w:tr2bl w:val="nil"/>
            </w:tcBorders>
            <w:shd w:val="clear" w:color="auto" w:fill="FFFFFF"/>
            <w:noWrap/>
            <w:vAlign w:val="center"/>
          </w:tcPr>
          <w:p w14:paraId="3FA87F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300.00 </w:t>
            </w:r>
          </w:p>
        </w:tc>
        <w:tc>
          <w:tcPr>
            <w:tcW w:w="2792" w:type="dxa"/>
            <w:tcBorders>
              <w:tl2br w:val="nil"/>
              <w:tr2bl w:val="nil"/>
            </w:tcBorders>
            <w:shd w:val="clear" w:color="auto" w:fill="auto"/>
            <w:noWrap/>
            <w:vAlign w:val="center"/>
          </w:tcPr>
          <w:p w14:paraId="75818B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2#表土堆场、3#表土堆场</w:t>
            </w:r>
          </w:p>
        </w:tc>
        <w:tc>
          <w:tcPr>
            <w:tcW w:w="353" w:type="dxa"/>
            <w:tcBorders>
              <w:tl2br w:val="nil"/>
              <w:tr2bl w:val="nil"/>
            </w:tcBorders>
            <w:shd w:val="clear" w:color="auto" w:fill="auto"/>
            <w:noWrap/>
            <w:vAlign w:val="center"/>
          </w:tcPr>
          <w:p w14:paraId="693778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11698D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auto"/>
            <w:noWrap/>
            <w:vAlign w:val="center"/>
          </w:tcPr>
          <w:p w14:paraId="1212D4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auto"/>
            <w:noWrap/>
            <w:vAlign w:val="center"/>
          </w:tcPr>
          <w:p w14:paraId="362CA2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50CE11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20BE11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tcBorders>
              <w:tl2br w:val="nil"/>
              <w:tr2bl w:val="nil"/>
            </w:tcBorders>
            <w:shd w:val="clear" w:color="auto" w:fill="auto"/>
            <w:noWrap/>
            <w:vAlign w:val="center"/>
          </w:tcPr>
          <w:p w14:paraId="6D3745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w:t>
            </w:r>
          </w:p>
        </w:tc>
        <w:tc>
          <w:tcPr>
            <w:tcW w:w="653" w:type="dxa"/>
            <w:tcBorders>
              <w:tl2br w:val="nil"/>
              <w:tr2bl w:val="nil"/>
            </w:tcBorders>
            <w:shd w:val="clear" w:color="auto" w:fill="auto"/>
            <w:noWrap/>
            <w:vAlign w:val="center"/>
          </w:tcPr>
          <w:p w14:paraId="4F698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210.00 </w:t>
            </w:r>
          </w:p>
        </w:tc>
        <w:tc>
          <w:tcPr>
            <w:tcW w:w="635" w:type="dxa"/>
            <w:tcBorders>
              <w:tl2br w:val="nil"/>
              <w:tr2bl w:val="nil"/>
            </w:tcBorders>
            <w:shd w:val="clear" w:color="auto" w:fill="auto"/>
            <w:noWrap/>
            <w:vAlign w:val="center"/>
          </w:tcPr>
          <w:p w14:paraId="6D2C44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86" w:type="dxa"/>
            <w:tcBorders>
              <w:tl2br w:val="nil"/>
              <w:tr2bl w:val="nil"/>
            </w:tcBorders>
            <w:shd w:val="clear" w:color="auto" w:fill="auto"/>
            <w:noWrap/>
            <w:vAlign w:val="center"/>
          </w:tcPr>
          <w:p w14:paraId="52A65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294.00 </w:t>
            </w:r>
          </w:p>
        </w:tc>
        <w:tc>
          <w:tcPr>
            <w:tcW w:w="686" w:type="dxa"/>
            <w:tcBorders>
              <w:tl2br w:val="nil"/>
              <w:tr2bl w:val="nil"/>
            </w:tcBorders>
            <w:shd w:val="clear" w:color="auto" w:fill="auto"/>
            <w:noWrap/>
            <w:vAlign w:val="center"/>
          </w:tcPr>
          <w:p w14:paraId="756FB3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72" w:type="dxa"/>
            <w:tcBorders>
              <w:tl2br w:val="nil"/>
              <w:tr2bl w:val="nil"/>
            </w:tcBorders>
            <w:shd w:val="clear" w:color="auto" w:fill="FFFFFF"/>
            <w:noWrap/>
            <w:vAlign w:val="center"/>
          </w:tcPr>
          <w:p w14:paraId="551B7F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504.00 </w:t>
            </w:r>
          </w:p>
        </w:tc>
        <w:tc>
          <w:tcPr>
            <w:tcW w:w="738" w:type="dxa"/>
            <w:tcBorders>
              <w:tl2br w:val="nil"/>
              <w:tr2bl w:val="nil"/>
            </w:tcBorders>
            <w:shd w:val="clear" w:color="auto" w:fill="auto"/>
            <w:noWrap/>
            <w:vAlign w:val="center"/>
          </w:tcPr>
          <w:p w14:paraId="6A35A5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294.00 </w:t>
            </w:r>
          </w:p>
        </w:tc>
        <w:tc>
          <w:tcPr>
            <w:tcW w:w="868" w:type="dxa"/>
            <w:tcBorders>
              <w:tl2br w:val="nil"/>
              <w:tr2bl w:val="nil"/>
            </w:tcBorders>
            <w:shd w:val="clear" w:color="auto" w:fill="auto"/>
            <w:noWrap/>
            <w:vAlign w:val="center"/>
          </w:tcPr>
          <w:p w14:paraId="133FA8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1168.70 </w:t>
            </w:r>
          </w:p>
        </w:tc>
        <w:tc>
          <w:tcPr>
            <w:tcW w:w="782" w:type="dxa"/>
            <w:tcBorders>
              <w:tl2br w:val="nil"/>
              <w:tr2bl w:val="nil"/>
            </w:tcBorders>
            <w:shd w:val="clear" w:color="auto" w:fill="FFFFFF"/>
            <w:noWrap/>
            <w:vAlign w:val="center"/>
          </w:tcPr>
          <w:p w14:paraId="363F8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1462.70 </w:t>
            </w:r>
          </w:p>
        </w:tc>
        <w:tc>
          <w:tcPr>
            <w:tcW w:w="844" w:type="dxa"/>
            <w:tcBorders>
              <w:tl2br w:val="nil"/>
              <w:tr2bl w:val="nil"/>
            </w:tcBorders>
            <w:shd w:val="clear" w:color="auto" w:fill="FFFFFF"/>
            <w:noWrap/>
            <w:vAlign w:val="center"/>
          </w:tcPr>
          <w:p w14:paraId="38141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958.70 </w:t>
            </w:r>
          </w:p>
        </w:tc>
        <w:tc>
          <w:tcPr>
            <w:tcW w:w="1466" w:type="dxa"/>
            <w:tcBorders>
              <w:tl2br w:val="nil"/>
              <w:tr2bl w:val="nil"/>
            </w:tcBorders>
            <w:shd w:val="clear" w:color="auto" w:fill="FFFFFF"/>
            <w:noWrap/>
            <w:vAlign w:val="center"/>
          </w:tcPr>
          <w:p w14:paraId="00A248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2#表土堆场、3#表土堆场</w:t>
            </w:r>
          </w:p>
        </w:tc>
        <w:tc>
          <w:tcPr>
            <w:tcW w:w="846" w:type="dxa"/>
            <w:tcBorders>
              <w:tl2br w:val="nil"/>
              <w:tr2bl w:val="nil"/>
            </w:tcBorders>
            <w:shd w:val="clear" w:color="auto" w:fill="FFFFFF"/>
            <w:noWrap/>
            <w:vAlign w:val="center"/>
          </w:tcPr>
          <w:p w14:paraId="7AC4F2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2792" w:type="dxa"/>
            <w:tcBorders>
              <w:tl2br w:val="nil"/>
              <w:tr2bl w:val="nil"/>
            </w:tcBorders>
            <w:shd w:val="clear" w:color="auto" w:fill="auto"/>
            <w:noWrap/>
            <w:vAlign w:val="center"/>
          </w:tcPr>
          <w:p w14:paraId="6F9266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466A91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4695C4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auto"/>
            <w:noWrap/>
            <w:vAlign w:val="center"/>
          </w:tcPr>
          <w:p w14:paraId="655181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auto"/>
            <w:noWrap/>
            <w:vAlign w:val="center"/>
          </w:tcPr>
          <w:p w14:paraId="79471E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2C2552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528" w:type="dxa"/>
            <w:vMerge w:val="continue"/>
            <w:tcBorders>
              <w:tl2br w:val="nil"/>
              <w:tr2bl w:val="nil"/>
            </w:tcBorders>
            <w:shd w:val="clear" w:color="auto" w:fill="auto"/>
            <w:noWrap/>
            <w:vAlign w:val="center"/>
          </w:tcPr>
          <w:p w14:paraId="4D8293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114" w:type="dxa"/>
            <w:tcBorders>
              <w:tl2br w:val="nil"/>
              <w:tr2bl w:val="nil"/>
            </w:tcBorders>
            <w:shd w:val="clear" w:color="auto" w:fill="auto"/>
            <w:noWrap/>
            <w:vAlign w:val="center"/>
          </w:tcPr>
          <w:p w14:paraId="0F8977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653" w:type="dxa"/>
            <w:tcBorders>
              <w:tl2br w:val="nil"/>
              <w:tr2bl w:val="nil"/>
            </w:tcBorders>
            <w:shd w:val="clear" w:color="auto" w:fill="auto"/>
            <w:noWrap/>
            <w:vAlign w:val="center"/>
          </w:tcPr>
          <w:p w14:paraId="648AAA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1365.00 </w:t>
            </w:r>
          </w:p>
        </w:tc>
        <w:tc>
          <w:tcPr>
            <w:tcW w:w="635" w:type="dxa"/>
            <w:tcBorders>
              <w:tl2br w:val="nil"/>
              <w:tr2bl w:val="nil"/>
            </w:tcBorders>
            <w:shd w:val="clear" w:color="auto" w:fill="auto"/>
            <w:noWrap/>
            <w:vAlign w:val="center"/>
          </w:tcPr>
          <w:p w14:paraId="63A743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86" w:type="dxa"/>
            <w:tcBorders>
              <w:tl2br w:val="nil"/>
              <w:tr2bl w:val="nil"/>
            </w:tcBorders>
            <w:shd w:val="clear" w:color="auto" w:fill="auto"/>
            <w:noWrap/>
            <w:vAlign w:val="center"/>
          </w:tcPr>
          <w:p w14:paraId="76F705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1911.00 </w:t>
            </w:r>
          </w:p>
        </w:tc>
        <w:tc>
          <w:tcPr>
            <w:tcW w:w="686" w:type="dxa"/>
            <w:tcBorders>
              <w:tl2br w:val="nil"/>
              <w:tr2bl w:val="nil"/>
            </w:tcBorders>
            <w:shd w:val="clear" w:color="auto" w:fill="auto"/>
            <w:noWrap/>
            <w:vAlign w:val="center"/>
          </w:tcPr>
          <w:p w14:paraId="11D4A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1900.00 </w:t>
            </w:r>
          </w:p>
        </w:tc>
        <w:tc>
          <w:tcPr>
            <w:tcW w:w="772" w:type="dxa"/>
            <w:tcBorders>
              <w:tl2br w:val="nil"/>
              <w:tr2bl w:val="nil"/>
            </w:tcBorders>
            <w:shd w:val="clear" w:color="auto" w:fill="FFFFFF"/>
            <w:noWrap/>
            <w:vAlign w:val="center"/>
          </w:tcPr>
          <w:p w14:paraId="213E36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5176.00 </w:t>
            </w:r>
          </w:p>
        </w:tc>
        <w:tc>
          <w:tcPr>
            <w:tcW w:w="738" w:type="dxa"/>
            <w:tcBorders>
              <w:tl2br w:val="nil"/>
              <w:tr2bl w:val="nil"/>
            </w:tcBorders>
            <w:shd w:val="clear" w:color="auto" w:fill="auto"/>
            <w:noWrap/>
            <w:vAlign w:val="center"/>
          </w:tcPr>
          <w:p w14:paraId="781B1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3811.00 </w:t>
            </w:r>
          </w:p>
        </w:tc>
        <w:tc>
          <w:tcPr>
            <w:tcW w:w="868" w:type="dxa"/>
            <w:tcBorders>
              <w:tl2br w:val="nil"/>
              <w:tr2bl w:val="nil"/>
            </w:tcBorders>
            <w:shd w:val="clear" w:color="auto" w:fill="auto"/>
            <w:noWrap/>
            <w:vAlign w:val="center"/>
          </w:tcPr>
          <w:p w14:paraId="0EAF1D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1168.70 </w:t>
            </w:r>
          </w:p>
        </w:tc>
        <w:tc>
          <w:tcPr>
            <w:tcW w:w="782" w:type="dxa"/>
            <w:tcBorders>
              <w:tl2br w:val="nil"/>
              <w:tr2bl w:val="nil"/>
            </w:tcBorders>
            <w:shd w:val="clear" w:color="auto" w:fill="FFFFFF"/>
            <w:noWrap/>
            <w:vAlign w:val="center"/>
          </w:tcPr>
          <w:p w14:paraId="036440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4979.70 </w:t>
            </w:r>
          </w:p>
        </w:tc>
        <w:tc>
          <w:tcPr>
            <w:tcW w:w="844" w:type="dxa"/>
            <w:tcBorders>
              <w:tl2br w:val="nil"/>
              <w:tr2bl w:val="nil"/>
            </w:tcBorders>
            <w:shd w:val="clear" w:color="auto" w:fill="auto"/>
            <w:noWrap/>
            <w:vAlign w:val="center"/>
          </w:tcPr>
          <w:p w14:paraId="305BB7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1978.70 </w:t>
            </w:r>
          </w:p>
        </w:tc>
        <w:tc>
          <w:tcPr>
            <w:tcW w:w="1466" w:type="dxa"/>
            <w:tcBorders>
              <w:tl2br w:val="nil"/>
              <w:tr2bl w:val="nil"/>
            </w:tcBorders>
            <w:shd w:val="clear" w:color="auto" w:fill="auto"/>
            <w:noWrap/>
            <w:vAlign w:val="center"/>
          </w:tcPr>
          <w:p w14:paraId="6C8099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46" w:type="dxa"/>
            <w:tcBorders>
              <w:tl2br w:val="nil"/>
              <w:tr2bl w:val="nil"/>
            </w:tcBorders>
            <w:shd w:val="clear" w:color="auto" w:fill="auto"/>
            <w:noWrap/>
            <w:vAlign w:val="center"/>
          </w:tcPr>
          <w:p w14:paraId="06D0D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2175.00 </w:t>
            </w:r>
          </w:p>
        </w:tc>
        <w:tc>
          <w:tcPr>
            <w:tcW w:w="2792" w:type="dxa"/>
            <w:tcBorders>
              <w:tl2br w:val="nil"/>
              <w:tr2bl w:val="nil"/>
            </w:tcBorders>
            <w:shd w:val="clear" w:color="auto" w:fill="auto"/>
            <w:noWrap/>
            <w:vAlign w:val="center"/>
          </w:tcPr>
          <w:p w14:paraId="7C1A98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4E4F92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1FBF3B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auto"/>
            <w:noWrap/>
            <w:vAlign w:val="center"/>
          </w:tcPr>
          <w:p w14:paraId="65EA17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auto"/>
            <w:noWrap/>
            <w:vAlign w:val="center"/>
          </w:tcPr>
          <w:p w14:paraId="61E9FE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55381D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642" w:type="dxa"/>
            <w:gridSpan w:val="2"/>
            <w:tcBorders>
              <w:tl2br w:val="nil"/>
              <w:tr2bl w:val="nil"/>
            </w:tcBorders>
            <w:shd w:val="clear" w:color="auto" w:fill="auto"/>
            <w:noWrap/>
            <w:vAlign w:val="center"/>
          </w:tcPr>
          <w:p w14:paraId="1AECF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653" w:type="dxa"/>
            <w:tcBorders>
              <w:tl2br w:val="nil"/>
              <w:tr2bl w:val="nil"/>
            </w:tcBorders>
            <w:shd w:val="clear" w:color="auto" w:fill="auto"/>
            <w:noWrap/>
            <w:vAlign w:val="center"/>
          </w:tcPr>
          <w:p w14:paraId="274D23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1920.00 </w:t>
            </w:r>
          </w:p>
        </w:tc>
        <w:tc>
          <w:tcPr>
            <w:tcW w:w="635" w:type="dxa"/>
            <w:tcBorders>
              <w:tl2br w:val="nil"/>
              <w:tr2bl w:val="nil"/>
            </w:tcBorders>
            <w:shd w:val="clear" w:color="auto" w:fill="auto"/>
            <w:noWrap/>
            <w:vAlign w:val="center"/>
          </w:tcPr>
          <w:p w14:paraId="481CB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204.60 </w:t>
            </w:r>
          </w:p>
        </w:tc>
        <w:tc>
          <w:tcPr>
            <w:tcW w:w="686" w:type="dxa"/>
            <w:tcBorders>
              <w:tl2br w:val="nil"/>
              <w:tr2bl w:val="nil"/>
            </w:tcBorders>
            <w:shd w:val="clear" w:color="auto" w:fill="auto"/>
            <w:noWrap/>
            <w:vAlign w:val="center"/>
          </w:tcPr>
          <w:p w14:paraId="1FA58C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3171.00 </w:t>
            </w:r>
          </w:p>
        </w:tc>
        <w:tc>
          <w:tcPr>
            <w:tcW w:w="686" w:type="dxa"/>
            <w:tcBorders>
              <w:tl2br w:val="nil"/>
              <w:tr2bl w:val="nil"/>
            </w:tcBorders>
            <w:shd w:val="clear" w:color="auto" w:fill="auto"/>
            <w:noWrap/>
            <w:vAlign w:val="center"/>
          </w:tcPr>
          <w:p w14:paraId="6F7A28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4750.00 </w:t>
            </w:r>
          </w:p>
        </w:tc>
        <w:tc>
          <w:tcPr>
            <w:tcW w:w="772" w:type="dxa"/>
            <w:tcBorders>
              <w:tl2br w:val="nil"/>
              <w:tr2bl w:val="nil"/>
            </w:tcBorders>
            <w:shd w:val="clear" w:color="auto" w:fill="FFFFFF"/>
            <w:noWrap/>
            <w:vAlign w:val="center"/>
          </w:tcPr>
          <w:p w14:paraId="0EE122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10045.60 </w:t>
            </w:r>
          </w:p>
        </w:tc>
        <w:tc>
          <w:tcPr>
            <w:tcW w:w="738" w:type="dxa"/>
            <w:tcBorders>
              <w:tl2br w:val="nil"/>
              <w:tr2bl w:val="nil"/>
            </w:tcBorders>
            <w:shd w:val="clear" w:color="auto" w:fill="auto"/>
            <w:noWrap/>
            <w:vAlign w:val="center"/>
          </w:tcPr>
          <w:p w14:paraId="583DA6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8125.60 </w:t>
            </w:r>
          </w:p>
        </w:tc>
        <w:tc>
          <w:tcPr>
            <w:tcW w:w="868" w:type="dxa"/>
            <w:tcBorders>
              <w:tl2br w:val="nil"/>
              <w:tr2bl w:val="nil"/>
            </w:tcBorders>
            <w:shd w:val="clear" w:color="auto" w:fill="auto"/>
            <w:noWrap/>
            <w:vAlign w:val="center"/>
          </w:tcPr>
          <w:p w14:paraId="4A886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1920.00 </w:t>
            </w:r>
          </w:p>
        </w:tc>
        <w:tc>
          <w:tcPr>
            <w:tcW w:w="782" w:type="dxa"/>
            <w:tcBorders>
              <w:tl2br w:val="nil"/>
              <w:tr2bl w:val="nil"/>
            </w:tcBorders>
            <w:shd w:val="clear" w:color="auto" w:fill="FFFFFF"/>
            <w:noWrap/>
            <w:vAlign w:val="center"/>
          </w:tcPr>
          <w:p w14:paraId="66436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10045.60 </w:t>
            </w:r>
          </w:p>
        </w:tc>
        <w:tc>
          <w:tcPr>
            <w:tcW w:w="844" w:type="dxa"/>
            <w:tcBorders>
              <w:tl2br w:val="nil"/>
              <w:tr2bl w:val="nil"/>
            </w:tcBorders>
            <w:shd w:val="clear" w:color="auto" w:fill="auto"/>
            <w:noWrap/>
            <w:vAlign w:val="center"/>
          </w:tcPr>
          <w:p w14:paraId="46ADE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4329.60 </w:t>
            </w:r>
          </w:p>
        </w:tc>
        <w:tc>
          <w:tcPr>
            <w:tcW w:w="1466" w:type="dxa"/>
            <w:tcBorders>
              <w:tl2br w:val="nil"/>
              <w:tr2bl w:val="nil"/>
            </w:tcBorders>
            <w:shd w:val="clear" w:color="auto" w:fill="auto"/>
            <w:noWrap/>
            <w:vAlign w:val="center"/>
          </w:tcPr>
          <w:p w14:paraId="504E36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846" w:type="dxa"/>
            <w:tcBorders>
              <w:tl2br w:val="nil"/>
              <w:tr2bl w:val="nil"/>
            </w:tcBorders>
            <w:shd w:val="clear" w:color="auto" w:fill="auto"/>
            <w:noWrap/>
            <w:vAlign w:val="center"/>
          </w:tcPr>
          <w:p w14:paraId="219AA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4329.60 </w:t>
            </w:r>
          </w:p>
        </w:tc>
        <w:tc>
          <w:tcPr>
            <w:tcW w:w="2792" w:type="dxa"/>
            <w:tcBorders>
              <w:tl2br w:val="nil"/>
              <w:tr2bl w:val="nil"/>
            </w:tcBorders>
            <w:shd w:val="clear" w:color="auto" w:fill="auto"/>
            <w:noWrap/>
            <w:vAlign w:val="center"/>
          </w:tcPr>
          <w:p w14:paraId="0D31DA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5F7003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3" w:type="dxa"/>
            <w:tcBorders>
              <w:tl2br w:val="nil"/>
              <w:tr2bl w:val="nil"/>
            </w:tcBorders>
            <w:shd w:val="clear" w:color="auto" w:fill="auto"/>
            <w:noWrap/>
            <w:vAlign w:val="center"/>
          </w:tcPr>
          <w:p w14:paraId="59468B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54" w:type="dxa"/>
            <w:tcBorders>
              <w:tl2br w:val="nil"/>
              <w:tr2bl w:val="nil"/>
            </w:tcBorders>
            <w:shd w:val="clear" w:color="auto" w:fill="auto"/>
            <w:noWrap/>
            <w:vAlign w:val="center"/>
          </w:tcPr>
          <w:p w14:paraId="36C988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362" w:type="dxa"/>
            <w:tcBorders>
              <w:tl2br w:val="nil"/>
              <w:tr2bl w:val="nil"/>
            </w:tcBorders>
            <w:shd w:val="clear" w:color="auto" w:fill="auto"/>
            <w:noWrap/>
            <w:vAlign w:val="center"/>
          </w:tcPr>
          <w:p w14:paraId="478647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bl>
    <w:p w14:paraId="5E98AFC3">
      <w:pPr>
        <w:ind w:left="0" w:leftChars="0" w:firstLine="0" w:firstLineChars="0"/>
        <w:rPr>
          <w:rFonts w:hint="default" w:ascii="Times New Roman" w:hAnsi="Times New Roman" w:cs="Times New Roman"/>
          <w:sz w:val="18"/>
          <w:szCs w:val="18"/>
          <w:highlight w:val="none"/>
        </w:rPr>
      </w:pPr>
      <w:r>
        <w:rPr>
          <w:rFonts w:hint="default" w:ascii="Times New Roman" w:hAnsi="Times New Roman" w:cs="Times New Roman"/>
          <w:sz w:val="18"/>
          <w:szCs w:val="18"/>
        </w:rPr>
        <w:t>注：</w:t>
      </w:r>
      <w:r>
        <w:rPr>
          <w:rFonts w:hint="default" w:ascii="Times New Roman" w:hAnsi="Times New Roman" w:eastAsia="宋体" w:cs="Times New Roman"/>
          <w:sz w:val="18"/>
          <w:szCs w:val="18"/>
        </w:rPr>
        <w:t>①</w:t>
      </w:r>
      <w:r>
        <w:rPr>
          <w:rFonts w:hint="default" w:ascii="Times New Roman" w:hAnsi="Times New Roman" w:cs="Times New Roman"/>
          <w:sz w:val="18"/>
          <w:szCs w:val="18"/>
        </w:rPr>
        <w:t>开挖+调入</w:t>
      </w:r>
      <w:r>
        <w:rPr>
          <w:rFonts w:hint="default" w:ascii="Times New Roman" w:hAnsi="Times New Roman" w:cs="Times New Roman"/>
          <w:sz w:val="18"/>
          <w:szCs w:val="18"/>
          <w:highlight w:val="none"/>
        </w:rPr>
        <w:t>+外借=回填+调出+废弃；</w:t>
      </w:r>
      <w:r>
        <w:rPr>
          <w:rFonts w:hint="default" w:ascii="Times New Roman" w:hAnsi="Times New Roman" w:eastAsia="宋体" w:cs="Times New Roman"/>
          <w:sz w:val="18"/>
          <w:szCs w:val="18"/>
          <w:highlight w:val="none"/>
        </w:rPr>
        <w:t>②</w:t>
      </w:r>
      <w:r>
        <w:rPr>
          <w:rFonts w:hint="default" w:ascii="Times New Roman" w:hAnsi="Times New Roman" w:cs="Times New Roman"/>
          <w:sz w:val="18"/>
          <w:szCs w:val="18"/>
          <w:highlight w:val="none"/>
        </w:rPr>
        <w:t>上述土石方均为自然方。</w:t>
      </w:r>
    </w:p>
    <w:p w14:paraId="035D14F7">
      <w:pPr>
        <w:pStyle w:val="83"/>
        <w:ind w:firstLine="480"/>
        <w:rPr>
          <w:rFonts w:hint="default" w:ascii="Times New Roman" w:hAnsi="Times New Roman" w:eastAsia="仿宋_GB2312" w:cs="Times New Roman"/>
          <w:b/>
          <w:bCs w:val="0"/>
          <w:highlight w:val="none"/>
        </w:rPr>
      </w:pPr>
    </w:p>
    <w:p w14:paraId="0364AA46">
      <w:pPr>
        <w:pStyle w:val="83"/>
        <w:ind w:firstLine="480"/>
        <w:rPr>
          <w:rFonts w:hint="default" w:ascii="Times New Roman" w:hAnsi="Times New Roman" w:eastAsia="仿宋_GB2312" w:cs="Times New Roman"/>
          <w:b/>
          <w:bCs w:val="0"/>
          <w:highlight w:val="none"/>
        </w:rPr>
      </w:pPr>
      <w:r>
        <w:rPr>
          <w:rFonts w:hint="default" w:ascii="Times New Roman" w:hAnsi="Times New Roman" w:eastAsia="仿宋_GB2312" w:cs="Times New Roman"/>
          <w:b/>
          <w:bCs w:val="0"/>
          <w:highlight w:val="none"/>
        </w:rPr>
        <w:object>
          <v:shape id="_x0000_i1025" o:spt="75" type="#_x0000_t75" style="height:448.25pt;width:531.3pt;" o:ole="t" filled="f" o:preferrelative="t" stroked="f" coordsize="21600,21600">
            <v:path/>
            <v:fill on="f" focussize="0,0"/>
            <v:stroke on="f"/>
            <v:imagedata r:id="rId43" o:title=""/>
            <o:lock v:ext="edit" aspectratio="f"/>
            <w10:wrap type="none"/>
            <w10:anchorlock/>
          </v:shape>
          <o:OLEObject Type="Embed" ProgID="Visio.Drawing.11" ShapeID="_x0000_i1025" DrawAspect="Content" ObjectID="_1468075725" r:id="rId42">
            <o:LockedField>false</o:LockedField>
          </o:OLEObject>
        </w:object>
      </w:r>
    </w:p>
    <w:p w14:paraId="70B8F745">
      <w:pPr>
        <w:pStyle w:val="83"/>
        <w:ind w:firstLine="480"/>
        <w:rPr>
          <w:rFonts w:hint="default" w:ascii="Times New Roman" w:hAnsi="Times New Roman" w:eastAsia="仿宋_GB2312" w:cs="Times New Roman"/>
          <w:b/>
          <w:bCs w:val="0"/>
          <w:highlight w:val="yellow"/>
        </w:rPr>
      </w:pPr>
      <w:r>
        <w:rPr>
          <w:rFonts w:hint="default" w:ascii="Times New Roman" w:hAnsi="Times New Roman" w:eastAsia="仿宋_GB2312" w:cs="Times New Roman"/>
          <w:b/>
          <w:bCs w:val="0"/>
          <w:highlight w:val="none"/>
        </w:rPr>
        <w:t xml:space="preserve">图2-3   </w:t>
      </w:r>
      <w:r>
        <w:rPr>
          <w:rFonts w:hint="eastAsia" w:eastAsia="仿宋_GB2312" w:cs="Times New Roman"/>
          <w:b/>
          <w:bCs w:val="0"/>
          <w:highlight w:val="none"/>
          <w:lang w:val="en-US" w:eastAsia="zh-CN"/>
        </w:rPr>
        <w:t xml:space="preserve"> </w:t>
      </w:r>
      <w:r>
        <w:rPr>
          <w:rFonts w:hint="default" w:ascii="Times New Roman" w:hAnsi="Times New Roman" w:eastAsia="仿宋_GB2312" w:cs="Times New Roman"/>
          <w:b/>
          <w:bCs w:val="0"/>
          <w:highlight w:val="none"/>
        </w:rPr>
        <w:t xml:space="preserve"> 土石方平衡流向图</w:t>
      </w:r>
    </w:p>
    <w:p w14:paraId="03ABCCA8">
      <w:pPr>
        <w:ind w:left="0" w:leftChars="0" w:firstLine="0" w:firstLineChars="0"/>
        <w:rPr>
          <w:rFonts w:hint="default" w:ascii="Times New Roman" w:hAnsi="Times New Roman" w:cs="Times New Roman"/>
        </w:rPr>
        <w:sectPr>
          <w:headerReference r:id="rId16" w:type="default"/>
          <w:pgSz w:w="16838" w:h="11906" w:orient="landscape"/>
          <w:pgMar w:top="1134" w:right="1134" w:bottom="1418" w:left="1134"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14:paraId="0911E82D">
      <w:pPr>
        <w:pStyle w:val="3"/>
        <w:rPr>
          <w:rFonts w:hint="default" w:ascii="Times New Roman" w:hAnsi="Times New Roman" w:cs="Times New Roman"/>
          <w:lang w:bidi="ar"/>
        </w:rPr>
      </w:pPr>
      <w:bookmarkStart w:id="40" w:name="_Toc165223568"/>
      <w:r>
        <w:rPr>
          <w:rFonts w:hint="default" w:ascii="Times New Roman" w:hAnsi="Times New Roman" w:cs="Times New Roman"/>
          <w:lang w:bidi="ar"/>
        </w:rPr>
        <w:t>拆迁（移民）安置与专项设施改（迁）建</w:t>
      </w:r>
      <w:bookmarkEnd w:id="40"/>
    </w:p>
    <w:p w14:paraId="0C28E214">
      <w:pPr>
        <w:adjustRightInd w:val="0"/>
        <w:snapToGrid w:val="0"/>
        <w:ind w:firstLine="480"/>
        <w:rPr>
          <w:rFonts w:hint="default" w:ascii="Times New Roman" w:hAnsi="Times New Roman" w:cs="Times New Roman"/>
          <w:lang w:val="zh-CN"/>
        </w:rPr>
      </w:pPr>
      <w:r>
        <w:rPr>
          <w:rFonts w:hint="default" w:ascii="Times New Roman" w:hAnsi="Times New Roman" w:cs="Times New Roman"/>
          <w:lang w:bidi="ar"/>
        </w:rPr>
        <w:t>根据项目建设区域占地情况，建设区域内不涉及农户房屋拆除及专项设施改（迁）建</w:t>
      </w:r>
      <w:r>
        <w:rPr>
          <w:rFonts w:hint="default" w:ascii="Times New Roman" w:hAnsi="Times New Roman" w:cs="Times New Roman"/>
          <w:bCs/>
          <w:kern w:val="0"/>
          <w:lang w:bidi="en-US"/>
        </w:rPr>
        <w:t>。</w:t>
      </w:r>
      <w:r>
        <w:rPr>
          <w:rFonts w:hint="default" w:ascii="Times New Roman" w:hAnsi="Times New Roman" w:cs="Times New Roman"/>
          <w:lang w:val="zh-CN"/>
        </w:rPr>
        <w:t>本项目占地类型为建设用地，建设用地原始地表</w:t>
      </w:r>
      <w:r>
        <w:rPr>
          <w:rFonts w:hint="eastAsia" w:cs="Times New Roman"/>
          <w:lang w:val="en-US" w:eastAsia="zh-CN"/>
        </w:rPr>
        <w:t>地块一西南侧</w:t>
      </w:r>
      <w:r>
        <w:rPr>
          <w:rFonts w:hint="default" w:ascii="Times New Roman" w:hAnsi="Times New Roman" w:cs="Times New Roman"/>
          <w:lang w:val="zh-CN"/>
        </w:rPr>
        <w:t>为</w:t>
      </w:r>
      <w:r>
        <w:rPr>
          <w:rFonts w:hint="eastAsia" w:cs="Times New Roman"/>
          <w:lang w:val="en-US" w:eastAsia="zh-CN"/>
        </w:rPr>
        <w:t>集体活动房，</w:t>
      </w:r>
      <w:r>
        <w:rPr>
          <w:rFonts w:hint="default" w:ascii="Times New Roman" w:hAnsi="Times New Roman" w:cs="Times New Roman"/>
          <w:lang w:val="zh-CN"/>
        </w:rPr>
        <w:t>本项目拆除后</w:t>
      </w:r>
      <w:r>
        <w:rPr>
          <w:rFonts w:hint="eastAsia" w:cs="Times New Roman"/>
          <w:lang w:val="en-US" w:eastAsia="zh-CN"/>
        </w:rPr>
        <w:t>不用进行安置</w:t>
      </w:r>
      <w:r>
        <w:rPr>
          <w:rFonts w:hint="default" w:ascii="Times New Roman" w:hAnsi="Times New Roman" w:cs="Times New Roman"/>
          <w:lang w:val="zh-CN"/>
        </w:rPr>
        <w:t>。</w:t>
      </w:r>
    </w:p>
    <w:p w14:paraId="4030BAA7">
      <w:pPr>
        <w:pStyle w:val="3"/>
        <w:rPr>
          <w:rFonts w:hint="default" w:ascii="Times New Roman" w:hAnsi="Times New Roman" w:cs="Times New Roman"/>
          <w:lang w:bidi="ar"/>
        </w:rPr>
      </w:pPr>
      <w:bookmarkStart w:id="41" w:name="_Toc165223569"/>
      <w:r>
        <w:rPr>
          <w:rFonts w:hint="default" w:ascii="Times New Roman" w:hAnsi="Times New Roman" w:cs="Times New Roman"/>
          <w:lang w:bidi="ar"/>
        </w:rPr>
        <w:t>资金来源及施工进度</w:t>
      </w:r>
      <w:bookmarkEnd w:id="41"/>
    </w:p>
    <w:p w14:paraId="1743AA20">
      <w:pPr>
        <w:pStyle w:val="93"/>
        <w:rPr>
          <w:rFonts w:hint="default" w:ascii="Times New Roman" w:hAnsi="Times New Roman" w:cs="Times New Roman"/>
        </w:rPr>
      </w:pPr>
      <w:r>
        <w:rPr>
          <w:rFonts w:hint="default" w:ascii="Times New Roman" w:hAnsi="Times New Roman" w:eastAsia="仿宋_GB2312" w:cs="Times New Roman"/>
          <w:snapToGrid/>
          <w:color w:val="auto"/>
          <w:kern w:val="2"/>
          <w:sz w:val="24"/>
          <w:szCs w:val="24"/>
          <w:lang w:val="en-US" w:eastAsia="zh-CN" w:bidi="ar"/>
        </w:rPr>
        <w:t>工程计划工期</w:t>
      </w:r>
      <w:r>
        <w:rPr>
          <w:rFonts w:hint="eastAsia" w:ascii="Times New Roman" w:hAnsi="Times New Roman" w:eastAsia="仿宋_GB2312" w:cs="Times New Roman"/>
          <w:snapToGrid/>
          <w:color w:val="auto"/>
          <w:kern w:val="2"/>
          <w:sz w:val="24"/>
          <w:szCs w:val="24"/>
          <w:lang w:val="en-US" w:eastAsia="zh-CN" w:bidi="ar"/>
        </w:rPr>
        <w:t>15个月</w:t>
      </w:r>
      <w:r>
        <w:rPr>
          <w:rFonts w:hint="default" w:ascii="Times New Roman" w:hAnsi="Times New Roman" w:eastAsia="仿宋_GB2312" w:cs="Times New Roman"/>
          <w:snapToGrid/>
          <w:color w:val="auto"/>
          <w:kern w:val="2"/>
          <w:sz w:val="24"/>
          <w:szCs w:val="24"/>
          <w:lang w:val="en-US" w:eastAsia="zh-CN" w:bidi="ar"/>
        </w:rPr>
        <w:t>，工程已于</w:t>
      </w:r>
      <w:r>
        <w:rPr>
          <w:rFonts w:hint="eastAsia" w:ascii="Times New Roman" w:hAnsi="Times New Roman" w:eastAsia="仿宋_GB2312" w:cs="Times New Roman"/>
          <w:snapToGrid/>
          <w:color w:val="auto"/>
          <w:kern w:val="2"/>
          <w:sz w:val="24"/>
          <w:szCs w:val="24"/>
          <w:lang w:val="en-US" w:eastAsia="zh-CN" w:bidi="ar"/>
        </w:rPr>
        <w:t>2024年4月</w:t>
      </w:r>
      <w:r>
        <w:rPr>
          <w:rFonts w:hint="default" w:ascii="Times New Roman" w:hAnsi="Times New Roman" w:eastAsia="仿宋_GB2312" w:cs="Times New Roman"/>
          <w:snapToGrid/>
          <w:color w:val="auto"/>
          <w:kern w:val="2"/>
          <w:sz w:val="24"/>
          <w:szCs w:val="24"/>
          <w:lang w:val="en-US" w:eastAsia="zh-CN" w:bidi="ar"/>
        </w:rPr>
        <w:t>开工建设，预计</w:t>
      </w:r>
      <w:r>
        <w:rPr>
          <w:rFonts w:hint="eastAsia" w:ascii="Times New Roman" w:hAnsi="Times New Roman" w:eastAsia="仿宋_GB2312" w:cs="Times New Roman"/>
          <w:snapToGrid/>
          <w:color w:val="auto"/>
          <w:kern w:val="2"/>
          <w:sz w:val="24"/>
          <w:szCs w:val="24"/>
          <w:lang w:val="en-US" w:eastAsia="zh-CN" w:bidi="ar"/>
        </w:rPr>
        <w:t>2025年6月</w:t>
      </w:r>
      <w:r>
        <w:rPr>
          <w:rFonts w:hint="default" w:ascii="Times New Roman" w:hAnsi="Times New Roman" w:eastAsia="仿宋_GB2312" w:cs="Times New Roman"/>
          <w:snapToGrid/>
          <w:color w:val="auto"/>
          <w:kern w:val="2"/>
          <w:sz w:val="24"/>
          <w:szCs w:val="24"/>
          <w:lang w:val="en-US" w:eastAsia="zh-CN" w:bidi="ar"/>
        </w:rPr>
        <w:t>竣工，本项目由</w:t>
      </w:r>
      <w:r>
        <w:rPr>
          <w:rFonts w:hint="eastAsia" w:cs="Times New Roman"/>
          <w:snapToGrid/>
          <w:color w:val="auto"/>
          <w:kern w:val="2"/>
          <w:sz w:val="24"/>
          <w:szCs w:val="24"/>
          <w:lang w:val="en-US" w:eastAsia="zh-CN" w:bidi="ar"/>
        </w:rPr>
        <w:t>会泽县待补镇人民政府</w:t>
      </w:r>
      <w:r>
        <w:rPr>
          <w:rFonts w:hint="default" w:ascii="Times New Roman" w:hAnsi="Times New Roman" w:eastAsia="仿宋_GB2312" w:cs="Times New Roman"/>
          <w:snapToGrid/>
          <w:color w:val="auto"/>
          <w:kern w:val="2"/>
          <w:sz w:val="24"/>
          <w:szCs w:val="24"/>
          <w:lang w:val="en-US" w:eastAsia="zh-CN" w:bidi="ar"/>
        </w:rPr>
        <w:t>负责投资建设，工程总投资</w:t>
      </w:r>
      <w:r>
        <w:rPr>
          <w:rFonts w:hint="eastAsia" w:ascii="Times New Roman" w:hAnsi="Times New Roman" w:eastAsia="仿宋_GB2312" w:cs="Times New Roman"/>
          <w:snapToGrid/>
          <w:color w:val="auto"/>
          <w:kern w:val="2"/>
          <w:sz w:val="24"/>
          <w:szCs w:val="24"/>
          <w:lang w:val="en-US" w:eastAsia="zh-CN" w:bidi="ar"/>
        </w:rPr>
        <w:t>2203.01万元</w:t>
      </w:r>
      <w:r>
        <w:rPr>
          <w:rFonts w:hint="default" w:ascii="Times New Roman" w:hAnsi="Times New Roman" w:eastAsia="仿宋_GB2312" w:cs="Times New Roman"/>
          <w:snapToGrid/>
          <w:color w:val="auto"/>
          <w:kern w:val="2"/>
          <w:sz w:val="24"/>
          <w:szCs w:val="24"/>
          <w:lang w:val="en-US" w:eastAsia="zh-CN" w:bidi="ar"/>
        </w:rPr>
        <w:t>，其中土建投资</w:t>
      </w:r>
      <w:r>
        <w:rPr>
          <w:rFonts w:hint="eastAsia" w:ascii="Times New Roman" w:hAnsi="Times New Roman" w:eastAsia="仿宋_GB2312" w:cs="Times New Roman"/>
          <w:snapToGrid/>
          <w:color w:val="auto"/>
          <w:kern w:val="2"/>
          <w:sz w:val="24"/>
          <w:szCs w:val="24"/>
          <w:lang w:val="en-US" w:eastAsia="zh-CN" w:bidi="ar"/>
        </w:rPr>
        <w:t>462.63万元</w:t>
      </w:r>
      <w:r>
        <w:rPr>
          <w:rFonts w:hint="default" w:ascii="Times New Roman" w:hAnsi="Times New Roman" w:eastAsia="仿宋_GB2312" w:cs="Times New Roman"/>
          <w:snapToGrid/>
          <w:color w:val="auto"/>
          <w:kern w:val="2"/>
          <w:sz w:val="24"/>
          <w:szCs w:val="24"/>
          <w:lang w:val="en-US" w:eastAsia="zh-CN" w:bidi="ar"/>
        </w:rPr>
        <w:t>，工程费用2018万元申请政府财政资金，其余185.01万元由建设单位自筹。</w:t>
      </w:r>
    </w:p>
    <w:p w14:paraId="733F1A15">
      <w:pPr>
        <w:pStyle w:val="93"/>
        <w:rPr>
          <w:rFonts w:hint="default" w:ascii="Times New Roman" w:hAnsi="Times New Roman" w:cs="Times New Roman"/>
        </w:rPr>
      </w:pPr>
      <w:r>
        <w:rPr>
          <w:rFonts w:hint="default" w:ascii="Times New Roman" w:hAnsi="Times New Roman" w:cs="Times New Roman"/>
          <w:color w:val="auto"/>
        </w:rPr>
        <w:t>工程施工进度详见</w:t>
      </w:r>
      <w:r>
        <w:rPr>
          <w:rFonts w:hint="default" w:ascii="Times New Roman" w:hAnsi="Times New Roman" w:cs="Times New Roman"/>
        </w:rPr>
        <w:fldChar w:fldCharType="begin"/>
      </w:r>
      <w:r>
        <w:rPr>
          <w:rFonts w:hint="default" w:ascii="Times New Roman" w:hAnsi="Times New Roman" w:cs="Times New Roman"/>
          <w:color w:val="auto"/>
        </w:rPr>
        <w:instrText xml:space="preserve"> REF _Ref59525026 \h  \* MERGEFORMAT </w:instrText>
      </w:r>
      <w:r>
        <w:rPr>
          <w:rFonts w:hint="default" w:ascii="Times New Roman" w:hAnsi="Times New Roman" w:cs="Times New Roman"/>
        </w:rPr>
        <w:fldChar w:fldCharType="separate"/>
      </w:r>
      <w:r>
        <w:rPr>
          <w:rFonts w:hint="default" w:ascii="Times New Roman" w:hAnsi="Times New Roman" w:cs="Times New Roman"/>
          <w:color w:val="auto"/>
        </w:rPr>
        <w:t>表2</w:t>
      </w:r>
      <w:r>
        <w:rPr>
          <w:rFonts w:hint="default" w:ascii="Times New Roman" w:hAnsi="Times New Roman" w:cs="Times New Roman"/>
          <w:color w:val="auto"/>
        </w:rPr>
        <w:noBreakHyphen/>
      </w:r>
      <w:r>
        <w:rPr>
          <w:rFonts w:hint="default" w:ascii="Times New Roman" w:hAnsi="Times New Roman" w:cs="Times New Roman"/>
          <w:color w:val="auto"/>
        </w:rPr>
        <w:t>11</w:t>
      </w:r>
      <w:r>
        <w:rPr>
          <w:rFonts w:hint="default" w:ascii="Times New Roman" w:hAnsi="Times New Roman" w:cs="Times New Roman"/>
        </w:rPr>
        <w:fldChar w:fldCharType="end"/>
      </w:r>
      <w:r>
        <w:rPr>
          <w:rFonts w:hint="default" w:ascii="Times New Roman" w:hAnsi="Times New Roman" w:cs="Times New Roman"/>
          <w:color w:val="auto"/>
        </w:rPr>
        <w:t>。</w:t>
      </w:r>
    </w:p>
    <w:p w14:paraId="398E33F4">
      <w:pPr>
        <w:pStyle w:val="83"/>
        <w:rPr>
          <w:rFonts w:hint="default" w:ascii="Times New Roman" w:hAnsi="Times New Roman" w:eastAsia="仿宋_GB2312" w:cs="Times New Roman"/>
          <w:b/>
          <w:bCs w:val="0"/>
        </w:rPr>
      </w:pPr>
      <w:r>
        <w:rPr>
          <w:rFonts w:hint="default" w:ascii="Times New Roman" w:hAnsi="Times New Roman" w:eastAsia="仿宋_GB2312" w:cs="Times New Roman"/>
          <w:b/>
          <w:bCs w:val="0"/>
        </w:rPr>
        <w:t xml:space="preserve">表2-11         </w:t>
      </w:r>
      <w:r>
        <w:rPr>
          <w:rFonts w:hint="eastAsia" w:eastAsia="仿宋_GB2312" w:cs="Times New Roman"/>
          <w:b/>
          <w:bCs w:val="0"/>
          <w:lang w:eastAsia="zh-CN"/>
        </w:rPr>
        <w:t>待补镇安康安置点帮扶车间建设项目</w:t>
      </w:r>
      <w:r>
        <w:rPr>
          <w:rFonts w:hint="default" w:ascii="Times New Roman" w:hAnsi="Times New Roman" w:eastAsia="仿宋_GB2312" w:cs="Times New Roman"/>
          <w:b/>
          <w:bCs w:val="0"/>
        </w:rPr>
        <w:t>施工进度安排表     单位：月</w:t>
      </w:r>
    </w:p>
    <w:tbl>
      <w:tblPr>
        <w:tblStyle w:val="27"/>
        <w:tblW w:w="93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97"/>
        <w:gridCol w:w="532"/>
        <w:gridCol w:w="536"/>
        <w:gridCol w:w="569"/>
        <w:gridCol w:w="541"/>
        <w:gridCol w:w="541"/>
        <w:gridCol w:w="541"/>
        <w:gridCol w:w="541"/>
        <w:gridCol w:w="541"/>
        <w:gridCol w:w="595"/>
        <w:gridCol w:w="569"/>
        <w:gridCol w:w="385"/>
        <w:gridCol w:w="373"/>
        <w:gridCol w:w="293"/>
        <w:gridCol w:w="321"/>
        <w:gridCol w:w="407"/>
      </w:tblGrid>
      <w:tr w14:paraId="53B863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vMerge w:val="restart"/>
            <w:tcBorders>
              <w:tl2br w:val="nil"/>
              <w:tr2bl w:val="nil"/>
            </w:tcBorders>
            <w:shd w:val="clear" w:color="auto" w:fill="auto"/>
            <w:noWrap/>
            <w:tcMar>
              <w:top w:w="0" w:type="dxa"/>
              <w:left w:w="0" w:type="dxa"/>
              <w:bottom w:w="0" w:type="dxa"/>
              <w:right w:w="0" w:type="dxa"/>
            </w:tcMar>
            <w:vAlign w:val="center"/>
          </w:tcPr>
          <w:p w14:paraId="00AA73C4">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施工内容</w:t>
            </w:r>
          </w:p>
        </w:tc>
        <w:tc>
          <w:tcPr>
            <w:tcW w:w="7285" w:type="dxa"/>
            <w:gridSpan w:val="15"/>
            <w:tcBorders>
              <w:tl2br w:val="nil"/>
              <w:tr2bl w:val="nil"/>
            </w:tcBorders>
            <w:shd w:val="clear" w:color="auto" w:fill="auto"/>
            <w:noWrap/>
            <w:tcMar>
              <w:top w:w="0" w:type="dxa"/>
              <w:left w:w="0" w:type="dxa"/>
              <w:bottom w:w="0" w:type="dxa"/>
              <w:right w:w="0" w:type="dxa"/>
            </w:tcMar>
            <w:vAlign w:val="center"/>
          </w:tcPr>
          <w:p w14:paraId="5410ED0F">
            <w:pPr>
              <w:adjustRightInd w:val="0"/>
              <w:snapToGrid w:val="0"/>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施工工期</w:t>
            </w:r>
          </w:p>
        </w:tc>
      </w:tr>
      <w:tr w14:paraId="4C1DC3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vMerge w:val="continue"/>
            <w:tcBorders>
              <w:tl2br w:val="nil"/>
              <w:tr2bl w:val="nil"/>
            </w:tcBorders>
            <w:shd w:val="clear" w:color="auto" w:fill="auto"/>
            <w:noWrap/>
            <w:tcMar>
              <w:top w:w="0" w:type="dxa"/>
              <w:left w:w="0" w:type="dxa"/>
              <w:bottom w:w="0" w:type="dxa"/>
              <w:right w:w="0" w:type="dxa"/>
            </w:tcMar>
            <w:vAlign w:val="center"/>
          </w:tcPr>
          <w:p w14:paraId="0AD8374B">
            <w:pPr>
              <w:adjustRightInd w:val="0"/>
              <w:snapToGrid w:val="0"/>
              <w:spacing w:line="240" w:lineRule="auto"/>
              <w:ind w:firstLine="0" w:firstLineChars="0"/>
              <w:jc w:val="center"/>
              <w:rPr>
                <w:rFonts w:hint="default" w:ascii="Times New Roman" w:hAnsi="Times New Roman" w:cs="Times New Roman"/>
                <w:sz w:val="21"/>
                <w:szCs w:val="21"/>
              </w:rPr>
            </w:pPr>
          </w:p>
        </w:tc>
        <w:tc>
          <w:tcPr>
            <w:tcW w:w="4937" w:type="dxa"/>
            <w:gridSpan w:val="9"/>
            <w:tcBorders>
              <w:tl2br w:val="nil"/>
              <w:tr2bl w:val="nil"/>
            </w:tcBorders>
            <w:shd w:val="clear" w:color="auto" w:fill="auto"/>
            <w:noWrap/>
            <w:tcMar>
              <w:top w:w="0" w:type="dxa"/>
              <w:left w:w="0" w:type="dxa"/>
              <w:bottom w:w="0" w:type="dxa"/>
              <w:right w:w="0" w:type="dxa"/>
            </w:tcMar>
            <w:vAlign w:val="center"/>
          </w:tcPr>
          <w:p w14:paraId="2FA63868">
            <w:pPr>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202</w:t>
            </w:r>
            <w:r>
              <w:rPr>
                <w:rFonts w:hint="eastAsia" w:eastAsia="宋体" w:cs="Times New Roman"/>
                <w:kern w:val="0"/>
                <w:sz w:val="21"/>
                <w:szCs w:val="21"/>
                <w:lang w:val="en-US" w:eastAsia="zh-CN" w:bidi="ar"/>
              </w:rPr>
              <w:t>4</w:t>
            </w:r>
            <w:r>
              <w:rPr>
                <w:rFonts w:hint="default" w:ascii="Times New Roman" w:hAnsi="Times New Roman" w:cs="Times New Roman"/>
                <w:kern w:val="0"/>
                <w:sz w:val="21"/>
                <w:szCs w:val="21"/>
                <w:lang w:bidi="ar"/>
              </w:rPr>
              <w:t>年</w:t>
            </w:r>
          </w:p>
        </w:tc>
        <w:tc>
          <w:tcPr>
            <w:tcW w:w="2348" w:type="dxa"/>
            <w:gridSpan w:val="6"/>
            <w:tcBorders>
              <w:tl2br w:val="nil"/>
              <w:tr2bl w:val="nil"/>
            </w:tcBorders>
            <w:shd w:val="clear" w:color="auto" w:fill="auto"/>
            <w:vAlign w:val="center"/>
          </w:tcPr>
          <w:p w14:paraId="29DA3DC2">
            <w:pPr>
              <w:adjustRightInd w:val="0"/>
              <w:snapToGrid w:val="0"/>
              <w:spacing w:line="240" w:lineRule="auto"/>
              <w:ind w:firstLine="0" w:firstLineChars="0"/>
              <w:jc w:val="center"/>
              <w:textAlignment w:val="center"/>
              <w:rPr>
                <w:rFonts w:hint="default" w:ascii="Times New Roman" w:hAnsi="Times New Roman" w:eastAsia="宋体" w:cs="Times New Roman"/>
                <w:kern w:val="0"/>
                <w:sz w:val="21"/>
                <w:szCs w:val="21"/>
                <w:lang w:val="en-US" w:eastAsia="zh-CN" w:bidi="ar"/>
              </w:rPr>
            </w:pPr>
            <w:r>
              <w:rPr>
                <w:rFonts w:hint="eastAsia" w:eastAsia="宋体" w:cs="Times New Roman"/>
                <w:kern w:val="0"/>
                <w:sz w:val="21"/>
                <w:szCs w:val="21"/>
                <w:lang w:val="en-US" w:eastAsia="zh-CN" w:bidi="ar"/>
              </w:rPr>
              <w:t>2025年</w:t>
            </w:r>
          </w:p>
        </w:tc>
      </w:tr>
      <w:tr w14:paraId="5697FD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vMerge w:val="continue"/>
            <w:tcBorders>
              <w:tl2br w:val="nil"/>
              <w:tr2bl w:val="nil"/>
            </w:tcBorders>
            <w:shd w:val="clear" w:color="auto" w:fill="auto"/>
            <w:noWrap/>
            <w:tcMar>
              <w:top w:w="0" w:type="dxa"/>
              <w:left w:w="0" w:type="dxa"/>
              <w:bottom w:w="0" w:type="dxa"/>
              <w:right w:w="0" w:type="dxa"/>
            </w:tcMar>
            <w:vAlign w:val="center"/>
          </w:tcPr>
          <w:p w14:paraId="0AAC1883">
            <w:pPr>
              <w:adjustRightInd w:val="0"/>
              <w:snapToGrid w:val="0"/>
              <w:spacing w:line="240" w:lineRule="auto"/>
              <w:ind w:firstLine="0" w:firstLineChars="0"/>
              <w:jc w:val="center"/>
              <w:rPr>
                <w:rFonts w:hint="default" w:ascii="Times New Roman" w:hAnsi="Times New Roman" w:cs="Times New Roman"/>
                <w:sz w:val="21"/>
                <w:szCs w:val="21"/>
              </w:rPr>
            </w:pPr>
          </w:p>
        </w:tc>
        <w:tc>
          <w:tcPr>
            <w:tcW w:w="532" w:type="dxa"/>
            <w:tcBorders>
              <w:tl2br w:val="nil"/>
              <w:tr2bl w:val="nil"/>
            </w:tcBorders>
            <w:shd w:val="clear" w:color="auto" w:fill="auto"/>
            <w:noWrap/>
            <w:tcMar>
              <w:top w:w="0" w:type="dxa"/>
              <w:left w:w="0" w:type="dxa"/>
              <w:bottom w:w="0" w:type="dxa"/>
              <w:right w:w="0" w:type="dxa"/>
            </w:tcMar>
            <w:vAlign w:val="center"/>
          </w:tcPr>
          <w:p w14:paraId="305F8E95">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36" w:type="dxa"/>
            <w:tcBorders>
              <w:tl2br w:val="nil"/>
              <w:tr2bl w:val="nil"/>
            </w:tcBorders>
            <w:shd w:val="clear" w:color="auto" w:fill="auto"/>
            <w:noWrap/>
            <w:tcMar>
              <w:top w:w="0" w:type="dxa"/>
              <w:left w:w="0" w:type="dxa"/>
              <w:bottom w:w="0" w:type="dxa"/>
              <w:right w:w="0" w:type="dxa"/>
            </w:tcMar>
            <w:vAlign w:val="center"/>
          </w:tcPr>
          <w:p w14:paraId="7C04E055">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569" w:type="dxa"/>
            <w:tcBorders>
              <w:tl2br w:val="nil"/>
              <w:tr2bl w:val="nil"/>
            </w:tcBorders>
            <w:shd w:val="clear" w:color="auto" w:fill="auto"/>
            <w:noWrap/>
            <w:tcMar>
              <w:top w:w="0" w:type="dxa"/>
              <w:left w:w="0" w:type="dxa"/>
              <w:bottom w:w="0" w:type="dxa"/>
              <w:right w:w="0" w:type="dxa"/>
            </w:tcMar>
            <w:vAlign w:val="center"/>
          </w:tcPr>
          <w:p w14:paraId="1CC04FF4">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541" w:type="dxa"/>
            <w:tcBorders>
              <w:tl2br w:val="nil"/>
              <w:tr2bl w:val="nil"/>
            </w:tcBorders>
            <w:shd w:val="clear" w:color="auto" w:fill="auto"/>
            <w:noWrap/>
            <w:tcMar>
              <w:top w:w="0" w:type="dxa"/>
              <w:left w:w="0" w:type="dxa"/>
              <w:bottom w:w="0" w:type="dxa"/>
              <w:right w:w="0" w:type="dxa"/>
            </w:tcMar>
            <w:vAlign w:val="center"/>
          </w:tcPr>
          <w:p w14:paraId="68DC3BE9">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541" w:type="dxa"/>
            <w:tcBorders>
              <w:tl2br w:val="nil"/>
              <w:tr2bl w:val="nil"/>
            </w:tcBorders>
            <w:shd w:val="clear" w:color="auto" w:fill="auto"/>
            <w:noWrap/>
            <w:tcMar>
              <w:top w:w="0" w:type="dxa"/>
              <w:left w:w="0" w:type="dxa"/>
              <w:bottom w:w="0" w:type="dxa"/>
              <w:right w:w="0" w:type="dxa"/>
            </w:tcMar>
            <w:vAlign w:val="center"/>
          </w:tcPr>
          <w:p w14:paraId="07723074">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541" w:type="dxa"/>
            <w:tcBorders>
              <w:tl2br w:val="nil"/>
              <w:tr2bl w:val="nil"/>
            </w:tcBorders>
            <w:shd w:val="clear" w:color="auto" w:fill="auto"/>
            <w:noWrap/>
            <w:tcMar>
              <w:top w:w="0" w:type="dxa"/>
              <w:left w:w="0" w:type="dxa"/>
              <w:bottom w:w="0" w:type="dxa"/>
              <w:right w:w="0" w:type="dxa"/>
            </w:tcMar>
            <w:vAlign w:val="center"/>
          </w:tcPr>
          <w:p w14:paraId="3C691889">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541" w:type="dxa"/>
            <w:tcBorders>
              <w:tl2br w:val="nil"/>
              <w:tr2bl w:val="nil"/>
            </w:tcBorders>
            <w:shd w:val="clear" w:color="auto" w:fill="auto"/>
            <w:noWrap/>
            <w:tcMar>
              <w:top w:w="0" w:type="dxa"/>
              <w:left w:w="0" w:type="dxa"/>
              <w:bottom w:w="0" w:type="dxa"/>
              <w:right w:w="0" w:type="dxa"/>
            </w:tcMar>
            <w:vAlign w:val="top"/>
          </w:tcPr>
          <w:p w14:paraId="6F5235C8">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541" w:type="dxa"/>
            <w:tcBorders>
              <w:tl2br w:val="nil"/>
              <w:tr2bl w:val="nil"/>
            </w:tcBorders>
            <w:shd w:val="clear" w:color="auto" w:fill="auto"/>
            <w:noWrap/>
            <w:tcMar>
              <w:top w:w="0" w:type="dxa"/>
              <w:left w:w="0" w:type="dxa"/>
              <w:bottom w:w="0" w:type="dxa"/>
              <w:right w:w="0" w:type="dxa"/>
            </w:tcMar>
            <w:vAlign w:val="center"/>
          </w:tcPr>
          <w:p w14:paraId="172BD0D6">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11</w:t>
            </w:r>
          </w:p>
        </w:tc>
        <w:tc>
          <w:tcPr>
            <w:tcW w:w="595" w:type="dxa"/>
            <w:tcBorders>
              <w:tl2br w:val="nil"/>
              <w:tr2bl w:val="nil"/>
            </w:tcBorders>
            <w:shd w:val="clear" w:color="auto" w:fill="auto"/>
            <w:noWrap/>
            <w:tcMar>
              <w:top w:w="0" w:type="dxa"/>
              <w:left w:w="0" w:type="dxa"/>
              <w:bottom w:w="0" w:type="dxa"/>
              <w:right w:w="0" w:type="dxa"/>
            </w:tcMar>
            <w:vAlign w:val="center"/>
          </w:tcPr>
          <w:p w14:paraId="76C13CB3">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12</w:t>
            </w:r>
          </w:p>
        </w:tc>
        <w:tc>
          <w:tcPr>
            <w:tcW w:w="569" w:type="dxa"/>
            <w:tcBorders>
              <w:tl2br w:val="nil"/>
              <w:tr2bl w:val="nil"/>
            </w:tcBorders>
            <w:shd w:val="clear" w:color="auto" w:fill="auto"/>
            <w:noWrap/>
            <w:tcMar>
              <w:top w:w="0" w:type="dxa"/>
              <w:left w:w="0" w:type="dxa"/>
              <w:bottom w:w="0" w:type="dxa"/>
              <w:right w:w="0" w:type="dxa"/>
            </w:tcMar>
            <w:vAlign w:val="center"/>
          </w:tcPr>
          <w:p w14:paraId="2D8CBD0E">
            <w:pPr>
              <w:adjustRightInd w:val="0"/>
              <w:snapToGrid w:val="0"/>
              <w:spacing w:line="240" w:lineRule="auto"/>
              <w:ind w:firstLine="0" w:firstLineChars="0"/>
              <w:jc w:val="center"/>
              <w:textAlignment w:val="center"/>
              <w:rPr>
                <w:rFonts w:hint="eastAsia" w:eastAsia="宋体" w:cs="Times New Roman"/>
                <w:sz w:val="21"/>
                <w:szCs w:val="21"/>
                <w:lang w:val="en-US" w:eastAsia="zh-CN"/>
              </w:rPr>
            </w:pPr>
            <w:r>
              <w:rPr>
                <w:rFonts w:hint="eastAsia" w:eastAsia="宋体" w:cs="Times New Roman"/>
                <w:sz w:val="21"/>
                <w:szCs w:val="21"/>
                <w:lang w:val="en-US" w:eastAsia="zh-CN"/>
              </w:rPr>
              <w:t>1</w:t>
            </w:r>
          </w:p>
        </w:tc>
        <w:tc>
          <w:tcPr>
            <w:tcW w:w="385" w:type="dxa"/>
            <w:tcBorders>
              <w:tl2br w:val="nil"/>
              <w:tr2bl w:val="nil"/>
            </w:tcBorders>
            <w:shd w:val="clear" w:color="auto" w:fill="auto"/>
            <w:noWrap/>
            <w:tcMar>
              <w:top w:w="0" w:type="dxa"/>
              <w:left w:w="0" w:type="dxa"/>
              <w:bottom w:w="0" w:type="dxa"/>
              <w:right w:w="0" w:type="dxa"/>
            </w:tcMar>
            <w:vAlign w:val="center"/>
          </w:tcPr>
          <w:p w14:paraId="5C4B5328">
            <w:pPr>
              <w:adjustRightInd w:val="0"/>
              <w:snapToGrid w:val="0"/>
              <w:spacing w:line="240" w:lineRule="auto"/>
              <w:ind w:firstLine="0" w:firstLineChars="0"/>
              <w:jc w:val="center"/>
              <w:textAlignment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2</w:t>
            </w:r>
          </w:p>
        </w:tc>
        <w:tc>
          <w:tcPr>
            <w:tcW w:w="373" w:type="dxa"/>
            <w:tcBorders>
              <w:tl2br w:val="nil"/>
              <w:tr2bl w:val="nil"/>
            </w:tcBorders>
            <w:shd w:val="clear" w:color="auto" w:fill="auto"/>
            <w:noWrap/>
            <w:tcMar>
              <w:top w:w="0" w:type="dxa"/>
              <w:left w:w="0" w:type="dxa"/>
              <w:bottom w:w="0" w:type="dxa"/>
              <w:right w:w="0" w:type="dxa"/>
            </w:tcMar>
            <w:vAlign w:val="center"/>
          </w:tcPr>
          <w:p w14:paraId="18105057">
            <w:pPr>
              <w:adjustRightInd w:val="0"/>
              <w:snapToGrid w:val="0"/>
              <w:spacing w:line="240" w:lineRule="auto"/>
              <w:ind w:firstLine="0" w:firstLineChars="0"/>
              <w:jc w:val="center"/>
              <w:textAlignment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3</w:t>
            </w:r>
          </w:p>
        </w:tc>
        <w:tc>
          <w:tcPr>
            <w:tcW w:w="293" w:type="dxa"/>
            <w:tcBorders>
              <w:tl2br w:val="nil"/>
              <w:tr2bl w:val="nil"/>
            </w:tcBorders>
            <w:shd w:val="clear" w:color="auto" w:fill="auto"/>
            <w:noWrap/>
            <w:tcMar>
              <w:top w:w="0" w:type="dxa"/>
              <w:left w:w="0" w:type="dxa"/>
              <w:bottom w:w="0" w:type="dxa"/>
              <w:right w:w="0" w:type="dxa"/>
            </w:tcMar>
            <w:vAlign w:val="center"/>
          </w:tcPr>
          <w:p w14:paraId="0B7E1F52">
            <w:pPr>
              <w:adjustRightInd w:val="0"/>
              <w:snapToGrid w:val="0"/>
              <w:spacing w:line="240" w:lineRule="auto"/>
              <w:ind w:firstLine="0" w:firstLineChars="0"/>
              <w:jc w:val="center"/>
              <w:textAlignment w:val="center"/>
              <w:rPr>
                <w:rFonts w:hint="default" w:eastAsia="宋体" w:cs="Times New Roman"/>
                <w:sz w:val="21"/>
                <w:szCs w:val="21"/>
                <w:lang w:val="en-US" w:eastAsia="zh-CN"/>
              </w:rPr>
            </w:pPr>
            <w:r>
              <w:rPr>
                <w:rFonts w:hint="eastAsia" w:eastAsia="宋体" w:cs="Times New Roman"/>
                <w:sz w:val="21"/>
                <w:szCs w:val="21"/>
                <w:lang w:val="en-US" w:eastAsia="zh-CN"/>
              </w:rPr>
              <w:t>4</w:t>
            </w:r>
          </w:p>
        </w:tc>
        <w:tc>
          <w:tcPr>
            <w:tcW w:w="321" w:type="dxa"/>
            <w:tcBorders>
              <w:tl2br w:val="nil"/>
              <w:tr2bl w:val="nil"/>
            </w:tcBorders>
          </w:tcPr>
          <w:p w14:paraId="5EC49B78">
            <w:pPr>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w:t>
            </w:r>
          </w:p>
        </w:tc>
        <w:tc>
          <w:tcPr>
            <w:tcW w:w="407" w:type="dxa"/>
            <w:tcBorders>
              <w:tl2br w:val="nil"/>
              <w:tr2bl w:val="nil"/>
            </w:tcBorders>
          </w:tcPr>
          <w:p w14:paraId="48C5C112">
            <w:pPr>
              <w:adjustRightInd w:val="0"/>
              <w:snapToGrid w:val="0"/>
              <w:spacing w:line="240" w:lineRule="auto"/>
              <w:ind w:firstLine="0" w:firstLineChars="0"/>
              <w:jc w:val="center"/>
              <w:textAlignment w:val="center"/>
              <w:rPr>
                <w:rFonts w:hint="default" w:eastAsia="宋体" w:cs="Times New Roman"/>
                <w:sz w:val="21"/>
                <w:szCs w:val="21"/>
                <w:lang w:val="en-US" w:eastAsia="zh-CN"/>
              </w:rPr>
            </w:pPr>
            <w:r>
              <w:rPr>
                <w:rFonts w:hint="eastAsia" w:eastAsia="宋体" w:cs="Times New Roman"/>
                <w:sz w:val="21"/>
                <w:szCs w:val="21"/>
                <w:lang w:val="en-US" w:eastAsia="zh-CN"/>
              </w:rPr>
              <w:t>6</w:t>
            </w:r>
          </w:p>
        </w:tc>
      </w:tr>
      <w:tr w14:paraId="53B1A1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79D41990">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场地平整</w:t>
            </w:r>
          </w:p>
        </w:tc>
        <w:tc>
          <w:tcPr>
            <w:tcW w:w="532" w:type="dxa"/>
            <w:tcBorders>
              <w:tl2br w:val="nil"/>
              <w:tr2bl w:val="nil"/>
            </w:tcBorders>
            <w:shd w:val="clear" w:color="auto" w:fill="FFFF00"/>
            <w:noWrap/>
            <w:tcMar>
              <w:top w:w="0" w:type="dxa"/>
              <w:left w:w="0" w:type="dxa"/>
              <w:bottom w:w="0" w:type="dxa"/>
              <w:right w:w="0" w:type="dxa"/>
            </w:tcMar>
            <w:vAlign w:val="center"/>
          </w:tcPr>
          <w:p w14:paraId="07561AA1">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FFFF00"/>
            <w:noWrap/>
            <w:tcMar>
              <w:top w:w="0" w:type="dxa"/>
              <w:left w:w="0" w:type="dxa"/>
              <w:bottom w:w="0" w:type="dxa"/>
              <w:right w:w="0" w:type="dxa"/>
            </w:tcMar>
            <w:vAlign w:val="center"/>
          </w:tcPr>
          <w:p w14:paraId="5D88948E">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393CF6B9">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F4BE7A3">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D09F1AD">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C636B2C">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58A41B00">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6C3A2073">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auto"/>
            <w:noWrap/>
            <w:tcMar>
              <w:top w:w="0" w:type="dxa"/>
              <w:left w:w="0" w:type="dxa"/>
              <w:bottom w:w="0" w:type="dxa"/>
              <w:right w:w="0" w:type="dxa"/>
            </w:tcMar>
            <w:vAlign w:val="center"/>
          </w:tcPr>
          <w:p w14:paraId="253AAF03">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15944ED1">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auto"/>
            <w:noWrap/>
            <w:tcMar>
              <w:top w:w="0" w:type="dxa"/>
              <w:left w:w="0" w:type="dxa"/>
              <w:bottom w:w="0" w:type="dxa"/>
              <w:right w:w="0" w:type="dxa"/>
            </w:tcMar>
            <w:vAlign w:val="center"/>
          </w:tcPr>
          <w:p w14:paraId="22797E0A">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auto"/>
            <w:noWrap/>
            <w:tcMar>
              <w:top w:w="0" w:type="dxa"/>
              <w:left w:w="0" w:type="dxa"/>
              <w:bottom w:w="0" w:type="dxa"/>
              <w:right w:w="0" w:type="dxa"/>
            </w:tcMar>
            <w:vAlign w:val="center"/>
          </w:tcPr>
          <w:p w14:paraId="377AA763">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auto"/>
            <w:noWrap/>
            <w:tcMar>
              <w:top w:w="0" w:type="dxa"/>
              <w:left w:w="0" w:type="dxa"/>
              <w:bottom w:w="0" w:type="dxa"/>
              <w:right w:w="0" w:type="dxa"/>
            </w:tcMar>
            <w:vAlign w:val="center"/>
          </w:tcPr>
          <w:p w14:paraId="6D654B1D">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tcPr>
          <w:p w14:paraId="282192BB">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tcPr>
          <w:p w14:paraId="4DAFD542">
            <w:pPr>
              <w:adjustRightInd w:val="0"/>
              <w:snapToGrid w:val="0"/>
              <w:spacing w:line="240" w:lineRule="auto"/>
              <w:ind w:firstLine="0" w:firstLineChars="0"/>
              <w:rPr>
                <w:rFonts w:hint="default" w:ascii="Times New Roman" w:hAnsi="Times New Roman" w:eastAsia="宋体" w:cs="Times New Roman"/>
              </w:rPr>
            </w:pPr>
          </w:p>
        </w:tc>
      </w:tr>
      <w:tr w14:paraId="679176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1A3F4055">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基础挖填工程</w:t>
            </w:r>
          </w:p>
        </w:tc>
        <w:tc>
          <w:tcPr>
            <w:tcW w:w="532" w:type="dxa"/>
            <w:tcBorders>
              <w:tl2br w:val="nil"/>
              <w:tr2bl w:val="nil"/>
            </w:tcBorders>
            <w:shd w:val="clear" w:color="auto" w:fill="auto"/>
            <w:noWrap/>
            <w:tcMar>
              <w:top w:w="0" w:type="dxa"/>
              <w:left w:w="0" w:type="dxa"/>
              <w:bottom w:w="0" w:type="dxa"/>
              <w:right w:w="0" w:type="dxa"/>
            </w:tcMar>
            <w:vAlign w:val="center"/>
          </w:tcPr>
          <w:p w14:paraId="55322704">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7B450783">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6941E391">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0D9CE94B">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61497133">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0593E478">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16667F02">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478820EA">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auto"/>
            <w:noWrap/>
            <w:tcMar>
              <w:top w:w="0" w:type="dxa"/>
              <w:left w:w="0" w:type="dxa"/>
              <w:bottom w:w="0" w:type="dxa"/>
              <w:right w:w="0" w:type="dxa"/>
            </w:tcMar>
            <w:vAlign w:val="center"/>
          </w:tcPr>
          <w:p w14:paraId="25B8EEE9">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5DE56403">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auto"/>
            <w:noWrap/>
            <w:tcMar>
              <w:top w:w="0" w:type="dxa"/>
              <w:left w:w="0" w:type="dxa"/>
              <w:bottom w:w="0" w:type="dxa"/>
              <w:right w:w="0" w:type="dxa"/>
            </w:tcMar>
            <w:vAlign w:val="center"/>
          </w:tcPr>
          <w:p w14:paraId="1143B484">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auto"/>
            <w:noWrap/>
            <w:tcMar>
              <w:top w:w="0" w:type="dxa"/>
              <w:left w:w="0" w:type="dxa"/>
              <w:bottom w:w="0" w:type="dxa"/>
              <w:right w:w="0" w:type="dxa"/>
            </w:tcMar>
            <w:vAlign w:val="center"/>
          </w:tcPr>
          <w:p w14:paraId="507ADB3E">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auto"/>
            <w:noWrap/>
            <w:tcMar>
              <w:top w:w="0" w:type="dxa"/>
              <w:left w:w="0" w:type="dxa"/>
              <w:bottom w:w="0" w:type="dxa"/>
              <w:right w:w="0" w:type="dxa"/>
            </w:tcMar>
            <w:vAlign w:val="center"/>
          </w:tcPr>
          <w:p w14:paraId="27530689">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tcPr>
          <w:p w14:paraId="6256D13A">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tcPr>
          <w:p w14:paraId="7525F280">
            <w:pPr>
              <w:adjustRightInd w:val="0"/>
              <w:snapToGrid w:val="0"/>
              <w:spacing w:line="240" w:lineRule="auto"/>
              <w:ind w:firstLine="0" w:firstLineChars="0"/>
              <w:rPr>
                <w:rFonts w:hint="default" w:ascii="Times New Roman" w:hAnsi="Times New Roman" w:eastAsia="宋体" w:cs="Times New Roman"/>
              </w:rPr>
            </w:pPr>
          </w:p>
        </w:tc>
      </w:tr>
      <w:tr w14:paraId="710F3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139DB425">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建构筑物建设</w:t>
            </w:r>
          </w:p>
        </w:tc>
        <w:tc>
          <w:tcPr>
            <w:tcW w:w="532" w:type="dxa"/>
            <w:tcBorders>
              <w:tl2br w:val="nil"/>
              <w:tr2bl w:val="nil"/>
            </w:tcBorders>
            <w:shd w:val="clear" w:color="auto" w:fill="auto"/>
            <w:noWrap/>
            <w:tcMar>
              <w:top w:w="0" w:type="dxa"/>
              <w:left w:w="0" w:type="dxa"/>
              <w:bottom w:w="0" w:type="dxa"/>
              <w:right w:w="0" w:type="dxa"/>
            </w:tcMar>
            <w:vAlign w:val="center"/>
          </w:tcPr>
          <w:p w14:paraId="3418239C">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1D6C9610">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77D12B35">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454F543E">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12B6B926">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153CE40C">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0F52BDB6">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0457D8F3">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FFFF00"/>
            <w:noWrap/>
            <w:tcMar>
              <w:top w:w="0" w:type="dxa"/>
              <w:left w:w="0" w:type="dxa"/>
              <w:bottom w:w="0" w:type="dxa"/>
              <w:right w:w="0" w:type="dxa"/>
            </w:tcMar>
            <w:vAlign w:val="center"/>
          </w:tcPr>
          <w:p w14:paraId="126BC2C8">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FFFF00"/>
            <w:noWrap/>
            <w:tcMar>
              <w:top w:w="0" w:type="dxa"/>
              <w:left w:w="0" w:type="dxa"/>
              <w:bottom w:w="0" w:type="dxa"/>
              <w:right w:w="0" w:type="dxa"/>
            </w:tcMar>
            <w:vAlign w:val="center"/>
          </w:tcPr>
          <w:p w14:paraId="4B8AF16F">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FFFF00"/>
            <w:noWrap/>
            <w:tcMar>
              <w:top w:w="0" w:type="dxa"/>
              <w:left w:w="0" w:type="dxa"/>
              <w:bottom w:w="0" w:type="dxa"/>
              <w:right w:w="0" w:type="dxa"/>
            </w:tcMar>
            <w:vAlign w:val="center"/>
          </w:tcPr>
          <w:p w14:paraId="491FC589">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FFFF00"/>
            <w:noWrap/>
            <w:tcMar>
              <w:top w:w="0" w:type="dxa"/>
              <w:left w:w="0" w:type="dxa"/>
              <w:bottom w:w="0" w:type="dxa"/>
              <w:right w:w="0" w:type="dxa"/>
            </w:tcMar>
            <w:vAlign w:val="center"/>
          </w:tcPr>
          <w:p w14:paraId="30D6C4BF">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auto"/>
            <w:noWrap/>
            <w:tcMar>
              <w:top w:w="0" w:type="dxa"/>
              <w:left w:w="0" w:type="dxa"/>
              <w:bottom w:w="0" w:type="dxa"/>
              <w:right w:w="0" w:type="dxa"/>
            </w:tcMar>
            <w:vAlign w:val="center"/>
          </w:tcPr>
          <w:p w14:paraId="6C69CAC8">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tcPr>
          <w:p w14:paraId="396ABAFB">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tcPr>
          <w:p w14:paraId="7F0FFE36">
            <w:pPr>
              <w:adjustRightInd w:val="0"/>
              <w:snapToGrid w:val="0"/>
              <w:spacing w:line="240" w:lineRule="auto"/>
              <w:ind w:firstLine="0" w:firstLineChars="0"/>
              <w:rPr>
                <w:rFonts w:hint="default" w:ascii="Times New Roman" w:hAnsi="Times New Roman" w:eastAsia="宋体" w:cs="Times New Roman"/>
              </w:rPr>
            </w:pPr>
          </w:p>
        </w:tc>
      </w:tr>
      <w:tr w14:paraId="3560D7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3F2069D3">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eastAsia" w:cs="Times New Roman"/>
                <w:kern w:val="0"/>
                <w:sz w:val="21"/>
                <w:szCs w:val="21"/>
                <w:lang w:val="en-US" w:eastAsia="zh-CN" w:bidi="ar"/>
              </w:rPr>
              <w:t>道路、</w:t>
            </w:r>
            <w:r>
              <w:rPr>
                <w:rFonts w:hint="default" w:ascii="Times New Roman" w:hAnsi="Times New Roman" w:cs="Times New Roman"/>
                <w:kern w:val="0"/>
                <w:sz w:val="21"/>
                <w:szCs w:val="21"/>
                <w:lang w:val="en-US" w:eastAsia="zh-CN" w:bidi="ar"/>
              </w:rPr>
              <w:t>硬化、</w:t>
            </w:r>
            <w:r>
              <w:rPr>
                <w:rFonts w:hint="default" w:ascii="Times New Roman" w:hAnsi="Times New Roman" w:cs="Times New Roman"/>
                <w:kern w:val="0"/>
                <w:sz w:val="21"/>
                <w:szCs w:val="21"/>
                <w:lang w:bidi="ar"/>
              </w:rPr>
              <w:t>排水</w:t>
            </w:r>
          </w:p>
        </w:tc>
        <w:tc>
          <w:tcPr>
            <w:tcW w:w="532" w:type="dxa"/>
            <w:tcBorders>
              <w:tl2br w:val="nil"/>
              <w:tr2bl w:val="nil"/>
            </w:tcBorders>
            <w:shd w:val="clear" w:color="auto" w:fill="auto"/>
            <w:noWrap/>
            <w:tcMar>
              <w:top w:w="0" w:type="dxa"/>
              <w:left w:w="0" w:type="dxa"/>
              <w:bottom w:w="0" w:type="dxa"/>
              <w:right w:w="0" w:type="dxa"/>
            </w:tcMar>
            <w:vAlign w:val="center"/>
          </w:tcPr>
          <w:p w14:paraId="3F2C0FDE">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7851D045">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4EBDA6B5">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F37028E">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4D796780">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46793C4D">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04CB84FA">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FFFF00"/>
            <w:noWrap/>
            <w:tcMar>
              <w:top w:w="0" w:type="dxa"/>
              <w:left w:w="0" w:type="dxa"/>
              <w:bottom w:w="0" w:type="dxa"/>
              <w:right w:w="0" w:type="dxa"/>
            </w:tcMar>
            <w:vAlign w:val="center"/>
          </w:tcPr>
          <w:p w14:paraId="33F9806F">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FFFF00"/>
            <w:noWrap/>
            <w:tcMar>
              <w:top w:w="0" w:type="dxa"/>
              <w:left w:w="0" w:type="dxa"/>
              <w:bottom w:w="0" w:type="dxa"/>
              <w:right w:w="0" w:type="dxa"/>
            </w:tcMar>
            <w:vAlign w:val="center"/>
          </w:tcPr>
          <w:p w14:paraId="238F6C8C">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FFFF00"/>
            <w:noWrap/>
            <w:tcMar>
              <w:top w:w="0" w:type="dxa"/>
              <w:left w:w="0" w:type="dxa"/>
              <w:bottom w:w="0" w:type="dxa"/>
              <w:right w:w="0" w:type="dxa"/>
            </w:tcMar>
            <w:vAlign w:val="center"/>
          </w:tcPr>
          <w:p w14:paraId="099C610F">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FFFF00"/>
            <w:noWrap/>
            <w:tcMar>
              <w:top w:w="0" w:type="dxa"/>
              <w:left w:w="0" w:type="dxa"/>
              <w:bottom w:w="0" w:type="dxa"/>
              <w:right w:w="0" w:type="dxa"/>
            </w:tcMar>
            <w:vAlign w:val="center"/>
          </w:tcPr>
          <w:p w14:paraId="4A89497E">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FFFF00"/>
            <w:noWrap/>
            <w:tcMar>
              <w:top w:w="0" w:type="dxa"/>
              <w:left w:w="0" w:type="dxa"/>
              <w:bottom w:w="0" w:type="dxa"/>
              <w:right w:w="0" w:type="dxa"/>
            </w:tcMar>
            <w:vAlign w:val="center"/>
          </w:tcPr>
          <w:p w14:paraId="6E7037C8">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FFFF00"/>
            <w:noWrap/>
            <w:tcMar>
              <w:top w:w="0" w:type="dxa"/>
              <w:left w:w="0" w:type="dxa"/>
              <w:bottom w:w="0" w:type="dxa"/>
              <w:right w:w="0" w:type="dxa"/>
            </w:tcMar>
            <w:vAlign w:val="center"/>
          </w:tcPr>
          <w:p w14:paraId="34AC7B1F">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shd w:val="clear" w:color="auto" w:fill="FFFF00"/>
          </w:tcPr>
          <w:p w14:paraId="7BB65157">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shd w:val="clear" w:color="auto" w:fill="auto"/>
          </w:tcPr>
          <w:p w14:paraId="23285C6F">
            <w:pPr>
              <w:adjustRightInd w:val="0"/>
              <w:snapToGrid w:val="0"/>
              <w:spacing w:line="240" w:lineRule="auto"/>
              <w:ind w:firstLine="0" w:firstLineChars="0"/>
              <w:rPr>
                <w:rFonts w:hint="default" w:ascii="Times New Roman" w:hAnsi="Times New Roman" w:eastAsia="宋体" w:cs="Times New Roman"/>
              </w:rPr>
            </w:pPr>
          </w:p>
        </w:tc>
      </w:tr>
      <w:tr w14:paraId="28055F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0331E3E4">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绿化</w:t>
            </w:r>
          </w:p>
        </w:tc>
        <w:tc>
          <w:tcPr>
            <w:tcW w:w="532" w:type="dxa"/>
            <w:tcBorders>
              <w:tl2br w:val="nil"/>
              <w:tr2bl w:val="nil"/>
            </w:tcBorders>
            <w:shd w:val="clear" w:color="auto" w:fill="auto"/>
            <w:noWrap/>
            <w:tcMar>
              <w:top w:w="0" w:type="dxa"/>
              <w:left w:w="0" w:type="dxa"/>
              <w:bottom w:w="0" w:type="dxa"/>
              <w:right w:w="0" w:type="dxa"/>
            </w:tcMar>
            <w:vAlign w:val="center"/>
          </w:tcPr>
          <w:p w14:paraId="7D48AC8A">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7761A4EE">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21AA4901">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1182D039">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2441E9D5">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6F4EE8B1">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200A13D5">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3BCAE787">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auto"/>
            <w:noWrap/>
            <w:tcMar>
              <w:top w:w="0" w:type="dxa"/>
              <w:left w:w="0" w:type="dxa"/>
              <w:bottom w:w="0" w:type="dxa"/>
              <w:right w:w="0" w:type="dxa"/>
            </w:tcMar>
            <w:vAlign w:val="center"/>
          </w:tcPr>
          <w:p w14:paraId="1CB14CF0">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78265EE7">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auto"/>
            <w:noWrap/>
            <w:tcMar>
              <w:top w:w="0" w:type="dxa"/>
              <w:left w:w="0" w:type="dxa"/>
              <w:bottom w:w="0" w:type="dxa"/>
              <w:right w:w="0" w:type="dxa"/>
            </w:tcMar>
            <w:vAlign w:val="center"/>
          </w:tcPr>
          <w:p w14:paraId="6425E791">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auto"/>
            <w:noWrap/>
            <w:tcMar>
              <w:top w:w="0" w:type="dxa"/>
              <w:left w:w="0" w:type="dxa"/>
              <w:bottom w:w="0" w:type="dxa"/>
              <w:right w:w="0" w:type="dxa"/>
            </w:tcMar>
            <w:vAlign w:val="center"/>
          </w:tcPr>
          <w:p w14:paraId="64243E5E">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FFFF00"/>
            <w:noWrap/>
            <w:tcMar>
              <w:top w:w="0" w:type="dxa"/>
              <w:left w:w="0" w:type="dxa"/>
              <w:bottom w:w="0" w:type="dxa"/>
              <w:right w:w="0" w:type="dxa"/>
            </w:tcMar>
            <w:vAlign w:val="center"/>
          </w:tcPr>
          <w:p w14:paraId="24475167">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shd w:val="clear" w:color="auto" w:fill="FFFF00"/>
          </w:tcPr>
          <w:p w14:paraId="475C44A8">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shd w:val="clear" w:color="auto" w:fill="FFFF00"/>
          </w:tcPr>
          <w:p w14:paraId="205CA65D">
            <w:pPr>
              <w:adjustRightInd w:val="0"/>
              <w:snapToGrid w:val="0"/>
              <w:spacing w:line="240" w:lineRule="auto"/>
              <w:ind w:firstLine="0" w:firstLineChars="0"/>
              <w:rPr>
                <w:rFonts w:hint="default" w:ascii="Times New Roman" w:hAnsi="Times New Roman" w:eastAsia="宋体" w:cs="Times New Roman"/>
              </w:rPr>
            </w:pPr>
          </w:p>
        </w:tc>
      </w:tr>
      <w:tr w14:paraId="25E00E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3F1EED97">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设备安装</w:t>
            </w:r>
          </w:p>
        </w:tc>
        <w:tc>
          <w:tcPr>
            <w:tcW w:w="532" w:type="dxa"/>
            <w:tcBorders>
              <w:tl2br w:val="nil"/>
              <w:tr2bl w:val="nil"/>
            </w:tcBorders>
            <w:shd w:val="clear" w:color="auto" w:fill="auto"/>
            <w:noWrap/>
            <w:tcMar>
              <w:top w:w="0" w:type="dxa"/>
              <w:left w:w="0" w:type="dxa"/>
              <w:bottom w:w="0" w:type="dxa"/>
              <w:right w:w="0" w:type="dxa"/>
            </w:tcMar>
            <w:vAlign w:val="center"/>
          </w:tcPr>
          <w:p w14:paraId="14F057DA">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3001E821">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3DC29BF7">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6865DCF2">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2B80E5BC">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2B953B4">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5F13CE47">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1B202C57">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auto"/>
            <w:noWrap/>
            <w:tcMar>
              <w:top w:w="0" w:type="dxa"/>
              <w:left w:w="0" w:type="dxa"/>
              <w:bottom w:w="0" w:type="dxa"/>
              <w:right w:w="0" w:type="dxa"/>
            </w:tcMar>
            <w:vAlign w:val="center"/>
          </w:tcPr>
          <w:p w14:paraId="704B1892">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18C044B1">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auto"/>
            <w:noWrap/>
            <w:tcMar>
              <w:top w:w="0" w:type="dxa"/>
              <w:left w:w="0" w:type="dxa"/>
              <w:bottom w:w="0" w:type="dxa"/>
              <w:right w:w="0" w:type="dxa"/>
            </w:tcMar>
            <w:vAlign w:val="center"/>
          </w:tcPr>
          <w:p w14:paraId="2EF575F9">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FFFF00"/>
            <w:noWrap/>
            <w:tcMar>
              <w:top w:w="0" w:type="dxa"/>
              <w:left w:w="0" w:type="dxa"/>
              <w:bottom w:w="0" w:type="dxa"/>
              <w:right w:w="0" w:type="dxa"/>
            </w:tcMar>
            <w:vAlign w:val="center"/>
          </w:tcPr>
          <w:p w14:paraId="1EF8F01D">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FFFF00"/>
            <w:noWrap/>
            <w:tcMar>
              <w:top w:w="0" w:type="dxa"/>
              <w:left w:w="0" w:type="dxa"/>
              <w:bottom w:w="0" w:type="dxa"/>
              <w:right w:w="0" w:type="dxa"/>
            </w:tcMar>
            <w:vAlign w:val="center"/>
          </w:tcPr>
          <w:p w14:paraId="2BFC06B1">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tcPr>
          <w:p w14:paraId="2D0B5C29">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tcPr>
          <w:p w14:paraId="05FE769E">
            <w:pPr>
              <w:adjustRightInd w:val="0"/>
              <w:snapToGrid w:val="0"/>
              <w:spacing w:line="240" w:lineRule="auto"/>
              <w:ind w:firstLine="0" w:firstLineChars="0"/>
              <w:rPr>
                <w:rFonts w:hint="default" w:ascii="Times New Roman" w:hAnsi="Times New Roman" w:eastAsia="宋体" w:cs="Times New Roman"/>
              </w:rPr>
            </w:pPr>
          </w:p>
        </w:tc>
      </w:tr>
      <w:tr w14:paraId="10370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76C6CB9E">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配套设施</w:t>
            </w:r>
          </w:p>
        </w:tc>
        <w:tc>
          <w:tcPr>
            <w:tcW w:w="532" w:type="dxa"/>
            <w:tcBorders>
              <w:tl2br w:val="nil"/>
              <w:tr2bl w:val="nil"/>
            </w:tcBorders>
            <w:shd w:val="clear" w:color="auto" w:fill="auto"/>
            <w:noWrap/>
            <w:tcMar>
              <w:top w:w="0" w:type="dxa"/>
              <w:left w:w="0" w:type="dxa"/>
              <w:bottom w:w="0" w:type="dxa"/>
              <w:right w:w="0" w:type="dxa"/>
            </w:tcMar>
            <w:vAlign w:val="center"/>
          </w:tcPr>
          <w:p w14:paraId="75280E82">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1F458BC8">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497B33ED">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63D6FA6">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526CD1BB">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1829DD9A">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2A868C41">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3AD7B363">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auto"/>
            <w:noWrap/>
            <w:tcMar>
              <w:top w:w="0" w:type="dxa"/>
              <w:left w:w="0" w:type="dxa"/>
              <w:bottom w:w="0" w:type="dxa"/>
              <w:right w:w="0" w:type="dxa"/>
            </w:tcMar>
            <w:vAlign w:val="center"/>
          </w:tcPr>
          <w:p w14:paraId="5C5BC6EC">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76AB09A5">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auto"/>
            <w:noWrap/>
            <w:tcMar>
              <w:top w:w="0" w:type="dxa"/>
              <w:left w:w="0" w:type="dxa"/>
              <w:bottom w:w="0" w:type="dxa"/>
              <w:right w:w="0" w:type="dxa"/>
            </w:tcMar>
            <w:vAlign w:val="center"/>
          </w:tcPr>
          <w:p w14:paraId="212E500B">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FFFF00"/>
            <w:noWrap/>
            <w:tcMar>
              <w:top w:w="0" w:type="dxa"/>
              <w:left w:w="0" w:type="dxa"/>
              <w:bottom w:w="0" w:type="dxa"/>
              <w:right w:w="0" w:type="dxa"/>
            </w:tcMar>
            <w:vAlign w:val="center"/>
          </w:tcPr>
          <w:p w14:paraId="213327B7">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FFFF00"/>
            <w:noWrap/>
            <w:tcMar>
              <w:top w:w="0" w:type="dxa"/>
              <w:left w:w="0" w:type="dxa"/>
              <w:bottom w:w="0" w:type="dxa"/>
              <w:right w:w="0" w:type="dxa"/>
            </w:tcMar>
            <w:vAlign w:val="center"/>
          </w:tcPr>
          <w:p w14:paraId="46599359">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tcPr>
          <w:p w14:paraId="4A254480">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tcPr>
          <w:p w14:paraId="29DE79DE">
            <w:pPr>
              <w:adjustRightInd w:val="0"/>
              <w:snapToGrid w:val="0"/>
              <w:spacing w:line="240" w:lineRule="auto"/>
              <w:ind w:firstLine="0" w:firstLineChars="0"/>
              <w:rPr>
                <w:rFonts w:hint="default" w:ascii="Times New Roman" w:hAnsi="Times New Roman" w:eastAsia="宋体" w:cs="Times New Roman"/>
              </w:rPr>
            </w:pPr>
          </w:p>
        </w:tc>
      </w:tr>
      <w:tr w14:paraId="007A9D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097" w:type="dxa"/>
            <w:tcBorders>
              <w:tl2br w:val="nil"/>
              <w:tr2bl w:val="nil"/>
            </w:tcBorders>
            <w:shd w:val="clear" w:color="auto" w:fill="auto"/>
            <w:tcMar>
              <w:top w:w="0" w:type="dxa"/>
              <w:left w:w="0" w:type="dxa"/>
              <w:bottom w:w="0" w:type="dxa"/>
              <w:right w:w="0" w:type="dxa"/>
            </w:tcMar>
            <w:vAlign w:val="center"/>
          </w:tcPr>
          <w:p w14:paraId="2FBA5184">
            <w:pPr>
              <w:adjustRightInd w:val="0"/>
              <w:snapToGrid w:val="0"/>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验收</w:t>
            </w:r>
          </w:p>
        </w:tc>
        <w:tc>
          <w:tcPr>
            <w:tcW w:w="532" w:type="dxa"/>
            <w:tcBorders>
              <w:tl2br w:val="nil"/>
              <w:tr2bl w:val="nil"/>
            </w:tcBorders>
            <w:shd w:val="clear" w:color="auto" w:fill="auto"/>
            <w:noWrap/>
            <w:tcMar>
              <w:top w:w="0" w:type="dxa"/>
              <w:left w:w="0" w:type="dxa"/>
              <w:bottom w:w="0" w:type="dxa"/>
              <w:right w:w="0" w:type="dxa"/>
            </w:tcMar>
            <w:vAlign w:val="center"/>
          </w:tcPr>
          <w:p w14:paraId="6E91D0A9">
            <w:pPr>
              <w:adjustRightInd w:val="0"/>
              <w:snapToGrid w:val="0"/>
              <w:spacing w:line="240" w:lineRule="auto"/>
              <w:ind w:firstLine="0" w:firstLineChars="0"/>
              <w:rPr>
                <w:rFonts w:hint="default" w:ascii="Times New Roman" w:hAnsi="Times New Roman" w:eastAsia="宋体" w:cs="Times New Roman"/>
              </w:rPr>
            </w:pPr>
          </w:p>
        </w:tc>
        <w:tc>
          <w:tcPr>
            <w:tcW w:w="536" w:type="dxa"/>
            <w:tcBorders>
              <w:tl2br w:val="nil"/>
              <w:tr2bl w:val="nil"/>
            </w:tcBorders>
            <w:shd w:val="clear" w:color="auto" w:fill="auto"/>
            <w:noWrap/>
            <w:tcMar>
              <w:top w:w="0" w:type="dxa"/>
              <w:left w:w="0" w:type="dxa"/>
              <w:bottom w:w="0" w:type="dxa"/>
              <w:right w:w="0" w:type="dxa"/>
            </w:tcMar>
            <w:vAlign w:val="center"/>
          </w:tcPr>
          <w:p w14:paraId="750005E7">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3AE20E4F">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0DDB2E5">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47431E38">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2933EC05">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17C88203">
            <w:pPr>
              <w:adjustRightInd w:val="0"/>
              <w:snapToGrid w:val="0"/>
              <w:spacing w:line="240" w:lineRule="auto"/>
              <w:ind w:firstLine="0" w:firstLineChars="0"/>
              <w:rPr>
                <w:rFonts w:hint="default" w:ascii="Times New Roman" w:hAnsi="Times New Roman" w:eastAsia="宋体" w:cs="Times New Roman"/>
              </w:rPr>
            </w:pPr>
          </w:p>
        </w:tc>
        <w:tc>
          <w:tcPr>
            <w:tcW w:w="541" w:type="dxa"/>
            <w:tcBorders>
              <w:tl2br w:val="nil"/>
              <w:tr2bl w:val="nil"/>
            </w:tcBorders>
            <w:shd w:val="clear" w:color="auto" w:fill="auto"/>
            <w:noWrap/>
            <w:tcMar>
              <w:top w:w="0" w:type="dxa"/>
              <w:left w:w="0" w:type="dxa"/>
              <w:bottom w:w="0" w:type="dxa"/>
              <w:right w:w="0" w:type="dxa"/>
            </w:tcMar>
            <w:vAlign w:val="center"/>
          </w:tcPr>
          <w:p w14:paraId="799F0387">
            <w:pPr>
              <w:adjustRightInd w:val="0"/>
              <w:snapToGrid w:val="0"/>
              <w:spacing w:line="240" w:lineRule="auto"/>
              <w:ind w:firstLine="0" w:firstLineChars="0"/>
              <w:rPr>
                <w:rFonts w:hint="default" w:ascii="Times New Roman" w:hAnsi="Times New Roman" w:eastAsia="宋体" w:cs="Times New Roman"/>
              </w:rPr>
            </w:pPr>
          </w:p>
        </w:tc>
        <w:tc>
          <w:tcPr>
            <w:tcW w:w="595" w:type="dxa"/>
            <w:tcBorders>
              <w:tl2br w:val="nil"/>
              <w:tr2bl w:val="nil"/>
            </w:tcBorders>
            <w:shd w:val="clear" w:color="auto" w:fill="auto"/>
            <w:noWrap/>
            <w:tcMar>
              <w:top w:w="0" w:type="dxa"/>
              <w:left w:w="0" w:type="dxa"/>
              <w:bottom w:w="0" w:type="dxa"/>
              <w:right w:w="0" w:type="dxa"/>
            </w:tcMar>
            <w:vAlign w:val="center"/>
          </w:tcPr>
          <w:p w14:paraId="1D5B40FB">
            <w:pPr>
              <w:adjustRightInd w:val="0"/>
              <w:snapToGrid w:val="0"/>
              <w:spacing w:line="240" w:lineRule="auto"/>
              <w:ind w:firstLine="0" w:firstLineChars="0"/>
              <w:rPr>
                <w:rFonts w:hint="default" w:ascii="Times New Roman" w:hAnsi="Times New Roman" w:eastAsia="宋体" w:cs="Times New Roman"/>
              </w:rPr>
            </w:pPr>
          </w:p>
        </w:tc>
        <w:tc>
          <w:tcPr>
            <w:tcW w:w="569" w:type="dxa"/>
            <w:tcBorders>
              <w:tl2br w:val="nil"/>
              <w:tr2bl w:val="nil"/>
            </w:tcBorders>
            <w:shd w:val="clear" w:color="auto" w:fill="auto"/>
            <w:noWrap/>
            <w:tcMar>
              <w:top w:w="0" w:type="dxa"/>
              <w:left w:w="0" w:type="dxa"/>
              <w:bottom w:w="0" w:type="dxa"/>
              <w:right w:w="0" w:type="dxa"/>
            </w:tcMar>
            <w:vAlign w:val="center"/>
          </w:tcPr>
          <w:p w14:paraId="75585AB8">
            <w:pPr>
              <w:adjustRightInd w:val="0"/>
              <w:snapToGrid w:val="0"/>
              <w:spacing w:line="240" w:lineRule="auto"/>
              <w:ind w:firstLine="0" w:firstLineChars="0"/>
              <w:rPr>
                <w:rFonts w:hint="default" w:ascii="Times New Roman" w:hAnsi="Times New Roman" w:eastAsia="宋体" w:cs="Times New Roman"/>
              </w:rPr>
            </w:pPr>
          </w:p>
        </w:tc>
        <w:tc>
          <w:tcPr>
            <w:tcW w:w="385" w:type="dxa"/>
            <w:tcBorders>
              <w:tl2br w:val="nil"/>
              <w:tr2bl w:val="nil"/>
            </w:tcBorders>
            <w:shd w:val="clear" w:color="auto" w:fill="auto"/>
            <w:noWrap/>
            <w:tcMar>
              <w:top w:w="0" w:type="dxa"/>
              <w:left w:w="0" w:type="dxa"/>
              <w:bottom w:w="0" w:type="dxa"/>
              <w:right w:w="0" w:type="dxa"/>
            </w:tcMar>
            <w:vAlign w:val="center"/>
          </w:tcPr>
          <w:p w14:paraId="109C5B24">
            <w:pPr>
              <w:adjustRightInd w:val="0"/>
              <w:snapToGrid w:val="0"/>
              <w:spacing w:line="240" w:lineRule="auto"/>
              <w:ind w:firstLine="0" w:firstLineChars="0"/>
              <w:rPr>
                <w:rFonts w:hint="default" w:ascii="Times New Roman" w:hAnsi="Times New Roman" w:eastAsia="宋体" w:cs="Times New Roman"/>
              </w:rPr>
            </w:pPr>
          </w:p>
        </w:tc>
        <w:tc>
          <w:tcPr>
            <w:tcW w:w="373" w:type="dxa"/>
            <w:tcBorders>
              <w:tl2br w:val="nil"/>
              <w:tr2bl w:val="nil"/>
            </w:tcBorders>
            <w:shd w:val="clear" w:color="auto" w:fill="auto"/>
            <w:noWrap/>
            <w:tcMar>
              <w:top w:w="0" w:type="dxa"/>
              <w:left w:w="0" w:type="dxa"/>
              <w:bottom w:w="0" w:type="dxa"/>
              <w:right w:w="0" w:type="dxa"/>
            </w:tcMar>
            <w:vAlign w:val="center"/>
          </w:tcPr>
          <w:p w14:paraId="774DE8B2">
            <w:pPr>
              <w:adjustRightInd w:val="0"/>
              <w:snapToGrid w:val="0"/>
              <w:spacing w:line="240" w:lineRule="auto"/>
              <w:ind w:firstLine="0" w:firstLineChars="0"/>
              <w:rPr>
                <w:rFonts w:hint="default" w:ascii="Times New Roman" w:hAnsi="Times New Roman" w:eastAsia="宋体" w:cs="Times New Roman"/>
              </w:rPr>
            </w:pPr>
          </w:p>
        </w:tc>
        <w:tc>
          <w:tcPr>
            <w:tcW w:w="293" w:type="dxa"/>
            <w:tcBorders>
              <w:tl2br w:val="nil"/>
              <w:tr2bl w:val="nil"/>
            </w:tcBorders>
            <w:shd w:val="clear" w:color="auto" w:fill="auto"/>
            <w:noWrap/>
            <w:tcMar>
              <w:top w:w="0" w:type="dxa"/>
              <w:left w:w="0" w:type="dxa"/>
              <w:bottom w:w="0" w:type="dxa"/>
              <w:right w:w="0" w:type="dxa"/>
            </w:tcMar>
            <w:vAlign w:val="center"/>
          </w:tcPr>
          <w:p w14:paraId="4FF09EA2">
            <w:pPr>
              <w:adjustRightInd w:val="0"/>
              <w:snapToGrid w:val="0"/>
              <w:spacing w:line="240" w:lineRule="auto"/>
              <w:ind w:firstLine="0" w:firstLineChars="0"/>
              <w:rPr>
                <w:rFonts w:hint="default" w:ascii="Times New Roman" w:hAnsi="Times New Roman" w:eastAsia="宋体" w:cs="Times New Roman"/>
              </w:rPr>
            </w:pPr>
          </w:p>
        </w:tc>
        <w:tc>
          <w:tcPr>
            <w:tcW w:w="321" w:type="dxa"/>
            <w:tcBorders>
              <w:tl2br w:val="nil"/>
              <w:tr2bl w:val="nil"/>
            </w:tcBorders>
            <w:shd w:val="clear" w:color="auto" w:fill="FFFF00"/>
          </w:tcPr>
          <w:p w14:paraId="2F2A1E47">
            <w:pPr>
              <w:adjustRightInd w:val="0"/>
              <w:snapToGrid w:val="0"/>
              <w:spacing w:line="240" w:lineRule="auto"/>
              <w:ind w:firstLine="0" w:firstLineChars="0"/>
              <w:rPr>
                <w:rFonts w:hint="default" w:ascii="Times New Roman" w:hAnsi="Times New Roman" w:eastAsia="宋体" w:cs="Times New Roman"/>
              </w:rPr>
            </w:pPr>
          </w:p>
        </w:tc>
        <w:tc>
          <w:tcPr>
            <w:tcW w:w="407" w:type="dxa"/>
            <w:tcBorders>
              <w:tl2br w:val="nil"/>
              <w:tr2bl w:val="nil"/>
            </w:tcBorders>
            <w:shd w:val="clear" w:color="auto" w:fill="FFFF00"/>
          </w:tcPr>
          <w:p w14:paraId="60B1C007">
            <w:pPr>
              <w:adjustRightInd w:val="0"/>
              <w:snapToGrid w:val="0"/>
              <w:spacing w:line="240" w:lineRule="auto"/>
              <w:ind w:firstLine="0" w:firstLineChars="0"/>
              <w:rPr>
                <w:rFonts w:hint="default" w:ascii="Times New Roman" w:hAnsi="Times New Roman" w:eastAsia="宋体" w:cs="Times New Roman"/>
              </w:rPr>
            </w:pPr>
          </w:p>
        </w:tc>
      </w:tr>
    </w:tbl>
    <w:p w14:paraId="4BE231E0">
      <w:pPr>
        <w:pStyle w:val="3"/>
        <w:rPr>
          <w:rFonts w:hint="default" w:ascii="Times New Roman" w:hAnsi="Times New Roman" w:cs="Times New Roman"/>
          <w:lang w:bidi="ar"/>
        </w:rPr>
      </w:pPr>
      <w:bookmarkStart w:id="42" w:name="_Toc165223570"/>
      <w:r>
        <w:rPr>
          <w:rFonts w:hint="default" w:ascii="Times New Roman" w:hAnsi="Times New Roman" w:cs="Times New Roman"/>
          <w:lang w:bidi="ar"/>
        </w:rPr>
        <w:t>自然概况</w:t>
      </w:r>
      <w:bookmarkEnd w:id="42"/>
    </w:p>
    <w:p w14:paraId="360E3834">
      <w:pPr>
        <w:pStyle w:val="4"/>
        <w:rPr>
          <w:rFonts w:hint="default" w:ascii="Times New Roman" w:hAnsi="Times New Roman" w:cs="Times New Roman"/>
          <w:lang w:bidi="ar"/>
        </w:rPr>
      </w:pPr>
      <w:r>
        <w:rPr>
          <w:rFonts w:hint="default" w:ascii="Times New Roman" w:hAnsi="Times New Roman" w:cs="Times New Roman"/>
          <w:lang w:bidi="ar"/>
        </w:rPr>
        <w:t>地貌</w:t>
      </w:r>
    </w:p>
    <w:p w14:paraId="20AC1188">
      <w:pPr>
        <w:pStyle w:val="70"/>
        <w:ind w:left="-60" w:right="-60" w:firstLine="496"/>
        <w:rPr>
          <w:rFonts w:hint="default" w:ascii="Times New Roman" w:hAnsi="Times New Roman" w:cs="Times New Roman"/>
        </w:rPr>
      </w:pPr>
      <w:r>
        <w:rPr>
          <w:rFonts w:hint="default" w:ascii="Times New Roman" w:hAnsi="Times New Roman" w:cs="Times New Roman"/>
        </w:rPr>
        <w:t>会泽县属山麓斜坡堆积地貌，全县地处滇东高原与黔西高原结合部，位于乌蒙山系主峰地段，地势南高北低，呈阶梯状下降，境内最高海拔4017.3m，最低海拔695m，相对高差3322.3m。会泽地处滇东北高原，乌蒙山主峰地段，山高谷深、沟壑纵横、山川相间排列，山区、河谷条块分布。全县地势西高东低，南起北伏，由西向东呈阶梯状递减。全县最高峰大海梁子牯牛寨，海拔4017m，为曲靖市最高峰。最低处为小江与金沙江交汇处，海拔695m，会泽的地貌景观主要有三种类型：以山地地貌为主，次为盆地地貌，部分为冰川地貌。县境内有大小山岭300余道。大海梁子、老乌青山、老箐营山、田坝梁子和马路梁子5狭长高大的山岭，构成会泽山地的基本骨架，成为小江、牛栏江、以礼河、硝厂河等河流的分水岭。</w:t>
      </w:r>
    </w:p>
    <w:p w14:paraId="2869496B">
      <w:pPr>
        <w:spacing w:line="500" w:lineRule="exact"/>
        <w:ind w:firstLine="480"/>
        <w:rPr>
          <w:rFonts w:hint="default" w:ascii="Times New Roman" w:hAnsi="Times New Roman" w:cs="Times New Roman"/>
        </w:rPr>
      </w:pPr>
      <w:r>
        <w:rPr>
          <w:rFonts w:hint="default" w:ascii="Times New Roman" w:hAnsi="Times New Roman" w:cs="Times New Roman"/>
        </w:rPr>
        <w:t>项目区位于会泽县</w:t>
      </w:r>
      <w:r>
        <w:rPr>
          <w:rFonts w:hint="eastAsia" w:cs="Times New Roman"/>
          <w:lang w:val="en-US" w:eastAsia="zh-CN"/>
        </w:rPr>
        <w:t>待补集镇</w:t>
      </w:r>
      <w:r>
        <w:rPr>
          <w:rFonts w:hint="default" w:ascii="Times New Roman" w:hAnsi="Times New Roman" w:cs="Times New Roman"/>
        </w:rPr>
        <w:t>，项目区</w:t>
      </w:r>
      <w:r>
        <w:rPr>
          <w:rFonts w:hint="eastAsia" w:cs="Times New Roman"/>
          <w:lang w:val="en-US" w:eastAsia="zh-CN"/>
        </w:rPr>
        <w:t>地块一</w:t>
      </w:r>
      <w:r>
        <w:rPr>
          <w:rFonts w:hint="default" w:ascii="Times New Roman" w:hAnsi="Times New Roman" w:cs="Times New Roman"/>
          <w:lang w:val="zh-CN"/>
        </w:rPr>
        <w:t>原始标高为</w:t>
      </w:r>
      <w:r>
        <w:rPr>
          <w:rFonts w:hint="eastAsia" w:cs="Times New Roman"/>
          <w:lang w:val="en-US" w:eastAsia="zh-CN"/>
        </w:rPr>
        <w:t>2291.65</w:t>
      </w:r>
      <w:r>
        <w:rPr>
          <w:rFonts w:hint="default" w:ascii="Times New Roman" w:hAnsi="Times New Roman" w:cs="Times New Roman"/>
          <w:lang w:val="zh-CN"/>
        </w:rPr>
        <w:t>~2</w:t>
      </w:r>
      <w:r>
        <w:rPr>
          <w:rFonts w:hint="eastAsia" w:cs="Times New Roman"/>
          <w:lang w:val="en-US" w:eastAsia="zh-CN"/>
        </w:rPr>
        <w:t>292.50</w:t>
      </w:r>
      <w:r>
        <w:rPr>
          <w:rFonts w:hint="default" w:ascii="Times New Roman" w:hAnsi="Times New Roman" w:cs="Times New Roman"/>
          <w:lang w:val="zh-CN"/>
        </w:rPr>
        <w:t>m，相对高差0.</w:t>
      </w:r>
      <w:r>
        <w:rPr>
          <w:rFonts w:hint="eastAsia" w:cs="Times New Roman"/>
          <w:lang w:val="en-US" w:eastAsia="zh-CN"/>
        </w:rPr>
        <w:t>85</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。根据主体工程设计布置，场地设计标高为2</w:t>
      </w:r>
      <w:r>
        <w:rPr>
          <w:rFonts w:hint="eastAsia" w:cs="Times New Roman"/>
          <w:lang w:val="en-US" w:eastAsia="zh-CN"/>
        </w:rPr>
        <w:t>292.30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室内地坪设计标高为</w:t>
      </w:r>
      <w:r>
        <w:rPr>
          <w:rFonts w:hint="default" w:ascii="Times New Roman" w:hAnsi="Times New Roman" w:cs="Times New Roman"/>
          <w:lang w:val="zh-CN"/>
        </w:rPr>
        <w:t>2</w:t>
      </w:r>
      <w:r>
        <w:rPr>
          <w:rFonts w:hint="eastAsia" w:cs="Times New Roman"/>
          <w:lang w:val="en-US" w:eastAsia="zh-CN"/>
        </w:rPr>
        <w:t>292.60</w:t>
      </w:r>
      <w:r>
        <w:rPr>
          <w:rFonts w:hint="default" w:ascii="Times New Roman" w:hAnsi="Times New Roman" w:cs="Times New Roman"/>
          <w:lang w:val="zh-CN"/>
        </w:rPr>
        <w:t>m，不分台布置，场地为平坡式布置。</w:t>
      </w:r>
      <w:r>
        <w:rPr>
          <w:rFonts w:hint="eastAsia" w:cs="Times New Roman"/>
          <w:lang w:val="en-US" w:eastAsia="zh-CN"/>
        </w:rPr>
        <w:t>地块二</w:t>
      </w:r>
      <w:r>
        <w:rPr>
          <w:rFonts w:hint="default" w:ascii="Times New Roman" w:hAnsi="Times New Roman" w:cs="Times New Roman"/>
          <w:lang w:val="zh-CN"/>
        </w:rPr>
        <w:t>原始标高为</w:t>
      </w:r>
      <w:r>
        <w:rPr>
          <w:rFonts w:hint="eastAsia" w:cs="Times New Roman"/>
          <w:lang w:val="en-US" w:eastAsia="zh-CN"/>
        </w:rPr>
        <w:t>2290.36m</w:t>
      </w:r>
      <w:r>
        <w:rPr>
          <w:rFonts w:hint="default" w:ascii="Times New Roman" w:hAnsi="Times New Roman" w:cs="Times New Roman"/>
          <w:lang w:val="zh-CN"/>
        </w:rPr>
        <w:t>~2</w:t>
      </w:r>
      <w:r>
        <w:rPr>
          <w:rFonts w:hint="eastAsia" w:cs="Times New Roman"/>
          <w:lang w:val="en-US" w:eastAsia="zh-CN"/>
        </w:rPr>
        <w:t>291.74</w:t>
      </w:r>
      <w:r>
        <w:rPr>
          <w:rFonts w:hint="default" w:ascii="Times New Roman" w:hAnsi="Times New Roman" w:cs="Times New Roman"/>
          <w:lang w:val="zh-CN"/>
        </w:rPr>
        <w:t>m，相对高差</w:t>
      </w:r>
      <w:r>
        <w:rPr>
          <w:rFonts w:hint="eastAsia" w:cs="Times New Roman"/>
          <w:lang w:val="en-US" w:eastAsia="zh-CN"/>
        </w:rPr>
        <w:t>1.38</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。根据主体工程设计布置，场地设计标高为2</w:t>
      </w:r>
      <w:r>
        <w:rPr>
          <w:rFonts w:hint="eastAsia" w:cs="Times New Roman"/>
          <w:lang w:val="en-US" w:eastAsia="zh-CN"/>
        </w:rPr>
        <w:t>291.30</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室内地坪设计标高为</w:t>
      </w:r>
      <w:r>
        <w:rPr>
          <w:rFonts w:hint="default" w:ascii="Times New Roman" w:hAnsi="Times New Roman" w:cs="Times New Roman"/>
          <w:lang w:val="zh-CN"/>
        </w:rPr>
        <w:t>2</w:t>
      </w:r>
      <w:r>
        <w:rPr>
          <w:rFonts w:hint="eastAsia" w:cs="Times New Roman"/>
          <w:lang w:val="en-US" w:eastAsia="zh-CN"/>
        </w:rPr>
        <w:t>291.60</w:t>
      </w:r>
      <w:r>
        <w:rPr>
          <w:rFonts w:hint="default" w:ascii="Times New Roman" w:hAnsi="Times New Roman" w:cs="Times New Roman"/>
          <w:lang w:val="zh-CN"/>
        </w:rPr>
        <w:t>m，不分台布置，场地为平坡式布置。</w:t>
      </w:r>
      <w:r>
        <w:rPr>
          <w:rFonts w:hint="default" w:ascii="Times New Roman" w:hAnsi="Times New Roman" w:cs="Times New Roman"/>
        </w:rPr>
        <w:t>地貌属于</w:t>
      </w:r>
      <w:r>
        <w:rPr>
          <w:rFonts w:hint="eastAsia" w:cs="Times New Roman"/>
          <w:lang w:eastAsia="zh-CN"/>
        </w:rPr>
        <w:t>构造侵蚀低中山地貌</w:t>
      </w:r>
      <w:r>
        <w:rPr>
          <w:rFonts w:hint="default" w:ascii="Times New Roman" w:hAnsi="Times New Roman" w:cs="Times New Roman"/>
        </w:rPr>
        <w:t>。</w:t>
      </w:r>
    </w:p>
    <w:p w14:paraId="0216D2B3">
      <w:pPr>
        <w:pStyle w:val="4"/>
        <w:rPr>
          <w:rFonts w:hint="default" w:ascii="Times New Roman" w:hAnsi="Times New Roman" w:cs="Times New Roman"/>
          <w:lang w:bidi="ar"/>
        </w:rPr>
      </w:pPr>
      <w:r>
        <w:rPr>
          <w:rFonts w:hint="default" w:ascii="Times New Roman" w:hAnsi="Times New Roman" w:cs="Times New Roman"/>
          <w:lang w:bidi="ar"/>
        </w:rPr>
        <w:t>地质</w:t>
      </w:r>
    </w:p>
    <w:p w14:paraId="6A5E323B">
      <w:pPr>
        <w:adjustRightInd w:val="0"/>
        <w:snapToGrid w:val="0"/>
        <w:ind w:firstLine="480"/>
        <w:rPr>
          <w:rFonts w:hint="default" w:ascii="Times New Roman" w:hAnsi="Times New Roman" w:cs="Times New Roman"/>
          <w:bCs/>
        </w:rPr>
      </w:pPr>
      <w:bookmarkStart w:id="43" w:name="_Hlk82870994"/>
      <w:r>
        <w:rPr>
          <w:rFonts w:hint="default" w:ascii="Times New Roman" w:hAnsi="Times New Roman" w:cs="Times New Roman"/>
          <w:bCs/>
        </w:rPr>
        <w:t>（1）地层岩性</w:t>
      </w:r>
    </w:p>
    <w:p w14:paraId="5A6CAEC1">
      <w:pPr>
        <w:ind w:firstLine="480"/>
        <w:jc w:val="left"/>
        <w:rPr>
          <w:rFonts w:hint="default" w:ascii="Times New Roman" w:hAnsi="Times New Roman" w:cs="Times New Roman"/>
        </w:rPr>
      </w:pPr>
      <w:bookmarkStart w:id="44" w:name="_Toc332028365"/>
      <w:r>
        <w:rPr>
          <w:rFonts w:hint="default" w:ascii="Times New Roman" w:hAnsi="Times New Roman" w:cs="Times New Roman"/>
        </w:rPr>
        <w:t>项目区内地层分布比较简单，仅有第四系残坡积层（Q</w:t>
      </w:r>
      <w:r>
        <w:rPr>
          <w:rFonts w:hint="default" w:ascii="Times New Roman" w:hAnsi="Times New Roman" w:cs="Times New Roman"/>
          <w:vertAlign w:val="superscript"/>
        </w:rPr>
        <w:t>el+dl</w:t>
      </w:r>
      <w:r>
        <w:rPr>
          <w:rFonts w:hint="default" w:ascii="Times New Roman" w:hAnsi="Times New Roman" w:cs="Times New Roman"/>
        </w:rPr>
        <w:t xml:space="preserve"> )、泥盆系中上统( D</w:t>
      </w:r>
      <w:r>
        <w:rPr>
          <w:rFonts w:hint="default" w:ascii="Times New Roman" w:hAnsi="Times New Roman" w:cs="Times New Roman"/>
          <w:vertAlign w:val="subscript"/>
        </w:rPr>
        <w:t>2-3</w:t>
      </w:r>
      <w:r>
        <w:rPr>
          <w:rFonts w:hint="default" w:ascii="Times New Roman" w:hAnsi="Times New Roman" w:cs="Times New Roman"/>
        </w:rPr>
        <w:t>)地层出露。由新至老岩性如下:</w:t>
      </w:r>
    </w:p>
    <w:p w14:paraId="08DDD52C">
      <w:pPr>
        <w:ind w:firstLine="480"/>
        <w:jc w:val="left"/>
        <w:rPr>
          <w:rFonts w:hint="default" w:ascii="Times New Roman" w:hAnsi="Times New Roman" w:cs="Times New Roman"/>
        </w:rPr>
      </w:pPr>
      <w:r>
        <w:rPr>
          <w:rFonts w:hint="default" w:ascii="Times New Roman" w:hAnsi="Times New Roman" w:cs="Times New Roman"/>
        </w:rPr>
        <w:t>①第四系残坡积层(Q</w:t>
      </w:r>
      <w:r>
        <w:rPr>
          <w:rFonts w:hint="default" w:ascii="Times New Roman" w:hAnsi="Times New Roman" w:cs="Times New Roman"/>
          <w:vertAlign w:val="superscript"/>
        </w:rPr>
        <w:t>el+dl</w:t>
      </w:r>
      <w:r>
        <w:rPr>
          <w:rFonts w:hint="default" w:ascii="Times New Roman" w:hAnsi="Times New Roman" w:cs="Times New Roman"/>
        </w:rPr>
        <w:t>)</w:t>
      </w:r>
    </w:p>
    <w:p w14:paraId="74ECE169">
      <w:pPr>
        <w:ind w:firstLine="480"/>
        <w:jc w:val="left"/>
        <w:rPr>
          <w:rFonts w:hint="default" w:ascii="Times New Roman" w:hAnsi="Times New Roman" w:cs="Times New Roman"/>
        </w:rPr>
      </w:pPr>
      <w:r>
        <w:rPr>
          <w:rFonts w:hint="default" w:ascii="Times New Roman" w:hAnsi="Times New Roman" w:cs="Times New Roman"/>
        </w:rPr>
        <w:t>在项目区内表层广泛分布，分布于洼地底部、山麓斜坡及坡脚地带。岩性为棕红、褐红、褐黄色粘土、粉质粘土含（夹）碎块石。具高塑性、高液限，一般上硬下软，有明显的收缩性，裂隙发育。据以往试验成果，具有弱膨胀性。为经碳酸盐岩风化作用导致，主要为残积形成，部分为坡积次生。其表部常含风化碎石，经淋滤、剥蚀富集，含量10 ~15%，粒径 1 ~5cm。厚度变化较大，随基岩面起伏厚薄不均，陡坡地带一般厚度0~5m，缓坡及坡脚厚度一般2~5m，最厚10.8m。</w:t>
      </w:r>
    </w:p>
    <w:p w14:paraId="787C0FDF">
      <w:pPr>
        <w:ind w:firstLine="480"/>
        <w:jc w:val="left"/>
        <w:rPr>
          <w:rFonts w:hint="default" w:ascii="Times New Roman" w:hAnsi="Times New Roman" w:cs="Times New Roman"/>
        </w:rPr>
      </w:pPr>
      <w:r>
        <w:rPr>
          <w:rFonts w:hint="default" w:ascii="Times New Roman" w:hAnsi="Times New Roman" w:cs="Times New Roman"/>
        </w:rPr>
        <w:t>②泥盆系中上统（D</w:t>
      </w:r>
      <w:r>
        <w:rPr>
          <w:rFonts w:hint="default" w:ascii="Times New Roman" w:hAnsi="Times New Roman" w:cs="Times New Roman"/>
          <w:vertAlign w:val="subscript"/>
        </w:rPr>
        <w:t>2-3</w:t>
      </w:r>
      <w:r>
        <w:rPr>
          <w:rFonts w:hint="default" w:ascii="Times New Roman" w:hAnsi="Times New Roman" w:cs="Times New Roman"/>
        </w:rPr>
        <w:t>)</w:t>
      </w:r>
    </w:p>
    <w:p w14:paraId="476CCE60">
      <w:pPr>
        <w:ind w:firstLine="480"/>
        <w:jc w:val="left"/>
        <w:rPr>
          <w:rFonts w:hint="default" w:ascii="Times New Roman" w:hAnsi="Times New Roman" w:cs="Times New Roman"/>
        </w:rPr>
      </w:pPr>
      <w:r>
        <w:rPr>
          <w:rFonts w:hint="default" w:ascii="Times New Roman" w:hAnsi="Times New Roman" w:cs="Times New Roman"/>
        </w:rPr>
        <w:t>本层中上统不能分，大部下伏于第四系残坡积层下，在仅在沟底，洼地出露于地表。岩性为浅灰、灰白、灰褐色白云岩夹灰岩、泥质灰岩、局部段含页岩。其整合覆于泥盆系下统翠峰山组上段（ D</w:t>
      </w:r>
      <w:r>
        <w:rPr>
          <w:rFonts w:hint="default" w:ascii="Times New Roman" w:hAnsi="Times New Roman" w:cs="Times New Roman"/>
          <w:vertAlign w:val="subscript"/>
        </w:rPr>
        <w:t>1</w:t>
      </w:r>
      <w:r>
        <w:rPr>
          <w:rFonts w:hint="default" w:ascii="Times New Roman" w:hAnsi="Times New Roman" w:cs="Times New Roman"/>
        </w:rPr>
        <w:t>C</w:t>
      </w:r>
      <w:r>
        <w:rPr>
          <w:rFonts w:hint="default" w:ascii="Times New Roman" w:hAnsi="Times New Roman" w:cs="Times New Roman"/>
          <w:vertAlign w:val="superscript"/>
        </w:rPr>
        <w:t>b</w:t>
      </w:r>
      <w:r>
        <w:rPr>
          <w:rFonts w:hint="default" w:ascii="Times New Roman" w:hAnsi="Times New Roman" w:cs="Times New Roman"/>
        </w:rPr>
        <w:t>)之上。区内出露以中～厚层状白云岩为主，夹灰岩、泥质灰岩，局部夹薄层页岩，岩溶发育。其白云岩含较多平行层面的硅质条带或条纹，条带宽一般0.2~0.5cm。夹较多假缅状白云岩，缅粒不具同心圆构造，上部缅粒小、下部缅粒大。岩层产状:43~46°L10~15°，岩体构造裂隙较发育，一般有二组，区域厚度100m。</w:t>
      </w:r>
    </w:p>
    <w:bookmarkEnd w:id="44"/>
    <w:p w14:paraId="61A248CB">
      <w:pPr>
        <w:pStyle w:val="93"/>
        <w:rPr>
          <w:rFonts w:hint="default" w:ascii="Times New Roman" w:hAnsi="Times New Roman" w:cs="Times New Roman"/>
        </w:rPr>
      </w:pPr>
      <w:r>
        <w:rPr>
          <w:rFonts w:hint="default" w:ascii="Times New Roman" w:hAnsi="Times New Roman" w:cs="Times New Roman"/>
        </w:rPr>
        <w:t>（2）水文地质条件</w:t>
      </w:r>
    </w:p>
    <w:p w14:paraId="331C9CD5">
      <w:pPr>
        <w:pStyle w:val="93"/>
        <w:rPr>
          <w:rFonts w:hint="default" w:ascii="Times New Roman" w:hAnsi="Times New Roman" w:cs="Times New Roman"/>
        </w:rPr>
      </w:pPr>
      <w:r>
        <w:rPr>
          <w:rFonts w:hint="default" w:ascii="Times New Roman" w:hAnsi="Times New Roman" w:cs="Times New Roman"/>
        </w:rPr>
        <w:t>场区内部分区域无地表径流，主要地表水为大气降水，对建（构）筑物基础施工无影响。</w:t>
      </w:r>
    </w:p>
    <w:p w14:paraId="72AA0AE3">
      <w:pPr>
        <w:pStyle w:val="93"/>
        <w:rPr>
          <w:rFonts w:hint="default" w:ascii="Times New Roman" w:hAnsi="Times New Roman" w:cs="Times New Roman"/>
        </w:rPr>
      </w:pPr>
      <w:r>
        <w:rPr>
          <w:rFonts w:hint="default" w:ascii="Times New Roman" w:hAnsi="Times New Roman" w:cs="Times New Roman"/>
        </w:rPr>
        <w:t>（3）不良地质概况</w:t>
      </w:r>
    </w:p>
    <w:p w14:paraId="0260E7A5">
      <w:pPr>
        <w:pStyle w:val="93"/>
        <w:rPr>
          <w:rFonts w:hint="default" w:ascii="Times New Roman" w:hAnsi="Times New Roman" w:cs="Times New Roman"/>
        </w:rPr>
      </w:pPr>
      <w:r>
        <w:rPr>
          <w:rFonts w:hint="default" w:ascii="Times New Roman" w:hAnsi="Times New Roman" w:cs="Times New Roman"/>
        </w:rPr>
        <w:t>场地及附近无滑坡、危岩和崩塌、泥石流、采空区、地面沉降等不良地质作用。勘察揭示深度范围内无暗浜、古河道、地下洞室等不良地质现象。</w:t>
      </w:r>
    </w:p>
    <w:p w14:paraId="144D8CD1">
      <w:pPr>
        <w:pStyle w:val="93"/>
        <w:rPr>
          <w:rFonts w:hint="default" w:ascii="Times New Roman" w:hAnsi="Times New Roman" w:cs="Times New Roman"/>
          <w:lang w:bidi="ar"/>
        </w:rPr>
      </w:pPr>
      <w:r>
        <w:rPr>
          <w:rFonts w:hint="default" w:ascii="Times New Roman" w:hAnsi="Times New Roman" w:cs="Times New Roman"/>
          <w:lang w:bidi="ar"/>
        </w:rPr>
        <w:t xml:space="preserve">（4）地震 </w:t>
      </w:r>
    </w:p>
    <w:p w14:paraId="37220F5A">
      <w:pPr>
        <w:pStyle w:val="93"/>
        <w:rPr>
          <w:rFonts w:hint="default" w:ascii="Times New Roman" w:hAnsi="Times New Roman" w:cs="Times New Roman"/>
        </w:rPr>
      </w:pPr>
      <w:r>
        <w:rPr>
          <w:rFonts w:hint="default" w:ascii="Times New Roman" w:hAnsi="Times New Roman" w:cs="Times New Roman"/>
        </w:rPr>
        <w:t>根据1：400万《中国地震动峰值加速度区划图》及《中国地震动反映谱特征周期区划图》（GB18306-2015），工程区Ⅱ类场地50年超越概率10%的地震动峰值加速度为0.20g，对应的地震基本烈度为Ⅷ度。基本地震动加速度反映谱特征周期为0.45s。</w:t>
      </w:r>
    </w:p>
    <w:bookmarkEnd w:id="43"/>
    <w:p w14:paraId="575CDC5C">
      <w:pPr>
        <w:pStyle w:val="4"/>
        <w:rPr>
          <w:rFonts w:hint="default" w:ascii="Times New Roman" w:hAnsi="Times New Roman" w:cs="Times New Roman"/>
          <w:lang w:bidi="ar"/>
        </w:rPr>
      </w:pPr>
      <w:r>
        <w:rPr>
          <w:rFonts w:hint="default" w:ascii="Times New Roman" w:hAnsi="Times New Roman" w:cs="Times New Roman"/>
          <w:lang w:bidi="ar"/>
        </w:rPr>
        <w:t>气象</w:t>
      </w:r>
    </w:p>
    <w:p w14:paraId="5D031210">
      <w:pPr>
        <w:pStyle w:val="93"/>
        <w:rPr>
          <w:rFonts w:hint="default" w:ascii="Times New Roman" w:hAnsi="Times New Roman" w:cs="Times New Roman"/>
        </w:rPr>
      </w:pPr>
      <w:bookmarkStart w:id="45" w:name="_Hlk73691192"/>
      <w:r>
        <w:rPr>
          <w:rFonts w:hint="default" w:ascii="Times New Roman" w:hAnsi="Times New Roman" w:cs="Times New Roman"/>
        </w:rPr>
        <w:t>会泽属典型的温带高原季风气候，四季不明，夏无酷暑，冬季冷寒，干湿分明。会泽立体气候特点突出，从南亚热带至寒温带气候均有分布。小江、牛栏江流域及大海梁子等地呈垂直分布，常常是山脚赤日炎炎，酷暑难耐；山顶云雾缭绕，寒气袭人。会泽县多年平均气温12.7℃，最冷月1月平均气温4.1℃，最热月7月平均气温19.0℃，历年最高气温31.4℃，多年平均日照数2084.6h。全年无霜期216d。年平均降雨量789.4mm；降水量季节分配极不均匀，每年11月至次年5月的冬春季节，降水量较少，占全年的11.4%，此为旱季；每年5下旬至10月下旬，降水量较多，占全年88.6%，是为雨季；最大月见雨量202.4mm（2001年7月），一日最大降水量49.8mm（2001年7月8日）。年最多风向为西南风，最大风速达16.7m/s，年均风速3.2m/s，静风频率约35%。</w:t>
      </w:r>
    </w:p>
    <w:p w14:paraId="3DC89457">
      <w:pPr>
        <w:pStyle w:val="93"/>
        <w:rPr>
          <w:rFonts w:hint="default" w:ascii="Times New Roman" w:hAnsi="Times New Roman" w:cs="Times New Roman"/>
        </w:rPr>
      </w:pPr>
      <w:r>
        <w:rPr>
          <w:rFonts w:hint="default" w:ascii="Times New Roman" w:hAnsi="Times New Roman" w:cs="Times New Roman"/>
        </w:rPr>
        <w:t>根据查阅《云南省水文手册》，项目区20年一遇1h最大降雨量为55.62mm，6h最大降雨量为79.15mm，24h最大降雨量为116.9mm。</w:t>
      </w:r>
    </w:p>
    <w:bookmarkEnd w:id="45"/>
    <w:p w14:paraId="3842B483">
      <w:pPr>
        <w:pStyle w:val="4"/>
        <w:rPr>
          <w:rFonts w:hint="default" w:ascii="Times New Roman" w:hAnsi="Times New Roman" w:cs="Times New Roman"/>
          <w:lang w:bidi="ar"/>
        </w:rPr>
      </w:pPr>
      <w:r>
        <w:rPr>
          <w:rFonts w:hint="default" w:ascii="Times New Roman" w:hAnsi="Times New Roman" w:cs="Times New Roman"/>
          <w:lang w:bidi="ar"/>
        </w:rPr>
        <w:t>水文</w:t>
      </w:r>
    </w:p>
    <w:p w14:paraId="23F956F5">
      <w:pPr>
        <w:pStyle w:val="93"/>
        <w:rPr>
          <w:rFonts w:hint="default" w:ascii="Times New Roman" w:hAnsi="Times New Roman" w:cs="Times New Roman"/>
        </w:rPr>
      </w:pPr>
      <w:r>
        <w:rPr>
          <w:rFonts w:hint="default" w:ascii="Times New Roman" w:hAnsi="Times New Roman" w:cs="Times New Roman"/>
        </w:rPr>
        <w:t>会泽县境内河流均属金沙江水系，主要河流有牛栏江、小江及以礼河。牛栏江发源于嵩明大马圈梁子，流经县境175.25km，流域面积708km</w:t>
      </w:r>
      <w:r>
        <w:rPr>
          <w:rFonts w:hint="default" w:ascii="Times New Roman" w:hAnsi="Times New Roman" w:cs="Times New Roman"/>
          <w:vertAlign w:val="superscript"/>
        </w:rPr>
        <w:t>2</w:t>
      </w:r>
      <w:r>
        <w:rPr>
          <w:rFonts w:hint="default" w:ascii="Times New Roman" w:hAnsi="Times New Roman" w:cs="Times New Roman"/>
        </w:rPr>
        <w:t>。小江发源于寻甸清水海，流经县境28km。径流面积60.4km</w:t>
      </w:r>
      <w:r>
        <w:rPr>
          <w:rFonts w:hint="default" w:ascii="Times New Roman" w:hAnsi="Times New Roman" w:cs="Times New Roman"/>
          <w:vertAlign w:val="superscript"/>
        </w:rPr>
        <w:t>2</w:t>
      </w:r>
      <w:r>
        <w:rPr>
          <w:rFonts w:hint="default" w:ascii="Times New Roman" w:hAnsi="Times New Roman" w:cs="Times New Roman"/>
        </w:rPr>
        <w:t>。以礼河发源于待补区野马川，全长122km，流域面积2558km</w:t>
      </w:r>
      <w:r>
        <w:rPr>
          <w:rFonts w:hint="default" w:ascii="Times New Roman" w:hAnsi="Times New Roman" w:cs="Times New Roman"/>
          <w:vertAlign w:val="superscript"/>
        </w:rPr>
        <w:t>2</w:t>
      </w:r>
      <w:r>
        <w:rPr>
          <w:rFonts w:hint="default" w:ascii="Times New Roman" w:hAnsi="Times New Roman" w:cs="Times New Roman"/>
        </w:rPr>
        <w:t>，平均流量15.9m</w:t>
      </w:r>
      <w:r>
        <w:rPr>
          <w:rFonts w:hint="default" w:ascii="Times New Roman" w:hAnsi="Times New Roman" w:cs="Times New Roman"/>
          <w:vertAlign w:val="superscript"/>
        </w:rPr>
        <w:t>3</w:t>
      </w:r>
      <w:r>
        <w:rPr>
          <w:rFonts w:hint="default" w:ascii="Times New Roman" w:hAnsi="Times New Roman" w:cs="Times New Roman"/>
        </w:rPr>
        <w:t>/s，最大流量422m</w:t>
      </w:r>
      <w:r>
        <w:rPr>
          <w:rFonts w:hint="default" w:ascii="Times New Roman" w:hAnsi="Times New Roman" w:cs="Times New Roman"/>
          <w:vertAlign w:val="superscript"/>
        </w:rPr>
        <w:t>3</w:t>
      </w:r>
      <w:r>
        <w:rPr>
          <w:rFonts w:hint="default" w:ascii="Times New Roman" w:hAnsi="Times New Roman" w:cs="Times New Roman"/>
        </w:rPr>
        <w:t>/s。</w:t>
      </w:r>
    </w:p>
    <w:p w14:paraId="510D774F">
      <w:pPr>
        <w:adjustRightInd w:val="0"/>
        <w:snapToGrid w:val="0"/>
        <w:ind w:firstLine="480"/>
        <w:rPr>
          <w:rFonts w:hint="default" w:ascii="Times New Roman" w:hAnsi="Times New Roman" w:cs="Times New Roman"/>
        </w:rPr>
      </w:pPr>
      <w:r>
        <w:rPr>
          <w:rFonts w:hint="default" w:ascii="Times New Roman" w:hAnsi="Times New Roman" w:cs="Times New Roman"/>
        </w:rPr>
        <w:t>项目区属金沙江水系以礼河流域。项目区地表无河流流过，项目附近主要河流主要为以礼河</w:t>
      </w:r>
      <w:r>
        <w:rPr>
          <w:rFonts w:hint="eastAsia" w:cs="Times New Roman"/>
          <w:lang w:val="en-US" w:eastAsia="zh-CN"/>
        </w:rPr>
        <w:t>支流待补河</w:t>
      </w:r>
      <w:r>
        <w:rPr>
          <w:rFonts w:hint="default" w:ascii="Times New Roman" w:hAnsi="Times New Roman" w:cs="Times New Roman"/>
        </w:rPr>
        <w:t>，距离</w:t>
      </w:r>
      <w:r>
        <w:rPr>
          <w:rFonts w:hint="eastAsia" w:cs="Times New Roman"/>
          <w:lang w:val="en-US" w:eastAsia="zh-CN"/>
        </w:rPr>
        <w:t>待补河</w:t>
      </w:r>
      <w:r>
        <w:rPr>
          <w:rFonts w:hint="default" w:ascii="Times New Roman" w:hAnsi="Times New Roman" w:cs="Times New Roman"/>
        </w:rPr>
        <w:t>直线距离</w:t>
      </w:r>
      <w:r>
        <w:rPr>
          <w:rFonts w:hint="eastAsia" w:cs="Times New Roman"/>
          <w:lang w:val="en-US" w:eastAsia="zh-CN"/>
        </w:rPr>
        <w:t>55</w:t>
      </w:r>
      <w:r>
        <w:rPr>
          <w:rFonts w:hint="default" w:ascii="Times New Roman" w:hAnsi="Times New Roman" w:cs="Times New Roman"/>
        </w:rPr>
        <w:t>m，</w:t>
      </w:r>
      <w:r>
        <w:rPr>
          <w:rFonts w:hint="eastAsia" w:cs="Times New Roman"/>
          <w:lang w:val="en-US" w:eastAsia="zh-CN"/>
        </w:rPr>
        <w:t>待补河位于鸡鸣山大道南侧，</w:t>
      </w:r>
      <w:r>
        <w:rPr>
          <w:rFonts w:hint="default" w:ascii="Times New Roman" w:hAnsi="Times New Roman" w:cs="Times New Roman"/>
        </w:rPr>
        <w:t>项目区汇水通过主体设计及方案新增排水、沉沙措施的拦截和沉淀，进入市政雨水管网，不会对</w:t>
      </w:r>
      <w:r>
        <w:rPr>
          <w:rFonts w:hint="eastAsia" w:cs="Times New Roman"/>
          <w:lang w:val="en-US" w:eastAsia="zh-CN"/>
        </w:rPr>
        <w:t>周边</w:t>
      </w:r>
      <w:r>
        <w:rPr>
          <w:rFonts w:hint="default" w:ascii="Times New Roman" w:hAnsi="Times New Roman" w:cs="Times New Roman"/>
        </w:rPr>
        <w:t>水系造成影响。</w:t>
      </w:r>
    </w:p>
    <w:p w14:paraId="6E892581">
      <w:pPr>
        <w:pStyle w:val="4"/>
        <w:rPr>
          <w:rFonts w:hint="default" w:ascii="Times New Roman" w:hAnsi="Times New Roman" w:cs="Times New Roman"/>
          <w:lang w:bidi="ar"/>
        </w:rPr>
      </w:pPr>
      <w:r>
        <w:rPr>
          <w:rFonts w:hint="default" w:ascii="Times New Roman" w:hAnsi="Times New Roman" w:cs="Times New Roman"/>
          <w:lang w:bidi="ar"/>
        </w:rPr>
        <w:t>土壤</w:t>
      </w:r>
    </w:p>
    <w:p w14:paraId="60DB91C1">
      <w:pPr>
        <w:pStyle w:val="93"/>
        <w:rPr>
          <w:rFonts w:hint="default" w:ascii="Times New Roman" w:hAnsi="Times New Roman" w:cs="Times New Roman"/>
        </w:rPr>
      </w:pPr>
      <w:r>
        <w:rPr>
          <w:rFonts w:hint="default" w:ascii="Times New Roman" w:hAnsi="Times New Roman" w:cs="Times New Roman"/>
        </w:rPr>
        <w:t>会泽县由于海拔高度相差很大，生物气候类型多样，从低海拔至高海拔依次出现了北热带—南亚热带—中亚热带—北亚热带四个气候带，相应地在四个气候带上发育成为燥红土—赤红壤—红壤—黄棕壤等四个土壤垂直谱。会泽县内棕壤、红壤、紫色土土类面积5114km</w:t>
      </w:r>
      <w:r>
        <w:rPr>
          <w:rFonts w:hint="default" w:ascii="Times New Roman" w:hAnsi="Times New Roman" w:cs="Times New Roman"/>
          <w:vertAlign w:val="superscript"/>
        </w:rPr>
        <w:t>2</w:t>
      </w:r>
      <w:r>
        <w:rPr>
          <w:rFonts w:hint="default" w:ascii="Times New Roman" w:hAnsi="Times New Roman" w:cs="Times New Roman"/>
        </w:rPr>
        <w:t>，占全县土壤面积的91%；全县梯坪地467.2km</w:t>
      </w:r>
      <w:r>
        <w:rPr>
          <w:rFonts w:hint="default" w:ascii="Times New Roman" w:hAnsi="Times New Roman" w:cs="Times New Roman"/>
          <w:vertAlign w:val="superscript"/>
        </w:rPr>
        <w:t>2</w:t>
      </w:r>
      <w:r>
        <w:rPr>
          <w:rFonts w:hint="default" w:ascii="Times New Roman" w:hAnsi="Times New Roman" w:cs="Times New Roman"/>
        </w:rPr>
        <w:t>，旱地占86%左右，而棕壤、红壤、紫色土占一半。</w:t>
      </w:r>
    </w:p>
    <w:p w14:paraId="592BD267">
      <w:pPr>
        <w:pStyle w:val="93"/>
        <w:rPr>
          <w:rFonts w:hint="default" w:ascii="Times New Roman" w:hAnsi="Times New Roman" w:cs="Times New Roman"/>
        </w:rPr>
      </w:pPr>
      <w:r>
        <w:rPr>
          <w:rFonts w:hint="default" w:ascii="Times New Roman" w:hAnsi="Times New Roman" w:cs="Times New Roman"/>
        </w:rPr>
        <w:t>根据现场调查及查阅相关资料，项目区土壤类型主要是以红壤为主，本项目建设占用建设用地，建设用地</w:t>
      </w:r>
      <w:r>
        <w:rPr>
          <w:rFonts w:hint="eastAsia" w:cs="Times New Roman"/>
          <w:lang w:val="en-US" w:eastAsia="zh-CN"/>
        </w:rPr>
        <w:t>现状为草坪，</w:t>
      </w:r>
      <w:r>
        <w:rPr>
          <w:rFonts w:hint="default" w:ascii="Times New Roman" w:hAnsi="Times New Roman" w:cs="Times New Roman"/>
        </w:rPr>
        <w:t>种植土厚度约</w:t>
      </w:r>
      <w:r>
        <w:rPr>
          <w:rFonts w:hint="eastAsia" w:cs="Times New Roman"/>
          <w:lang w:val="en-US" w:eastAsia="zh-CN"/>
        </w:rPr>
        <w:t>10~20</w:t>
      </w:r>
      <w:r>
        <w:rPr>
          <w:rFonts w:hint="default" w:ascii="Times New Roman" w:hAnsi="Times New Roman" w:cs="Times New Roman"/>
        </w:rPr>
        <w:t>cm</w:t>
      </w:r>
      <w:r>
        <w:rPr>
          <w:rFonts w:hint="eastAsia" w:cs="Times New Roman"/>
          <w:lang w:eastAsia="zh-CN"/>
        </w:rPr>
        <w:t>，</w:t>
      </w:r>
      <w:r>
        <w:rPr>
          <w:rFonts w:hint="eastAsia" w:cs="Times New Roman"/>
          <w:lang w:val="en-US" w:eastAsia="zh-CN"/>
        </w:rPr>
        <w:t>可剥离面积为1.28hm</w:t>
      </w:r>
      <w:r>
        <w:rPr>
          <w:rFonts w:hint="eastAsia" w:cs="Times New Roman"/>
          <w:vertAlign w:val="superscript"/>
          <w:lang w:val="en-US" w:eastAsia="zh-CN"/>
        </w:rPr>
        <w:t>2</w:t>
      </w:r>
      <w:r>
        <w:rPr>
          <w:rFonts w:hint="eastAsia" w:cs="Times New Roman"/>
          <w:lang w:val="en-US" w:eastAsia="zh-CN"/>
        </w:rPr>
        <w:t>，</w:t>
      </w:r>
      <w:r>
        <w:rPr>
          <w:rFonts w:hint="default" w:ascii="Times New Roman" w:hAnsi="Times New Roman" w:cs="Times New Roman"/>
        </w:rPr>
        <w:t>本项目进行剥离收集保护，用于后期绿化覆土。</w:t>
      </w:r>
    </w:p>
    <w:p w14:paraId="1F76BB4E">
      <w:pPr>
        <w:pStyle w:val="4"/>
        <w:rPr>
          <w:rFonts w:hint="default" w:ascii="Times New Roman" w:hAnsi="Times New Roman" w:cs="Times New Roman"/>
          <w:lang w:bidi="ar"/>
        </w:rPr>
      </w:pPr>
      <w:r>
        <w:rPr>
          <w:rFonts w:hint="default" w:ascii="Times New Roman" w:hAnsi="Times New Roman" w:cs="Times New Roman"/>
          <w:lang w:bidi="ar"/>
        </w:rPr>
        <w:t>植被</w:t>
      </w:r>
    </w:p>
    <w:p w14:paraId="5C08FFE6">
      <w:pPr>
        <w:pStyle w:val="93"/>
        <w:rPr>
          <w:rFonts w:hint="default" w:ascii="Times New Roman" w:hAnsi="Times New Roman" w:cs="Times New Roman"/>
        </w:rPr>
      </w:pPr>
      <w:r>
        <w:rPr>
          <w:rFonts w:hint="default" w:ascii="Times New Roman" w:hAnsi="Times New Roman" w:cs="Times New Roman"/>
        </w:rPr>
        <w:t>会泽县由于地形复杂，气候多变，“立体气候”的特点突出，孕育了丰富的生物资源，植被类型垂直分布十分明显，分为三个类型：亚高山灌丛、草甸：分布于海拔3000m以上地区，主要是喜湿性草甸植物和耐寒的高山树种，有高山柳、杜鹃、山茶等。草本植物200余种，以菊科和禾本科植物为主，有绒毛草、羊茅草、翻白叶等。在地下水位高的地方，还生长着一些莎草科的喜湿植物和箭竹。云南松、华山松针叶林类和樟树、旱冬瓜等阔叶林类混交：分布于海拔1700~3000m地区，为县内主要森林区。主要树种有云南松、华山松、杉松、红杉、冲天柏、黄栎、白栎、木姜子、樟树、旱冬瓜、滇山柏及野樱桃等。灌木林以马桑、刺栎、野山茶、杜鹃、箭竹及蔷薇科刺藤为主。草丛以一年生或多年生宿根禾本科草本为主。亚热带稀树草原旱生植被：分布于海拔1700m以下的牛栏江、小江、以礼河沿岸干热河谷区，形成稀灌草原景观，代表性树种有攀枝花、羊蹄甲、太阳花和蕃木瓜。草本主要是禾本科蒿草，如斑芒、扭豆茅、棕叶芦等。经济林木有柑橘、黄果、油桐、石榴等。</w:t>
      </w:r>
    </w:p>
    <w:p w14:paraId="6240BC0E">
      <w:pPr>
        <w:pStyle w:val="70"/>
        <w:ind w:left="-60" w:right="-60" w:firstLine="496"/>
        <w:rPr>
          <w:rFonts w:hint="default" w:ascii="Times New Roman" w:hAnsi="Times New Roman" w:cs="Times New Roman"/>
        </w:rPr>
      </w:pPr>
      <w:r>
        <w:rPr>
          <w:rFonts w:hint="default" w:ascii="Times New Roman" w:hAnsi="Times New Roman" w:cs="Times New Roman"/>
        </w:rPr>
        <w:t>项目区原始占用建设用地，</w:t>
      </w:r>
      <w:r>
        <w:rPr>
          <w:rFonts w:hint="eastAsia" w:cs="Times New Roman"/>
          <w:lang w:val="en-US" w:eastAsia="zh-CN"/>
        </w:rPr>
        <w:t>现状为草坪覆盖，</w:t>
      </w:r>
      <w:r>
        <w:rPr>
          <w:rStyle w:val="92"/>
          <w:rFonts w:hint="default" w:ascii="Times New Roman" w:hAnsi="Times New Roman" w:cs="Times New Roman"/>
        </w:rPr>
        <w:t>植被覆盖率</w:t>
      </w:r>
      <w:r>
        <w:rPr>
          <w:rStyle w:val="92"/>
          <w:rFonts w:hint="eastAsia" w:cs="Times New Roman"/>
          <w:lang w:val="en-US" w:eastAsia="zh-CN"/>
        </w:rPr>
        <w:t>84.77%</w:t>
      </w:r>
      <w:r>
        <w:rPr>
          <w:rStyle w:val="92"/>
          <w:rFonts w:hint="default" w:ascii="Times New Roman" w:hAnsi="Times New Roman" w:cs="Times New Roman"/>
        </w:rPr>
        <w:t>。</w:t>
      </w:r>
    </w:p>
    <w:p w14:paraId="4CE65F60">
      <w:pPr>
        <w:pStyle w:val="4"/>
        <w:rPr>
          <w:rFonts w:hint="default" w:ascii="Times New Roman" w:hAnsi="Times New Roman" w:cs="Times New Roman"/>
        </w:rPr>
      </w:pPr>
      <w:r>
        <w:rPr>
          <w:rFonts w:hint="default" w:ascii="Times New Roman" w:hAnsi="Times New Roman" w:cs="Times New Roman"/>
        </w:rPr>
        <w:t>其他</w:t>
      </w:r>
    </w:p>
    <w:p w14:paraId="4403879B">
      <w:pPr>
        <w:ind w:firstLine="480"/>
        <w:rPr>
          <w:rFonts w:hint="default" w:ascii="Times New Roman" w:hAnsi="Times New Roman" w:cs="Times New Roman"/>
          <w:shd w:val="clear" w:color="auto" w:fill="FFFFFF" w:themeFill="background1"/>
        </w:rPr>
      </w:pPr>
      <w:r>
        <w:rPr>
          <w:rFonts w:hint="default" w:ascii="Times New Roman" w:hAnsi="Times New Roman" w:cs="Times New Roman"/>
          <w:shd w:val="clear" w:color="auto" w:fill="FFFFFF" w:themeFill="background1"/>
        </w:rPr>
        <w:t>根据核查本项目未涉及饮用水水源保护区、水功能一级区的保护区和保留区、自然保护区、世界文化和自然遗产地、风景名胜区、地质公园、森林公园和重要湿地。</w:t>
      </w:r>
    </w:p>
    <w:p w14:paraId="0A7DFF25">
      <w:pPr>
        <w:ind w:firstLine="480"/>
        <w:rPr>
          <w:rFonts w:hint="default" w:ascii="Times New Roman" w:hAnsi="Times New Roman" w:cs="Times New Roman"/>
        </w:rPr>
      </w:pPr>
    </w:p>
    <w:p w14:paraId="37EEA136">
      <w:pPr>
        <w:ind w:firstLine="480"/>
        <w:rPr>
          <w:rFonts w:hint="default" w:ascii="Times New Roman" w:hAnsi="Times New Roman" w:cs="Times New Roman"/>
        </w:rPr>
        <w:sectPr>
          <w:headerReference r:id="rId17"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EA8F48A">
      <w:pPr>
        <w:pStyle w:val="2"/>
        <w:jc w:val="center"/>
        <w:rPr>
          <w:rFonts w:hint="default" w:ascii="Times New Roman" w:hAnsi="Times New Roman" w:cs="Times New Roman"/>
        </w:rPr>
      </w:pPr>
      <w:r>
        <w:rPr>
          <w:rFonts w:hint="default" w:ascii="Times New Roman" w:hAnsi="Times New Roman" w:cs="Times New Roman"/>
        </w:rPr>
        <w:t xml:space="preserve"> </w:t>
      </w:r>
      <w:bookmarkStart w:id="46" w:name="_Toc165223571"/>
      <w:r>
        <w:rPr>
          <w:rFonts w:hint="default" w:ascii="Times New Roman" w:hAnsi="Times New Roman" w:cs="Times New Roman"/>
        </w:rPr>
        <w:t>项目水土保持评价</w:t>
      </w:r>
      <w:bookmarkEnd w:id="46"/>
    </w:p>
    <w:p w14:paraId="09230F8C">
      <w:pPr>
        <w:pStyle w:val="3"/>
        <w:rPr>
          <w:rFonts w:hint="default" w:ascii="Times New Roman" w:hAnsi="Times New Roman" w:cs="Times New Roman"/>
        </w:rPr>
      </w:pPr>
      <w:bookmarkStart w:id="47" w:name="_Toc165223572"/>
      <w:r>
        <w:rPr>
          <w:rFonts w:hint="default" w:ascii="Times New Roman" w:hAnsi="Times New Roman" w:cs="Times New Roman"/>
        </w:rPr>
        <w:t>主体工程选址（线）水土保持评价</w:t>
      </w:r>
      <w:bookmarkEnd w:id="47"/>
    </w:p>
    <w:p w14:paraId="4A329EEA">
      <w:pPr>
        <w:pStyle w:val="4"/>
        <w:rPr>
          <w:rFonts w:hint="default" w:ascii="Times New Roman" w:hAnsi="Times New Roman" w:cs="Times New Roman"/>
        </w:rPr>
      </w:pPr>
      <w:r>
        <w:rPr>
          <w:rFonts w:hint="default" w:ascii="Times New Roman" w:hAnsi="Times New Roman" w:cs="Times New Roman"/>
        </w:rPr>
        <w:t>与《中华人民共和国水土保持法》相符性分析</w:t>
      </w:r>
    </w:p>
    <w:p w14:paraId="329EB41F">
      <w:pPr>
        <w:ind w:firstLine="480"/>
        <w:rPr>
          <w:rFonts w:hint="default" w:ascii="Times New Roman" w:hAnsi="Times New Roman" w:cs="Times New Roman"/>
          <w:szCs w:val="28"/>
        </w:rPr>
      </w:pPr>
      <w:r>
        <w:rPr>
          <w:rFonts w:hint="default" w:ascii="Times New Roman" w:hAnsi="Times New Roman" w:cs="Times New Roman"/>
        </w:rPr>
        <w:t>为贯彻落实科学发展观，保护生态环境，建设资源节约型、环境友好型社会，促进经济发展与人口、资源、环境相协调，落实项目建设是否符合《中华人民共和国水土保持法》、经对比分析，本项目基本满足《中华人民共和国水土保持法》的相关规定。具体分析结果</w:t>
      </w:r>
      <w:r>
        <w:rPr>
          <w:rFonts w:hint="default" w:ascii="Times New Roman" w:hAnsi="Times New Roman" w:cs="Times New Roman"/>
          <w:szCs w:val="28"/>
        </w:rPr>
        <w:t>详见</w:t>
      </w:r>
      <w:r>
        <w:rPr>
          <w:rFonts w:hint="default" w:ascii="Times New Roman" w:hAnsi="Times New Roman" w:cs="Times New Roman"/>
        </w:rPr>
        <w:fldChar w:fldCharType="begin"/>
      </w:r>
      <w:r>
        <w:rPr>
          <w:rFonts w:hint="default" w:ascii="Times New Roman" w:hAnsi="Times New Roman" w:cs="Times New Roman"/>
        </w:rPr>
        <w:instrText xml:space="preserve"> REF _Ref59302988 \h  \* MERGEFORMAT </w:instrText>
      </w:r>
      <w:r>
        <w:rPr>
          <w:rFonts w:hint="default" w:ascii="Times New Roman" w:hAnsi="Times New Roman" w:cs="Times New Roman"/>
        </w:rPr>
        <w:fldChar w:fldCharType="separate"/>
      </w:r>
      <w:r>
        <w:rPr>
          <w:rFonts w:hint="default" w:ascii="Times New Roman" w:hAnsi="Times New Roman" w:cs="Times New Roman"/>
        </w:rPr>
        <w:t>表 3</w:t>
      </w:r>
      <w:r>
        <w:rPr>
          <w:rFonts w:hint="default" w:ascii="Times New Roman" w:hAnsi="Times New Roman" w:cs="Times New Roman"/>
        </w:rPr>
        <w:noBreakHyphen/>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Cs w:val="28"/>
        </w:rPr>
        <w:t>。</w:t>
      </w:r>
    </w:p>
    <w:p w14:paraId="3A8837EC">
      <w:pPr>
        <w:pStyle w:val="12"/>
        <w:keepNext/>
        <w:ind w:firstLine="0" w:firstLineChars="0"/>
        <w:jc w:val="center"/>
        <w:rPr>
          <w:rFonts w:hint="default" w:ascii="Times New Roman" w:hAnsi="Times New Roman" w:cs="Times New Roman"/>
        </w:rPr>
      </w:pPr>
      <w:bookmarkStart w:id="48" w:name="_Ref59302988"/>
      <w:r>
        <w:rPr>
          <w:rFonts w:hint="default" w:ascii="Times New Roman" w:hAnsi="Times New Roman" w:cs="Times New Roman"/>
        </w:rPr>
        <w:t>表</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1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48"/>
      <w:r>
        <w:rPr>
          <w:rFonts w:hint="default" w:ascii="Times New Roman" w:hAnsi="Times New Roman" w:cs="Times New Roman"/>
        </w:rPr>
        <w:t xml:space="preserve">          对照《中华人民共和国水土保持法》预防规定分析表</w:t>
      </w:r>
    </w:p>
    <w:tbl>
      <w:tblPr>
        <w:tblStyle w:val="50"/>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26"/>
        <w:gridCol w:w="5836"/>
        <w:gridCol w:w="2305"/>
        <w:gridCol w:w="1042"/>
      </w:tblGrid>
      <w:tr w14:paraId="7229C0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56" w:hRule="atLeast"/>
          <w:jc w:val="center"/>
        </w:trPr>
        <w:tc>
          <w:tcPr>
            <w:tcW w:w="626" w:type="dxa"/>
            <w:vAlign w:val="center"/>
          </w:tcPr>
          <w:p w14:paraId="77475B81">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序号</w:t>
            </w:r>
          </w:p>
        </w:tc>
        <w:tc>
          <w:tcPr>
            <w:tcW w:w="5836" w:type="dxa"/>
            <w:vAlign w:val="center"/>
          </w:tcPr>
          <w:p w14:paraId="0A091BBF">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《中华人民共和国水土保持法》第三章预防规定</w:t>
            </w:r>
          </w:p>
        </w:tc>
        <w:tc>
          <w:tcPr>
            <w:tcW w:w="2305" w:type="dxa"/>
            <w:vAlign w:val="center"/>
          </w:tcPr>
          <w:p w14:paraId="3B413374">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本项目情况</w:t>
            </w:r>
          </w:p>
        </w:tc>
        <w:tc>
          <w:tcPr>
            <w:tcW w:w="1042" w:type="dxa"/>
            <w:vAlign w:val="center"/>
          </w:tcPr>
          <w:p w14:paraId="59D9F09A">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相符性</w:t>
            </w:r>
          </w:p>
          <w:p w14:paraId="0326A4C2">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分析</w:t>
            </w:r>
          </w:p>
        </w:tc>
      </w:tr>
      <w:tr w14:paraId="142508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475" w:hRule="atLeast"/>
          <w:jc w:val="center"/>
        </w:trPr>
        <w:tc>
          <w:tcPr>
            <w:tcW w:w="626" w:type="dxa"/>
            <w:vAlign w:val="center"/>
          </w:tcPr>
          <w:p w14:paraId="523D0CF2">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1</w:t>
            </w:r>
          </w:p>
        </w:tc>
        <w:tc>
          <w:tcPr>
            <w:tcW w:w="5836" w:type="dxa"/>
            <w:vAlign w:val="center"/>
          </w:tcPr>
          <w:p w14:paraId="394A8D13">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第十七条：地方各级人民政府应当加强对取土、挖砂、采石等活动的管理，预防和减轻水土流失。禁止在崩塌、滑坡危险区和泥石流易发区从事取土、挖砂、采石等引起水土流失的活动。崩塌、滑坡危险区和泥石流易发区的范围，由县级以上地方人民政府划定并公告。崩塌、滑坡危险区和泥石流易发区的划定，应当与地质灾害防治规划确定的地质灾害易发区、重点防治区相衔接。</w:t>
            </w:r>
          </w:p>
        </w:tc>
        <w:tc>
          <w:tcPr>
            <w:tcW w:w="2305" w:type="dxa"/>
            <w:vAlign w:val="center"/>
          </w:tcPr>
          <w:p w14:paraId="6EF55C56">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本项目不涉及专门的“取土、挖砂、采石等”活动，施工材料均从合法的砂石料场购买</w:t>
            </w:r>
          </w:p>
        </w:tc>
        <w:tc>
          <w:tcPr>
            <w:tcW w:w="1042" w:type="dxa"/>
            <w:vAlign w:val="center"/>
          </w:tcPr>
          <w:p w14:paraId="02EB690A">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0FCA5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56" w:hRule="atLeast"/>
          <w:jc w:val="center"/>
        </w:trPr>
        <w:tc>
          <w:tcPr>
            <w:tcW w:w="626" w:type="dxa"/>
            <w:vAlign w:val="center"/>
          </w:tcPr>
          <w:p w14:paraId="7FD4F0B0">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2</w:t>
            </w:r>
          </w:p>
        </w:tc>
        <w:tc>
          <w:tcPr>
            <w:tcW w:w="5836" w:type="dxa"/>
            <w:vAlign w:val="center"/>
          </w:tcPr>
          <w:p w14:paraId="6A7607F4">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第十八条：水土流失严重、生态脆弱的地区，应当限制或者禁止可能造成水土流失的生产建设活动，严格保护植物、沙壳、结皮、地衣等。在侵蚀沟的沟坡和沟岸、河流的两岸以及湖泊和水库的周边，土地所有权人、使用权人或者有关管理单位应当营造植物保护带。禁止开垦、开发植物保护带。</w:t>
            </w:r>
          </w:p>
        </w:tc>
        <w:tc>
          <w:tcPr>
            <w:tcW w:w="2305" w:type="dxa"/>
            <w:vAlign w:val="center"/>
          </w:tcPr>
          <w:p w14:paraId="6553C814">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本项目不涉及“水土流失严重、生态脆弱的地区”</w:t>
            </w:r>
          </w:p>
        </w:tc>
        <w:tc>
          <w:tcPr>
            <w:tcW w:w="1042" w:type="dxa"/>
            <w:vAlign w:val="center"/>
          </w:tcPr>
          <w:p w14:paraId="36EBCD59">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15B08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5" w:hRule="atLeast"/>
          <w:jc w:val="center"/>
        </w:trPr>
        <w:tc>
          <w:tcPr>
            <w:tcW w:w="626" w:type="dxa"/>
            <w:vAlign w:val="center"/>
          </w:tcPr>
          <w:p w14:paraId="774B8A7F">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3</w:t>
            </w:r>
          </w:p>
        </w:tc>
        <w:tc>
          <w:tcPr>
            <w:tcW w:w="5836" w:type="dxa"/>
            <w:vAlign w:val="center"/>
          </w:tcPr>
          <w:p w14:paraId="4960C992">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第二十条：禁止在25°以上陡坡地开垦种植农作物。在25°以上陡坡地种植经济林的，应当科学选择树种，合理确定规模，采取水土保持措施，防止造成水土流失。省、自治区、直辖市根据本行政区域的实际情况，可以规定小于25°的禁止开垦坡度。禁止开垦的陡坡地的范围由当地县级人民政府划定并公告。</w:t>
            </w:r>
          </w:p>
        </w:tc>
        <w:tc>
          <w:tcPr>
            <w:tcW w:w="2305" w:type="dxa"/>
            <w:vAlign w:val="center"/>
          </w:tcPr>
          <w:p w14:paraId="09892806">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本项目不属于“陡坡地开垦”活动</w:t>
            </w:r>
          </w:p>
        </w:tc>
        <w:tc>
          <w:tcPr>
            <w:tcW w:w="1042" w:type="dxa"/>
            <w:vAlign w:val="center"/>
          </w:tcPr>
          <w:p w14:paraId="3B697C74">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717E68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05" w:hRule="atLeast"/>
          <w:jc w:val="center"/>
        </w:trPr>
        <w:tc>
          <w:tcPr>
            <w:tcW w:w="626" w:type="dxa"/>
            <w:vAlign w:val="center"/>
          </w:tcPr>
          <w:p w14:paraId="3CFF8B97">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4</w:t>
            </w:r>
          </w:p>
        </w:tc>
        <w:tc>
          <w:tcPr>
            <w:tcW w:w="5836" w:type="dxa"/>
            <w:vAlign w:val="center"/>
          </w:tcPr>
          <w:p w14:paraId="6604E02B">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第二十一条：禁止毁林、毁草开垦和采集发菜。禁止在水土流失重点预防区和重点治理区铲草皮、挖树兜或者滥挖虫草、甘草等。</w:t>
            </w:r>
          </w:p>
        </w:tc>
        <w:tc>
          <w:tcPr>
            <w:tcW w:w="2305" w:type="dxa"/>
            <w:vAlign w:val="center"/>
          </w:tcPr>
          <w:p w14:paraId="548512BD">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本项目不属于“毁林、毁草开垦”活动</w:t>
            </w:r>
          </w:p>
        </w:tc>
        <w:tc>
          <w:tcPr>
            <w:tcW w:w="1042" w:type="dxa"/>
            <w:vAlign w:val="center"/>
          </w:tcPr>
          <w:p w14:paraId="61A4B5EE">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0EEF3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841" w:hRule="atLeast"/>
          <w:jc w:val="center"/>
        </w:trPr>
        <w:tc>
          <w:tcPr>
            <w:tcW w:w="626" w:type="dxa"/>
            <w:vAlign w:val="center"/>
          </w:tcPr>
          <w:p w14:paraId="250216A8">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5</w:t>
            </w:r>
          </w:p>
        </w:tc>
        <w:tc>
          <w:tcPr>
            <w:tcW w:w="5836" w:type="dxa"/>
            <w:vAlign w:val="center"/>
          </w:tcPr>
          <w:p w14:paraId="2ABE285A">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第二十四条：生产建设项目选址、选线应当避让水土流失重点预防区和重点治理区；无法避让的，应当提高防治标准，优化施工工艺，减少地表扰动和植被损坏范围，有效控制可能造成的水土流失。</w:t>
            </w:r>
          </w:p>
        </w:tc>
        <w:tc>
          <w:tcPr>
            <w:tcW w:w="2305" w:type="dxa"/>
            <w:vAlign w:val="center"/>
          </w:tcPr>
          <w:p w14:paraId="515C2688">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本项目不涉及国家级及省级水土流失重点预防区和重点治理区，但是位于城区，防治标准按一级标准执行，同时水保方案将采取措施，有效控制可能造成的水土流失</w:t>
            </w:r>
          </w:p>
        </w:tc>
        <w:tc>
          <w:tcPr>
            <w:tcW w:w="1042" w:type="dxa"/>
            <w:vAlign w:val="center"/>
          </w:tcPr>
          <w:p w14:paraId="1C758202">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bl>
    <w:p w14:paraId="16E1EBE6">
      <w:pPr>
        <w:pStyle w:val="4"/>
        <w:rPr>
          <w:rFonts w:hint="default" w:ascii="Times New Roman" w:hAnsi="Times New Roman" w:cs="Times New Roman"/>
        </w:rPr>
      </w:pPr>
      <w:r>
        <w:rPr>
          <w:rFonts w:hint="default" w:ascii="Times New Roman" w:hAnsi="Times New Roman" w:cs="Times New Roman"/>
        </w:rPr>
        <w:t>与</w:t>
      </w:r>
      <w:r>
        <w:rPr>
          <w:rFonts w:hint="eastAsia" w:cs="Times New Roman"/>
          <w:lang w:eastAsia="zh-CN"/>
        </w:rPr>
        <w:t>《云南省水土保持条例》</w:t>
      </w:r>
      <w:r>
        <w:rPr>
          <w:rFonts w:hint="default" w:ascii="Times New Roman" w:hAnsi="Times New Roman" w:cs="Times New Roman"/>
        </w:rPr>
        <w:t>强制性规定相符性分析</w:t>
      </w:r>
    </w:p>
    <w:p w14:paraId="041A18E7">
      <w:pPr>
        <w:ind w:firstLine="480"/>
        <w:rPr>
          <w:rFonts w:hint="default" w:ascii="Times New Roman" w:hAnsi="Times New Roman" w:cs="Times New Roman"/>
        </w:rPr>
      </w:pPr>
      <w:r>
        <w:rPr>
          <w:rFonts w:hint="default" w:ascii="Times New Roman" w:hAnsi="Times New Roman" w:cs="Times New Roman"/>
        </w:rPr>
        <w:t>根据</w:t>
      </w:r>
      <w:r>
        <w:rPr>
          <w:rFonts w:hint="eastAsia" w:cs="Times New Roman"/>
          <w:lang w:eastAsia="zh-CN"/>
        </w:rPr>
        <w:t>《云南省水土保持条例》</w:t>
      </w:r>
      <w:r>
        <w:rPr>
          <w:rFonts w:hint="default" w:ascii="Times New Roman" w:hAnsi="Times New Roman" w:cs="Times New Roman"/>
        </w:rPr>
        <w:t>，通过现场调查，结合主体设计资料对新增区域选址情况进行核实分析，项目选址（线）满足水土保持要求。具体分析结果见</w:t>
      </w:r>
      <w:r>
        <w:rPr>
          <w:rFonts w:hint="default" w:ascii="Times New Roman" w:hAnsi="Times New Roman" w:cs="Times New Roman"/>
        </w:rPr>
        <w:fldChar w:fldCharType="begin"/>
      </w:r>
      <w:r>
        <w:rPr>
          <w:rFonts w:hint="default" w:ascii="Times New Roman" w:hAnsi="Times New Roman" w:cs="Times New Roman"/>
        </w:rPr>
        <w:instrText xml:space="preserve"> REF _Ref59304751 \h  \* MERGEFORMAT </w:instrText>
      </w:r>
      <w:r>
        <w:rPr>
          <w:rFonts w:hint="default" w:ascii="Times New Roman" w:hAnsi="Times New Roman" w:cs="Times New Roman"/>
        </w:rPr>
        <w:fldChar w:fldCharType="separate"/>
      </w:r>
      <w:r>
        <w:rPr>
          <w:rFonts w:hint="default" w:ascii="Times New Roman" w:hAnsi="Times New Roman" w:cs="Times New Roman"/>
        </w:rPr>
        <w:t>表3</w:t>
      </w:r>
      <w:r>
        <w:rPr>
          <w:rFonts w:hint="default" w:ascii="Times New Roman" w:hAnsi="Times New Roman" w:cs="Times New Roman"/>
        </w:rPr>
        <w:noBreakHyphen/>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w:t>
      </w:r>
    </w:p>
    <w:p w14:paraId="5A58EBC5">
      <w:pPr>
        <w:pStyle w:val="12"/>
        <w:keepNext/>
        <w:ind w:firstLine="0" w:firstLineChars="0"/>
        <w:jc w:val="center"/>
        <w:rPr>
          <w:rFonts w:hint="default" w:ascii="Times New Roman" w:hAnsi="Times New Roman" w:cs="Times New Roman"/>
        </w:rPr>
      </w:pPr>
      <w:bookmarkStart w:id="49" w:name="_Ref59304751"/>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noBreakHyphen/>
      </w:r>
      <w:bookmarkEnd w:id="49"/>
      <w:r>
        <w:rPr>
          <w:rFonts w:hint="default" w:ascii="Times New Roman" w:hAnsi="Times New Roman" w:cs="Times New Roman"/>
        </w:rPr>
        <w:t>2           本项目与</w:t>
      </w:r>
      <w:r>
        <w:rPr>
          <w:rFonts w:hint="eastAsia" w:ascii="Times New Roman" w:hAnsi="Times New Roman" w:cs="Times New Roman"/>
          <w:lang w:eastAsia="zh-CN"/>
        </w:rPr>
        <w:t>《云南省水土保持条例》</w:t>
      </w:r>
      <w:r>
        <w:rPr>
          <w:rFonts w:hint="default" w:ascii="Times New Roman" w:hAnsi="Times New Roman" w:cs="Times New Roman"/>
        </w:rPr>
        <w:t>强制性规定分析表</w:t>
      </w:r>
    </w:p>
    <w:tbl>
      <w:tblPr>
        <w:tblStyle w:val="27"/>
        <w:tblW w:w="937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82"/>
        <w:gridCol w:w="4962"/>
        <w:gridCol w:w="2409"/>
        <w:gridCol w:w="1418"/>
      </w:tblGrid>
      <w:tr w14:paraId="577B54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trPr>
        <w:tc>
          <w:tcPr>
            <w:tcW w:w="582" w:type="dxa"/>
            <w:vAlign w:val="center"/>
          </w:tcPr>
          <w:p w14:paraId="461333F9">
            <w:pPr>
              <w:tabs>
                <w:tab w:val="left" w:pos="3720"/>
              </w:tabs>
              <w:autoSpaceDE w:val="0"/>
              <w:autoSpaceDN w:val="0"/>
              <w:adjustRightInd w:val="0"/>
              <w:snapToGrid w:val="0"/>
              <w:spacing w:line="240" w:lineRule="auto"/>
              <w:ind w:firstLine="0" w:firstLineChars="0"/>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4962" w:type="dxa"/>
            <w:vAlign w:val="center"/>
          </w:tcPr>
          <w:p w14:paraId="381CF6BD">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eastAsia" w:cs="Times New Roman"/>
                <w:sz w:val="21"/>
                <w:szCs w:val="21"/>
                <w:lang w:eastAsia="zh-CN"/>
              </w:rPr>
              <w:t>《云南省水土保持条例》</w:t>
            </w:r>
            <w:r>
              <w:rPr>
                <w:rFonts w:hint="default" w:ascii="Times New Roman" w:hAnsi="Times New Roman" w:cs="Times New Roman"/>
                <w:sz w:val="21"/>
                <w:szCs w:val="21"/>
              </w:rPr>
              <w:t>的规定</w:t>
            </w:r>
          </w:p>
        </w:tc>
        <w:tc>
          <w:tcPr>
            <w:tcW w:w="2409" w:type="dxa"/>
            <w:vAlign w:val="center"/>
          </w:tcPr>
          <w:p w14:paraId="5AC25AB4">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本项目情况</w:t>
            </w:r>
          </w:p>
        </w:tc>
        <w:tc>
          <w:tcPr>
            <w:tcW w:w="1418" w:type="dxa"/>
            <w:vAlign w:val="center"/>
          </w:tcPr>
          <w:p w14:paraId="75DAA16C">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符合性</w:t>
            </w:r>
          </w:p>
        </w:tc>
      </w:tr>
      <w:tr w14:paraId="0F6A66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82" w:type="dxa"/>
            <w:vAlign w:val="center"/>
          </w:tcPr>
          <w:p w14:paraId="7C4FABC0">
            <w:pPr>
              <w:tabs>
                <w:tab w:val="left" w:pos="3720"/>
              </w:tabs>
              <w:autoSpaceDE w:val="0"/>
              <w:autoSpaceDN w:val="0"/>
              <w:adjustRightInd w:val="0"/>
              <w:snapToGrid w:val="0"/>
              <w:spacing w:line="240" w:lineRule="auto"/>
              <w:ind w:firstLine="0" w:firstLineChars="0"/>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1</w:t>
            </w:r>
          </w:p>
        </w:tc>
        <w:tc>
          <w:tcPr>
            <w:tcW w:w="4962" w:type="dxa"/>
            <w:vAlign w:val="center"/>
          </w:tcPr>
          <w:p w14:paraId="6573D1CD">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不符合流域综合规划的</w:t>
            </w:r>
          </w:p>
        </w:tc>
        <w:tc>
          <w:tcPr>
            <w:tcW w:w="2409" w:type="dxa"/>
            <w:vAlign w:val="center"/>
          </w:tcPr>
          <w:p w14:paraId="30A141C4">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项目符合相关规划</w:t>
            </w:r>
          </w:p>
        </w:tc>
        <w:tc>
          <w:tcPr>
            <w:tcW w:w="1418" w:type="dxa"/>
            <w:vAlign w:val="center"/>
          </w:tcPr>
          <w:p w14:paraId="470147FF">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03164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82" w:type="dxa"/>
            <w:vAlign w:val="center"/>
          </w:tcPr>
          <w:p w14:paraId="51B68E8E">
            <w:pPr>
              <w:tabs>
                <w:tab w:val="left" w:pos="3720"/>
              </w:tabs>
              <w:autoSpaceDE w:val="0"/>
              <w:autoSpaceDN w:val="0"/>
              <w:adjustRightInd w:val="0"/>
              <w:snapToGrid w:val="0"/>
              <w:spacing w:line="240" w:lineRule="auto"/>
              <w:ind w:firstLine="0" w:firstLineChars="0"/>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2</w:t>
            </w:r>
          </w:p>
        </w:tc>
        <w:tc>
          <w:tcPr>
            <w:tcW w:w="4962" w:type="dxa"/>
            <w:vAlign w:val="center"/>
          </w:tcPr>
          <w:p w14:paraId="31FB6FE2">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实行分期建设，其前期工程存在水土保持方案未编报、未落实和水土保持设施未验收等违法行为，尚未改正的</w:t>
            </w:r>
          </w:p>
        </w:tc>
        <w:tc>
          <w:tcPr>
            <w:tcW w:w="2409" w:type="dxa"/>
            <w:vAlign w:val="center"/>
          </w:tcPr>
          <w:p w14:paraId="0D9B16A1">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不属于</w:t>
            </w:r>
          </w:p>
        </w:tc>
        <w:tc>
          <w:tcPr>
            <w:tcW w:w="1418" w:type="dxa"/>
            <w:vAlign w:val="center"/>
          </w:tcPr>
          <w:p w14:paraId="722B2A04">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374DD7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82" w:type="dxa"/>
            <w:vAlign w:val="center"/>
          </w:tcPr>
          <w:p w14:paraId="3024E428">
            <w:pPr>
              <w:tabs>
                <w:tab w:val="left" w:pos="3720"/>
              </w:tabs>
              <w:autoSpaceDE w:val="0"/>
              <w:autoSpaceDN w:val="0"/>
              <w:adjustRightInd w:val="0"/>
              <w:snapToGrid w:val="0"/>
              <w:spacing w:line="240" w:lineRule="auto"/>
              <w:ind w:firstLine="0" w:firstLineChars="0"/>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3</w:t>
            </w:r>
          </w:p>
        </w:tc>
        <w:tc>
          <w:tcPr>
            <w:tcW w:w="4962" w:type="dxa"/>
            <w:vAlign w:val="center"/>
          </w:tcPr>
          <w:p w14:paraId="0E237C8A">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位于重要江河、湖泊水功能一级区内的保护区、保留区可能严重影响水质的</w:t>
            </w:r>
          </w:p>
        </w:tc>
        <w:tc>
          <w:tcPr>
            <w:tcW w:w="2409" w:type="dxa"/>
            <w:vAlign w:val="center"/>
          </w:tcPr>
          <w:p w14:paraId="41EA0EE0">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项目不在水功能一级区</w:t>
            </w:r>
          </w:p>
        </w:tc>
        <w:tc>
          <w:tcPr>
            <w:tcW w:w="1418" w:type="dxa"/>
            <w:vAlign w:val="center"/>
          </w:tcPr>
          <w:p w14:paraId="001562B1">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2D56E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82" w:type="dxa"/>
            <w:vAlign w:val="center"/>
          </w:tcPr>
          <w:p w14:paraId="605931B5">
            <w:pPr>
              <w:tabs>
                <w:tab w:val="left" w:pos="3720"/>
              </w:tabs>
              <w:autoSpaceDE w:val="0"/>
              <w:autoSpaceDN w:val="0"/>
              <w:adjustRightInd w:val="0"/>
              <w:snapToGrid w:val="0"/>
              <w:spacing w:line="240" w:lineRule="auto"/>
              <w:ind w:firstLine="0" w:firstLineChars="0"/>
              <w:jc w:val="center"/>
              <w:textAlignment w:val="bottom"/>
              <w:rPr>
                <w:rFonts w:hint="default" w:ascii="Times New Roman" w:hAnsi="Times New Roman" w:cs="Times New Roman"/>
                <w:sz w:val="21"/>
                <w:szCs w:val="21"/>
              </w:rPr>
            </w:pPr>
            <w:r>
              <w:rPr>
                <w:rFonts w:hint="default" w:ascii="Times New Roman" w:hAnsi="Times New Roman" w:cs="Times New Roman"/>
                <w:sz w:val="21"/>
                <w:szCs w:val="21"/>
              </w:rPr>
              <w:t>4</w:t>
            </w:r>
          </w:p>
        </w:tc>
        <w:tc>
          <w:tcPr>
            <w:tcW w:w="4962" w:type="dxa"/>
            <w:vAlign w:val="center"/>
          </w:tcPr>
          <w:p w14:paraId="1748C691">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对饮用水水源区水质有影响的</w:t>
            </w:r>
          </w:p>
        </w:tc>
        <w:tc>
          <w:tcPr>
            <w:tcW w:w="2409" w:type="dxa"/>
            <w:vAlign w:val="center"/>
          </w:tcPr>
          <w:p w14:paraId="07E0DF9B">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项目不会对饮用水水源区造成影响</w:t>
            </w:r>
          </w:p>
        </w:tc>
        <w:tc>
          <w:tcPr>
            <w:tcW w:w="1418" w:type="dxa"/>
            <w:vAlign w:val="center"/>
          </w:tcPr>
          <w:p w14:paraId="1186409B">
            <w:pPr>
              <w:adjustRightInd w:val="0"/>
              <w:snapToGrid w:val="0"/>
              <w:spacing w:after="60"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14:paraId="671610ED">
      <w:pPr>
        <w:pStyle w:val="4"/>
        <w:rPr>
          <w:rFonts w:hint="default" w:ascii="Times New Roman" w:hAnsi="Times New Roman" w:cs="Times New Roman"/>
        </w:rPr>
      </w:pPr>
      <w:r>
        <w:rPr>
          <w:rFonts w:hint="default" w:ascii="Times New Roman" w:hAnsi="Times New Roman" w:cs="Times New Roman"/>
        </w:rPr>
        <w:t>与《生产建设项目水土保持技术标准》强制性规定相符性分析</w:t>
      </w:r>
    </w:p>
    <w:p w14:paraId="4FA7BF92">
      <w:pPr>
        <w:ind w:firstLine="480"/>
        <w:rPr>
          <w:rFonts w:hint="default" w:ascii="Times New Roman" w:hAnsi="Times New Roman" w:cs="Times New Roman"/>
        </w:rPr>
      </w:pPr>
      <w:r>
        <w:rPr>
          <w:rFonts w:hint="default" w:ascii="Times New Roman" w:hAnsi="Times New Roman" w:cs="Times New Roman"/>
        </w:rPr>
        <w:t>根据《生产建设项目水土保持技术标准》（GB50433-2018），通过现场调查，结合主体设计资料对区域选址情况进行核实分析，工程选址（线）满足水土保持要求。具体分析结果见</w:t>
      </w:r>
      <w:r>
        <w:rPr>
          <w:rFonts w:hint="default" w:ascii="Times New Roman" w:hAnsi="Times New Roman" w:cs="Times New Roman"/>
        </w:rPr>
        <w:fldChar w:fldCharType="begin"/>
      </w:r>
      <w:r>
        <w:rPr>
          <w:rFonts w:hint="default" w:ascii="Times New Roman" w:hAnsi="Times New Roman" w:cs="Times New Roman"/>
        </w:rPr>
        <w:instrText xml:space="preserve"> REF _Ref59304847 \h  \* MERGEFORMAT </w:instrText>
      </w:r>
      <w:r>
        <w:rPr>
          <w:rFonts w:hint="default" w:ascii="Times New Roman" w:hAnsi="Times New Roman" w:cs="Times New Roman"/>
        </w:rPr>
        <w:fldChar w:fldCharType="separate"/>
      </w:r>
      <w:r>
        <w:rPr>
          <w:rFonts w:hint="default" w:ascii="Times New Roman" w:hAnsi="Times New Roman" w:cs="Times New Roman"/>
        </w:rPr>
        <w:t>表 3</w:t>
      </w:r>
      <w:r>
        <w:rPr>
          <w:rFonts w:hint="default" w:ascii="Times New Roman" w:hAnsi="Times New Roman" w:cs="Times New Roman"/>
        </w:rPr>
        <w:noBreakHyphen/>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t>。</w:t>
      </w:r>
    </w:p>
    <w:p w14:paraId="579797D3">
      <w:pPr>
        <w:pStyle w:val="12"/>
        <w:keepNext/>
        <w:ind w:firstLine="0" w:firstLineChars="0"/>
        <w:jc w:val="center"/>
        <w:rPr>
          <w:rFonts w:hint="default" w:ascii="Times New Roman" w:hAnsi="Times New Roman" w:cs="Times New Roman"/>
        </w:rPr>
      </w:pPr>
      <w:bookmarkStart w:id="50" w:name="_Ref59304847"/>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noBreakHyphen/>
      </w:r>
      <w:bookmarkEnd w:id="50"/>
      <w:r>
        <w:rPr>
          <w:rFonts w:hint="default" w:ascii="Times New Roman" w:hAnsi="Times New Roman" w:cs="Times New Roman"/>
        </w:rPr>
        <w:t>3        本项目与《生产建设项目水土保持技术标准》强制性规定分析表</w:t>
      </w:r>
    </w:p>
    <w:tbl>
      <w:tblPr>
        <w:tblStyle w:val="27"/>
        <w:tblW w:w="94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49"/>
        <w:gridCol w:w="4441"/>
        <w:gridCol w:w="3243"/>
        <w:gridCol w:w="1132"/>
      </w:tblGrid>
      <w:tr w14:paraId="522E8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1" w:hRule="atLeast"/>
          <w:tblHeader/>
          <w:jc w:val="center"/>
        </w:trPr>
        <w:tc>
          <w:tcPr>
            <w:tcW w:w="649" w:type="dxa"/>
            <w:shd w:val="clear" w:color="auto" w:fill="auto"/>
            <w:vAlign w:val="center"/>
          </w:tcPr>
          <w:p w14:paraId="4177DD2B">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序号</w:t>
            </w:r>
          </w:p>
        </w:tc>
        <w:tc>
          <w:tcPr>
            <w:tcW w:w="4441" w:type="dxa"/>
            <w:shd w:val="clear" w:color="auto" w:fill="auto"/>
            <w:vAlign w:val="center"/>
          </w:tcPr>
          <w:p w14:paraId="192F9178">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《生产建设项目水土保持技术标准》（GB50433-2018）相关强制性规定</w:t>
            </w:r>
          </w:p>
        </w:tc>
        <w:tc>
          <w:tcPr>
            <w:tcW w:w="3243" w:type="dxa"/>
            <w:shd w:val="clear" w:color="auto" w:fill="auto"/>
            <w:vAlign w:val="center"/>
          </w:tcPr>
          <w:p w14:paraId="6B6D27D8">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本项目情况</w:t>
            </w:r>
          </w:p>
        </w:tc>
        <w:tc>
          <w:tcPr>
            <w:tcW w:w="1132" w:type="dxa"/>
            <w:shd w:val="clear" w:color="auto" w:fill="auto"/>
            <w:vAlign w:val="center"/>
          </w:tcPr>
          <w:p w14:paraId="645EE205">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符合性</w:t>
            </w:r>
          </w:p>
        </w:tc>
      </w:tr>
      <w:tr w14:paraId="60B1F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1" w:hRule="atLeast"/>
          <w:jc w:val="center"/>
        </w:trPr>
        <w:tc>
          <w:tcPr>
            <w:tcW w:w="649" w:type="dxa"/>
            <w:shd w:val="clear" w:color="auto" w:fill="auto"/>
            <w:vAlign w:val="center"/>
          </w:tcPr>
          <w:p w14:paraId="322B59B3">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1</w:t>
            </w:r>
          </w:p>
        </w:tc>
        <w:tc>
          <w:tcPr>
            <w:tcW w:w="4441" w:type="dxa"/>
            <w:shd w:val="clear" w:color="auto" w:fill="auto"/>
            <w:vAlign w:val="center"/>
          </w:tcPr>
          <w:p w14:paraId="646EB5E7">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选址（线）应避让水土流失重点预防区和重点治理区。</w:t>
            </w:r>
          </w:p>
        </w:tc>
        <w:tc>
          <w:tcPr>
            <w:tcW w:w="3243" w:type="dxa"/>
            <w:shd w:val="clear" w:color="auto" w:fill="auto"/>
            <w:vAlign w:val="center"/>
          </w:tcPr>
          <w:p w14:paraId="742FB191">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属于</w:t>
            </w:r>
            <w:r>
              <w:rPr>
                <w:rFonts w:hint="default" w:ascii="Times New Roman" w:hAnsi="Times New Roman" w:cs="Times New Roman"/>
                <w:color w:val="auto"/>
                <w:lang w:val="en-US" w:eastAsia="zh-CN"/>
              </w:rPr>
              <w:t>金沙江下游国家级水土流失重点治理区</w:t>
            </w:r>
            <w:r>
              <w:rPr>
                <w:rFonts w:hint="default" w:ascii="Times New Roman" w:hAnsi="Times New Roman" w:cs="Times New Roman"/>
                <w:color w:val="auto"/>
              </w:rPr>
              <w:t>，</w:t>
            </w:r>
            <w:r>
              <w:rPr>
                <w:color w:val="auto"/>
              </w:rPr>
              <w:t>选址唯一，无法避让</w:t>
            </w:r>
            <w:r>
              <w:rPr>
                <w:rFonts w:hint="eastAsia"/>
                <w:color w:val="auto"/>
                <w:lang w:eastAsia="zh-CN"/>
              </w:rPr>
              <w:t>。</w:t>
            </w:r>
            <w:r>
              <w:rPr>
                <w:color w:val="auto"/>
              </w:rPr>
              <w:t>防治标准按一级标准执行</w:t>
            </w:r>
            <w:r>
              <w:rPr>
                <w:rFonts w:hint="eastAsia"/>
                <w:color w:val="auto"/>
                <w:lang w:eastAsia="zh-CN"/>
              </w:rPr>
              <w:t>。</w:t>
            </w:r>
          </w:p>
        </w:tc>
        <w:tc>
          <w:tcPr>
            <w:tcW w:w="1132" w:type="dxa"/>
            <w:shd w:val="clear" w:color="auto" w:fill="auto"/>
            <w:vAlign w:val="center"/>
          </w:tcPr>
          <w:p w14:paraId="492338F6">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33FC1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1" w:hRule="atLeast"/>
          <w:jc w:val="center"/>
        </w:trPr>
        <w:tc>
          <w:tcPr>
            <w:tcW w:w="649" w:type="dxa"/>
            <w:shd w:val="clear" w:color="auto" w:fill="auto"/>
            <w:vAlign w:val="center"/>
          </w:tcPr>
          <w:p w14:paraId="45E29F3C">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2</w:t>
            </w:r>
          </w:p>
        </w:tc>
        <w:tc>
          <w:tcPr>
            <w:tcW w:w="4441" w:type="dxa"/>
            <w:shd w:val="clear" w:color="auto" w:fill="auto"/>
            <w:vAlign w:val="center"/>
          </w:tcPr>
          <w:p w14:paraId="62E541CD">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选址（线）应避让河流两岸、湖泊和水库周边的植物保护带</w:t>
            </w:r>
          </w:p>
        </w:tc>
        <w:tc>
          <w:tcPr>
            <w:tcW w:w="3243" w:type="dxa"/>
            <w:shd w:val="clear" w:color="auto" w:fill="auto"/>
            <w:vAlign w:val="center"/>
          </w:tcPr>
          <w:p w14:paraId="767726E9">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本项目不涉及上述区域</w:t>
            </w:r>
          </w:p>
        </w:tc>
        <w:tc>
          <w:tcPr>
            <w:tcW w:w="1132" w:type="dxa"/>
            <w:shd w:val="clear" w:color="auto" w:fill="auto"/>
            <w:vAlign w:val="center"/>
          </w:tcPr>
          <w:p w14:paraId="63FEFC96">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3E16DE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1" w:hRule="atLeast"/>
          <w:jc w:val="center"/>
        </w:trPr>
        <w:tc>
          <w:tcPr>
            <w:tcW w:w="649" w:type="dxa"/>
            <w:shd w:val="clear" w:color="auto" w:fill="auto"/>
            <w:vAlign w:val="center"/>
          </w:tcPr>
          <w:p w14:paraId="3116F558">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3</w:t>
            </w:r>
          </w:p>
        </w:tc>
        <w:tc>
          <w:tcPr>
            <w:tcW w:w="4441" w:type="dxa"/>
            <w:shd w:val="clear" w:color="auto" w:fill="auto"/>
            <w:vAlign w:val="center"/>
          </w:tcPr>
          <w:p w14:paraId="00E45ADE">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选址（线）应避让全国水土保持监测网络中的水土保持监测站点、重点实验区及国家确定的水土保持长期定位观测站</w:t>
            </w:r>
          </w:p>
        </w:tc>
        <w:tc>
          <w:tcPr>
            <w:tcW w:w="3243" w:type="dxa"/>
            <w:shd w:val="clear" w:color="auto" w:fill="auto"/>
            <w:vAlign w:val="center"/>
          </w:tcPr>
          <w:p w14:paraId="732F5A44">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本项目不涉及上述区域</w:t>
            </w:r>
          </w:p>
        </w:tc>
        <w:tc>
          <w:tcPr>
            <w:tcW w:w="1132" w:type="dxa"/>
            <w:shd w:val="clear" w:color="auto" w:fill="auto"/>
            <w:vAlign w:val="center"/>
          </w:tcPr>
          <w:p w14:paraId="0CD06C96">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10941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1" w:hRule="atLeast"/>
          <w:jc w:val="center"/>
        </w:trPr>
        <w:tc>
          <w:tcPr>
            <w:tcW w:w="649" w:type="dxa"/>
            <w:shd w:val="clear" w:color="auto" w:fill="auto"/>
            <w:vAlign w:val="center"/>
          </w:tcPr>
          <w:p w14:paraId="19B2DCAC">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4</w:t>
            </w:r>
          </w:p>
        </w:tc>
        <w:tc>
          <w:tcPr>
            <w:tcW w:w="4441" w:type="dxa"/>
            <w:shd w:val="clear" w:color="auto" w:fill="auto"/>
            <w:vAlign w:val="center"/>
          </w:tcPr>
          <w:p w14:paraId="1C1E07BE">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严禁在崩塌和滑坡危险区、泥石流易发区内设置取土（石、料）场。</w:t>
            </w:r>
          </w:p>
        </w:tc>
        <w:tc>
          <w:tcPr>
            <w:tcW w:w="3243" w:type="dxa"/>
            <w:shd w:val="clear" w:color="auto" w:fill="auto"/>
            <w:vAlign w:val="center"/>
          </w:tcPr>
          <w:p w14:paraId="319B9B2C">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本项目没有取土（石、料）场</w:t>
            </w:r>
          </w:p>
        </w:tc>
        <w:tc>
          <w:tcPr>
            <w:tcW w:w="1132" w:type="dxa"/>
            <w:shd w:val="clear" w:color="auto" w:fill="auto"/>
            <w:vAlign w:val="center"/>
          </w:tcPr>
          <w:p w14:paraId="25B9E089">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r w14:paraId="60A56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21" w:hRule="atLeast"/>
          <w:jc w:val="center"/>
        </w:trPr>
        <w:tc>
          <w:tcPr>
            <w:tcW w:w="649" w:type="dxa"/>
            <w:shd w:val="clear" w:color="auto" w:fill="auto"/>
            <w:vAlign w:val="center"/>
          </w:tcPr>
          <w:p w14:paraId="79FE9DDE">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5</w:t>
            </w:r>
          </w:p>
        </w:tc>
        <w:tc>
          <w:tcPr>
            <w:tcW w:w="4441" w:type="dxa"/>
            <w:shd w:val="clear" w:color="auto" w:fill="auto"/>
            <w:vAlign w:val="center"/>
          </w:tcPr>
          <w:p w14:paraId="548466CD">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禁止在在对公共设施、基础设施、工业企业、居民点等有重大影响的区域设置弃土（石、渣、灰、矸石、尾矿）场。</w:t>
            </w:r>
          </w:p>
        </w:tc>
        <w:tc>
          <w:tcPr>
            <w:tcW w:w="3243" w:type="dxa"/>
            <w:shd w:val="clear" w:color="auto" w:fill="auto"/>
            <w:vAlign w:val="center"/>
          </w:tcPr>
          <w:p w14:paraId="1C78768D">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本项目不设弃渣场和矸石场</w:t>
            </w:r>
          </w:p>
        </w:tc>
        <w:tc>
          <w:tcPr>
            <w:tcW w:w="1132" w:type="dxa"/>
            <w:shd w:val="clear" w:color="auto" w:fill="auto"/>
            <w:vAlign w:val="center"/>
          </w:tcPr>
          <w:p w14:paraId="4517459A">
            <w:pPr>
              <w:pStyle w:val="48"/>
              <w:spacing w:line="240" w:lineRule="auto"/>
              <w:rPr>
                <w:rFonts w:hint="default" w:ascii="Times New Roman" w:hAnsi="Times New Roman" w:cs="Times New Roman"/>
                <w:color w:val="auto"/>
              </w:rPr>
            </w:pPr>
            <w:r>
              <w:rPr>
                <w:rFonts w:hint="default" w:ascii="Times New Roman" w:hAnsi="Times New Roman" w:cs="Times New Roman"/>
                <w:color w:val="auto"/>
              </w:rPr>
              <w:t>符合</w:t>
            </w:r>
          </w:p>
        </w:tc>
      </w:tr>
    </w:tbl>
    <w:p w14:paraId="446A52C6">
      <w:pPr>
        <w:pStyle w:val="4"/>
        <w:rPr>
          <w:rFonts w:hint="default" w:ascii="Times New Roman" w:hAnsi="Times New Roman" w:cs="Times New Roman"/>
        </w:rPr>
      </w:pPr>
      <w:r>
        <w:rPr>
          <w:rFonts w:hint="default" w:ascii="Times New Roman" w:hAnsi="Times New Roman" w:cs="Times New Roman"/>
        </w:rPr>
        <w:t>主体工程选址水土保持评价结论</w:t>
      </w:r>
    </w:p>
    <w:p w14:paraId="1DC6574D">
      <w:pPr>
        <w:ind w:firstLine="48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本项目属于金沙江下游国家级水土流失重点治理区，不处于重点治理成果区。方案按建设类西南岩溶区一级标准进行防治，同时，提高工程措施等级和植物措施防护标准，考虑了环境容量的承载力。项目建设未涉及影响引水安全、防洪安全、水资源安全等项目。</w:t>
      </w:r>
    </w:p>
    <w:p w14:paraId="6DFC294F">
      <w:pPr>
        <w:tabs>
          <w:tab w:val="left" w:pos="2410"/>
        </w:tabs>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（2）工程选址未占用河流两岸、湖泊和水库周边的植物保护带。</w:t>
      </w:r>
    </w:p>
    <w:p w14:paraId="50D40879">
      <w:pPr>
        <w:tabs>
          <w:tab w:val="left" w:pos="2410"/>
        </w:tabs>
        <w:spacing w:line="360" w:lineRule="auto"/>
        <w:ind w:firstLine="480" w:firstLineChars="200"/>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（3）本项目建设场地不属于全国水土保持监测网络中的水土保持监测站点、重点试验区，未占用国家确定的水土保持长期定位观测站。</w:t>
      </w:r>
    </w:p>
    <w:p w14:paraId="4B72352E">
      <w:pPr>
        <w:ind w:firstLine="480"/>
        <w:rPr>
          <w:color w:val="auto"/>
        </w:rPr>
      </w:pPr>
      <w:r>
        <w:rPr>
          <w:rFonts w:hint="eastAsia"/>
          <w:color w:val="auto"/>
          <w:lang w:val="en-US" w:eastAsia="zh-CN"/>
        </w:rPr>
        <w:t>综上所述，</w:t>
      </w:r>
      <w:r>
        <w:rPr>
          <w:color w:val="auto"/>
        </w:rPr>
        <w:t>经过水土保持制约性因素分析，</w:t>
      </w:r>
      <w:r>
        <w:rPr>
          <w:rFonts w:hint="eastAsia"/>
          <w:color w:val="auto"/>
          <w:sz w:val="24"/>
        </w:rPr>
        <w:t>本项目选址符合约束性规定，且用地性质符合会泽县总体规划要求</w:t>
      </w:r>
      <w:r>
        <w:rPr>
          <w:rFonts w:hint="eastAsia"/>
          <w:color w:val="auto"/>
          <w:sz w:val="24"/>
          <w:lang w:eastAsia="zh-CN"/>
        </w:rPr>
        <w:t>，</w:t>
      </w:r>
      <w:r>
        <w:rPr>
          <w:color w:val="auto"/>
        </w:rPr>
        <w:t>工程选址符合《生产建设项目水土保持技术标准》、《中华人民共和国水土保持法》、</w:t>
      </w:r>
      <w:r>
        <w:rPr>
          <w:rFonts w:hint="eastAsia"/>
          <w:color w:val="auto"/>
          <w:lang w:eastAsia="zh-CN"/>
        </w:rPr>
        <w:t>《云南省水土保持条例》</w:t>
      </w:r>
      <w:r>
        <w:rPr>
          <w:color w:val="auto"/>
        </w:rPr>
        <w:t>及水保〔2007〕184 号文审批条件对工程选址的基本要求，本项目不存在水土保持制约性因素。</w:t>
      </w:r>
    </w:p>
    <w:p w14:paraId="645B06BF">
      <w:pPr>
        <w:pStyle w:val="3"/>
        <w:rPr>
          <w:rFonts w:hint="default" w:ascii="Times New Roman" w:hAnsi="Times New Roman" w:cs="Times New Roman"/>
        </w:rPr>
      </w:pPr>
      <w:bookmarkStart w:id="51" w:name="_Toc165223573"/>
      <w:r>
        <w:rPr>
          <w:rFonts w:hint="default" w:ascii="Times New Roman" w:hAnsi="Times New Roman" w:cs="Times New Roman"/>
        </w:rPr>
        <w:t>建设方案与布局水土保持评价</w:t>
      </w:r>
      <w:bookmarkEnd w:id="51"/>
    </w:p>
    <w:p w14:paraId="5E1812DE">
      <w:pPr>
        <w:pStyle w:val="4"/>
        <w:rPr>
          <w:rFonts w:hint="default" w:ascii="Times New Roman" w:hAnsi="Times New Roman" w:cs="Times New Roman"/>
        </w:rPr>
      </w:pPr>
      <w:r>
        <w:rPr>
          <w:rFonts w:hint="default" w:ascii="Times New Roman" w:hAnsi="Times New Roman" w:cs="Times New Roman"/>
        </w:rPr>
        <w:t>建设方案评价</w:t>
      </w:r>
    </w:p>
    <w:p w14:paraId="3306F863">
      <w:pPr>
        <w:adjustRightInd w:val="0"/>
        <w:snapToGrid w:val="0"/>
        <w:ind w:firstLine="480"/>
        <w:rPr>
          <w:rFonts w:hint="default" w:ascii="Times New Roman" w:hAnsi="Times New Roman" w:cs="Times New Roman"/>
        </w:rPr>
      </w:pPr>
      <w:r>
        <w:rPr>
          <w:rFonts w:hint="default" w:ascii="Times New Roman" w:hAnsi="Times New Roman" w:cs="Times New Roman"/>
          <w:kern w:val="0"/>
        </w:rPr>
        <w:t>项目区地势整体较为平缓，</w:t>
      </w:r>
      <w:r>
        <w:rPr>
          <w:rFonts w:hint="default" w:ascii="Times New Roman" w:hAnsi="Times New Roman" w:cs="Times New Roman"/>
          <w:lang w:val="zh-CN"/>
        </w:rPr>
        <w:t>项目区</w:t>
      </w:r>
      <w:r>
        <w:rPr>
          <w:rFonts w:hint="eastAsia" w:cs="Times New Roman"/>
          <w:lang w:val="en-US" w:eastAsia="zh-CN"/>
        </w:rPr>
        <w:t>地块一</w:t>
      </w:r>
      <w:r>
        <w:rPr>
          <w:rFonts w:hint="default" w:ascii="Times New Roman" w:hAnsi="Times New Roman" w:cs="Times New Roman"/>
          <w:lang w:val="zh-CN"/>
        </w:rPr>
        <w:t>原始标高为</w:t>
      </w:r>
      <w:r>
        <w:rPr>
          <w:rFonts w:hint="eastAsia" w:cs="Times New Roman"/>
          <w:lang w:val="en-US" w:eastAsia="zh-CN"/>
        </w:rPr>
        <w:t>2291.65</w:t>
      </w:r>
      <w:r>
        <w:rPr>
          <w:rFonts w:hint="default" w:ascii="Times New Roman" w:hAnsi="Times New Roman" w:cs="Times New Roman"/>
          <w:lang w:val="zh-CN"/>
        </w:rPr>
        <w:t>~2</w:t>
      </w:r>
      <w:r>
        <w:rPr>
          <w:rFonts w:hint="eastAsia" w:cs="Times New Roman"/>
          <w:lang w:val="en-US" w:eastAsia="zh-CN"/>
        </w:rPr>
        <w:t>292.50</w:t>
      </w:r>
      <w:r>
        <w:rPr>
          <w:rFonts w:hint="default" w:ascii="Times New Roman" w:hAnsi="Times New Roman" w:cs="Times New Roman"/>
          <w:lang w:val="zh-CN"/>
        </w:rPr>
        <w:t>m，相对高差0.</w:t>
      </w:r>
      <w:r>
        <w:rPr>
          <w:rFonts w:hint="eastAsia" w:cs="Times New Roman"/>
          <w:lang w:val="en-US" w:eastAsia="zh-CN"/>
        </w:rPr>
        <w:t>85</w:t>
      </w:r>
      <w:r>
        <w:rPr>
          <w:rFonts w:hint="default" w:ascii="Times New Roman" w:hAnsi="Times New Roman" w:cs="Times New Roman"/>
          <w:lang w:val="zh-CN"/>
        </w:rPr>
        <w:t>m</w:t>
      </w:r>
      <w:r>
        <w:rPr>
          <w:rFonts w:hint="eastAsia" w:cs="Times New Roman"/>
          <w:lang w:val="zh-CN"/>
        </w:rPr>
        <w:t>；</w:t>
      </w:r>
      <w:r>
        <w:rPr>
          <w:rFonts w:hint="eastAsia" w:cs="Times New Roman"/>
          <w:lang w:val="en-US" w:eastAsia="zh-CN"/>
        </w:rPr>
        <w:t>地块二</w:t>
      </w:r>
      <w:r>
        <w:rPr>
          <w:rFonts w:hint="default" w:ascii="Times New Roman" w:hAnsi="Times New Roman" w:cs="Times New Roman"/>
          <w:lang w:val="zh-CN"/>
        </w:rPr>
        <w:t>原始标高为</w:t>
      </w:r>
      <w:r>
        <w:rPr>
          <w:rFonts w:hint="eastAsia" w:cs="Times New Roman"/>
          <w:lang w:val="en-US" w:eastAsia="zh-CN"/>
        </w:rPr>
        <w:t>2290.36m</w:t>
      </w:r>
      <w:r>
        <w:rPr>
          <w:rFonts w:hint="default" w:ascii="Times New Roman" w:hAnsi="Times New Roman" w:cs="Times New Roman"/>
          <w:lang w:val="zh-CN"/>
        </w:rPr>
        <w:t>~2</w:t>
      </w:r>
      <w:r>
        <w:rPr>
          <w:rFonts w:hint="eastAsia" w:cs="Times New Roman"/>
          <w:lang w:val="en-US" w:eastAsia="zh-CN"/>
        </w:rPr>
        <w:t>291.74</w:t>
      </w:r>
      <w:r>
        <w:rPr>
          <w:rFonts w:hint="default" w:ascii="Times New Roman" w:hAnsi="Times New Roman" w:cs="Times New Roman"/>
          <w:lang w:val="zh-CN"/>
        </w:rPr>
        <w:t>m，相对高差</w:t>
      </w:r>
      <w:r>
        <w:rPr>
          <w:rFonts w:hint="eastAsia" w:cs="Times New Roman"/>
          <w:lang w:val="en-US" w:eastAsia="zh-CN"/>
        </w:rPr>
        <w:t>1.38</w:t>
      </w:r>
      <w:r>
        <w:rPr>
          <w:rFonts w:hint="default" w:ascii="Times New Roman" w:hAnsi="Times New Roman" w:cs="Times New Roman"/>
          <w:lang w:val="zh-CN"/>
        </w:rPr>
        <w:t>m，征占用土地为建设用地，原始</w:t>
      </w:r>
      <w:r>
        <w:rPr>
          <w:rFonts w:hint="default" w:ascii="Times New Roman" w:hAnsi="Times New Roman" w:cs="Times New Roman"/>
        </w:rPr>
        <w:t>地形平缓</w:t>
      </w:r>
      <w:r>
        <w:rPr>
          <w:rFonts w:hint="default" w:ascii="Times New Roman" w:hAnsi="Times New Roman" w:cs="Times New Roman"/>
          <w:lang w:val="zh-CN"/>
        </w:rPr>
        <w:t>。</w:t>
      </w:r>
      <w:r>
        <w:rPr>
          <w:rFonts w:hint="default" w:ascii="Times New Roman" w:hAnsi="Times New Roman" w:cs="Times New Roman"/>
        </w:rPr>
        <w:t>主体工程设计根据项目区现状地形情况及设计标高，采用高挖低填的方式，对项目区进行简单场地平整，建设区域布设充分利用了自然地形，布局紧凑合理，针对项目区占地的特点考虑在建构筑物、</w:t>
      </w:r>
      <w:r>
        <w:rPr>
          <w:rFonts w:hint="eastAsia" w:cs="Times New Roman"/>
          <w:lang w:eastAsia="zh-CN"/>
        </w:rPr>
        <w:t>道路及硬化区</w:t>
      </w:r>
      <w:r>
        <w:rPr>
          <w:rFonts w:hint="default" w:ascii="Times New Roman" w:hAnsi="Times New Roman" w:cs="Times New Roman"/>
        </w:rPr>
        <w:t>周围规划了雨、污水收集排放系统，针对各区域采取合理的施工工艺及防护措施，减少施工期间的水土流失量。因此，从水土保持的角度来看，项目总体布局考虑了项目区原始地形及土石方工程量，还对各建设区域考虑布置排水、绿化等具有水保功能的措施，有效地减少了项目区的水土流失。</w:t>
      </w:r>
    </w:p>
    <w:p w14:paraId="3B86E828">
      <w:pPr>
        <w:adjustRightInd w:val="0"/>
        <w:snapToGrid w:val="0"/>
        <w:ind w:firstLine="480"/>
        <w:rPr>
          <w:rFonts w:hint="default" w:ascii="Times New Roman" w:hAnsi="Times New Roman" w:cs="Times New Roman"/>
        </w:rPr>
      </w:pPr>
      <w:r>
        <w:rPr>
          <w:rFonts w:hint="default" w:ascii="Times New Roman" w:hAnsi="Times New Roman" w:cs="Times New Roman"/>
        </w:rPr>
        <w:t>综上所述，项目区总体布局合理。</w:t>
      </w:r>
    </w:p>
    <w:p w14:paraId="65E28918">
      <w:pPr>
        <w:pStyle w:val="4"/>
        <w:rPr>
          <w:rFonts w:hint="default" w:ascii="Times New Roman" w:hAnsi="Times New Roman" w:cs="Times New Roman"/>
        </w:rPr>
      </w:pPr>
      <w:r>
        <w:rPr>
          <w:rFonts w:hint="default" w:ascii="Times New Roman" w:hAnsi="Times New Roman" w:cs="Times New Roman"/>
        </w:rPr>
        <w:t>工程建设占地评价</w:t>
      </w:r>
    </w:p>
    <w:p w14:paraId="6BE3CBAC">
      <w:pPr>
        <w:snapToGrid w:val="0"/>
        <w:ind w:firstLine="480"/>
        <w:rPr>
          <w:rFonts w:hint="default" w:ascii="Times New Roman" w:hAnsi="Times New Roman" w:cs="Times New Roman"/>
        </w:rPr>
      </w:pPr>
      <w:r>
        <w:rPr>
          <w:rFonts w:hint="default" w:ascii="Times New Roman" w:hAnsi="Times New Roman" w:cs="Times New Roman"/>
        </w:rPr>
        <w:t>根据工程设计资料，结合工程区土地利用现状统计及现场调查结果进行计算分析，本工程</w:t>
      </w:r>
      <w:r>
        <w:rPr>
          <w:rFonts w:hint="default" w:ascii="Times New Roman" w:hAnsi="Times New Roman" w:cs="Times New Roman"/>
          <w:lang w:val="zh-CN"/>
        </w:rPr>
        <w:t>总占地面积为</w:t>
      </w:r>
      <w:r>
        <w:rPr>
          <w:rFonts w:hint="eastAsia" w:cs="Times New Roman"/>
          <w:lang w:val="en-US" w:eastAsia="zh-CN"/>
        </w:rPr>
        <w:t>1.51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，均为建设用地</w:t>
      </w:r>
      <w:r>
        <w:rPr>
          <w:rFonts w:hint="default" w:ascii="Times New Roman" w:hAnsi="Times New Roman" w:cs="Times New Roman"/>
        </w:rPr>
        <w:t>。从占地类型来看，项目占地符合会泽县</w:t>
      </w:r>
      <w:r>
        <w:rPr>
          <w:rFonts w:hint="eastAsia" w:cs="Times New Roman"/>
          <w:lang w:val="en-US" w:eastAsia="zh-CN"/>
        </w:rPr>
        <w:t>城镇</w:t>
      </w:r>
      <w:r>
        <w:rPr>
          <w:rFonts w:hint="default" w:ascii="Times New Roman" w:hAnsi="Times New Roman" w:cs="Times New Roman"/>
        </w:rPr>
        <w:t>建设总体规划，符合相关的规划和政策法规，均为规划的</w:t>
      </w:r>
      <w:r>
        <w:rPr>
          <w:rFonts w:hint="eastAsia" w:cs="Times New Roman"/>
          <w:lang w:val="en-US" w:eastAsia="zh-CN"/>
        </w:rPr>
        <w:t>城镇</w:t>
      </w:r>
      <w:r>
        <w:rPr>
          <w:rFonts w:hint="default" w:ascii="Times New Roman" w:hAnsi="Times New Roman" w:cs="Times New Roman"/>
        </w:rPr>
        <w:t>建设用地。同时在工程建设完工后，大部分区域被建构筑物及场地硬化所覆盖，水土流失大大降低、并随着绿化措施的实施，原有水土流失能得到有效控制。临时施工场地、表土收集保护场地布设在工程区内，不再另外征占地，这些布设客观上减少了占用土地的面积，减少了水土流失危害。从水土保持角度看，本工程的征占地是符合水土保持要求的。</w:t>
      </w:r>
    </w:p>
    <w:p w14:paraId="50F5D8DC">
      <w:pPr>
        <w:pStyle w:val="4"/>
        <w:rPr>
          <w:rFonts w:hint="default" w:ascii="Times New Roman" w:hAnsi="Times New Roman" w:cs="Times New Roman"/>
        </w:rPr>
      </w:pPr>
      <w:r>
        <w:rPr>
          <w:rFonts w:hint="default" w:ascii="Times New Roman" w:hAnsi="Times New Roman" w:cs="Times New Roman"/>
        </w:rPr>
        <w:t>土石方平衡分析</w:t>
      </w:r>
    </w:p>
    <w:p w14:paraId="634D5270">
      <w:pPr>
        <w:adjustRightInd w:val="0"/>
        <w:snapToGrid w:val="0"/>
        <w:ind w:firstLine="480"/>
        <w:rPr>
          <w:rFonts w:hint="default" w:ascii="Times New Roman" w:hAnsi="Times New Roman" w:cs="Times New Roman"/>
        </w:rPr>
      </w:pPr>
      <w:r>
        <w:rPr>
          <w:rFonts w:hint="default" w:ascii="Times New Roman" w:hAnsi="Times New Roman" w:cs="Times New Roman"/>
        </w:rPr>
        <w:t>本工程的设计原则是尽量做到利用挖方，减少废弃土石方量，尽可能纵向调配。</w:t>
      </w:r>
    </w:p>
    <w:p w14:paraId="015077EA">
      <w:pPr>
        <w:adjustRightInd w:val="0"/>
        <w:snapToGrid w:val="0"/>
        <w:ind w:firstLine="480"/>
        <w:rPr>
          <w:rFonts w:hint="default" w:ascii="Times New Roman" w:hAnsi="Times New Roman" w:cs="Times New Roman"/>
        </w:rPr>
      </w:pPr>
      <w:r>
        <w:rPr>
          <w:rFonts w:hint="default" w:ascii="Times New Roman" w:hAnsi="Times New Roman" w:cs="Times New Roman"/>
        </w:rPr>
        <w:t>根据土石方平衡分析得出，本项目共开挖土石方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（其中表土剥离</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，建筑垃圾</w:t>
      </w:r>
      <w:r>
        <w:rPr>
          <w:rFonts w:hint="eastAsia" w:cs="Times New Roman"/>
          <w:lang w:val="en-US" w:eastAsia="zh-CN"/>
        </w:rPr>
        <w:t>204.60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，场地平整</w:t>
      </w:r>
      <w:r>
        <w:rPr>
          <w:rFonts w:hint="eastAsia" w:cs="Times New Roman"/>
          <w:lang w:val="en-US" w:eastAsia="zh-CN"/>
        </w:rPr>
        <w:t>3171.00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，基础开挖</w:t>
      </w:r>
      <w:r>
        <w:rPr>
          <w:rFonts w:hint="eastAsia" w:cs="Times New Roman"/>
          <w:lang w:val="en-US" w:eastAsia="zh-CN"/>
        </w:rPr>
        <w:t>4750.00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），回填土石方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（其中绿化覆土</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，一般回填</w:t>
      </w:r>
      <w:r>
        <w:rPr>
          <w:rFonts w:hint="eastAsia" w:cs="Times New Roman"/>
          <w:lang w:val="en-US" w:eastAsia="zh-CN"/>
        </w:rPr>
        <w:t>8125.60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），项目区内调运土石方</w:t>
      </w:r>
      <w:r>
        <w:rPr>
          <w:rFonts w:hint="eastAsia" w:cs="Times New Roman"/>
          <w:lang w:val="en-US" w:eastAsia="zh-CN"/>
        </w:rPr>
        <w:t>4329.60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w:t>
      </w:r>
      <w:r>
        <w:rPr>
          <w:rFonts w:hint="eastAsia" w:cs="Times New Roman"/>
          <w:color w:val="auto"/>
          <w:lang w:val="en-US" w:eastAsia="zh-CN"/>
        </w:rPr>
        <w:t>不</w:t>
      </w:r>
      <w:r>
        <w:rPr>
          <w:rFonts w:hint="default" w:ascii="Times New Roman" w:hAnsi="Times New Roman" w:cs="Times New Roman"/>
          <w:color w:val="auto"/>
        </w:rPr>
        <w:t>产生永久弃方。</w:t>
      </w:r>
    </w:p>
    <w:p w14:paraId="760BE846">
      <w:pPr>
        <w:adjustRightInd w:val="0"/>
        <w:snapToGrid w:val="0"/>
        <w:ind w:firstLine="480"/>
        <w:rPr>
          <w:rFonts w:hint="default" w:ascii="Times New Roman" w:hAnsi="Times New Roman" w:cs="Times New Roman"/>
          <w:lang w:val="zh-CN"/>
        </w:rPr>
      </w:pPr>
      <w:r>
        <w:rPr>
          <w:rFonts w:hint="default" w:ascii="Times New Roman" w:hAnsi="Times New Roman" w:cs="Times New Roman"/>
          <w:lang w:val="zh-CN"/>
        </w:rPr>
        <w:t>根据土石方平衡分析及工程实际建设进度安排，并结合工程土石方开挖、回填量及项目区实际情况等特点；工程建设过程中将场平及基础开挖产生的土石方用于场地回填，绿化区采用收集保护的种植土作为绿化覆土改善区内立地条件</w:t>
      </w:r>
      <w:r>
        <w:rPr>
          <w:rFonts w:hint="eastAsia" w:cs="Times New Roman"/>
          <w:lang w:val="zh-CN"/>
        </w:rPr>
        <w:t>，</w:t>
      </w:r>
      <w:r>
        <w:rPr>
          <w:rFonts w:hint="eastAsia" w:cs="Times New Roman"/>
          <w:lang w:val="en-US" w:eastAsia="zh-CN"/>
        </w:rPr>
        <w:t>并进行项目区地块内部调用，提高表土利用及保护率</w:t>
      </w:r>
      <w:r>
        <w:rPr>
          <w:rFonts w:hint="default" w:ascii="Times New Roman" w:hAnsi="Times New Roman" w:cs="Times New Roman"/>
        </w:rPr>
        <w:t>；提高土石方的利用效率，节约了工程建设投资。</w:t>
      </w:r>
      <w:r>
        <w:rPr>
          <w:rFonts w:hint="default" w:ascii="Times New Roman" w:hAnsi="Times New Roman" w:cs="Times New Roman"/>
          <w:lang w:val="zh-CN"/>
        </w:rPr>
        <w:t>同时通过对主体工程建设方案及资料等分析，从水土保持的角度分析认为，土石方的施工、回填利用方式合理可行，施工时序的衔接恰当合理。</w:t>
      </w:r>
    </w:p>
    <w:p w14:paraId="0B420C92">
      <w:pPr>
        <w:adjustRightInd w:val="0"/>
        <w:snapToGrid w:val="0"/>
        <w:ind w:firstLine="480"/>
        <w:rPr>
          <w:rFonts w:hint="default" w:ascii="Times New Roman" w:hAnsi="Times New Roman" w:cs="Times New Roman"/>
        </w:rPr>
      </w:pPr>
      <w:r>
        <w:rPr>
          <w:rFonts w:hint="default" w:ascii="Times New Roman" w:hAnsi="Times New Roman" w:cs="Times New Roman"/>
        </w:rPr>
        <w:t>项目区内拆除原建筑垃圾，</w:t>
      </w:r>
      <w:r>
        <w:rPr>
          <w:rFonts w:hint="eastAsia" w:cs="Times New Roman"/>
          <w:lang w:val="en-US" w:eastAsia="zh-CN"/>
        </w:rPr>
        <w:t>进行破碎后，</w:t>
      </w:r>
      <w:r>
        <w:rPr>
          <w:rFonts w:hint="eastAsia" w:cs="Times New Roman"/>
          <w:lang w:eastAsia="zh-CN"/>
        </w:rPr>
        <w:t>用于绿化区基底料回填</w:t>
      </w:r>
      <w:r>
        <w:rPr>
          <w:rFonts w:hint="default" w:ascii="Times New Roman" w:hAnsi="Times New Roman" w:cs="Times New Roman"/>
        </w:rPr>
        <w:t>，</w:t>
      </w:r>
      <w:r>
        <w:rPr>
          <w:rFonts w:hint="eastAsia" w:cs="Times New Roman"/>
          <w:lang w:val="en-US" w:eastAsia="zh-CN"/>
        </w:rPr>
        <w:t>最大程度对土石方进行了综合利用，</w:t>
      </w:r>
      <w:r>
        <w:rPr>
          <w:rFonts w:hint="default" w:ascii="Times New Roman" w:hAnsi="Times New Roman" w:cs="Times New Roman"/>
        </w:rPr>
        <w:t>符合水土保持要求。</w:t>
      </w:r>
    </w:p>
    <w:p w14:paraId="44DAF796">
      <w:pPr>
        <w:adjustRightInd w:val="0"/>
        <w:snapToGrid w:val="0"/>
        <w:ind w:firstLine="480"/>
        <w:rPr>
          <w:rFonts w:hint="default" w:ascii="Times New Roman" w:hAnsi="Times New Roman" w:cs="Times New Roman"/>
          <w:sz w:val="21"/>
          <w:szCs w:val="21"/>
        </w:rPr>
      </w:pPr>
      <w:r>
        <w:rPr>
          <w:rFonts w:hint="default" w:ascii="Times New Roman" w:hAnsi="Times New Roman" w:cs="Times New Roman"/>
        </w:rPr>
        <w:t>综上所述，工程内部合理调运土方，可实现挖填平衡，工程对开挖的土石方最大程度进行综合利用，减少永久弃渣的产生，减少对项目区生态环境的破坏，利于工程的水土流失防护。</w:t>
      </w:r>
    </w:p>
    <w:p w14:paraId="48C76B8E">
      <w:pPr>
        <w:pStyle w:val="4"/>
        <w:rPr>
          <w:rFonts w:hint="default" w:ascii="Times New Roman" w:hAnsi="Times New Roman" w:cs="Times New Roman"/>
        </w:rPr>
      </w:pPr>
      <w:r>
        <w:rPr>
          <w:rFonts w:hint="default" w:ascii="Times New Roman" w:hAnsi="Times New Roman" w:cs="Times New Roman"/>
        </w:rPr>
        <w:t>取土（石、砂）场设置评价</w:t>
      </w:r>
    </w:p>
    <w:p w14:paraId="0D8F91E4">
      <w:pPr>
        <w:adjustRightInd w:val="0"/>
        <w:snapToGrid w:val="0"/>
        <w:ind w:firstLine="480"/>
        <w:rPr>
          <w:rFonts w:hint="default" w:ascii="Times New Roman" w:hAnsi="Times New Roman" w:cs="Times New Roman"/>
        </w:rPr>
      </w:pPr>
      <w:r>
        <w:rPr>
          <w:rFonts w:hint="default" w:ascii="Times New Roman" w:hAnsi="Times New Roman" w:cs="Times New Roman"/>
        </w:rPr>
        <w:t>工程建设所需的砂、土石料购于具有合法开采权，且开采条件好，运输方便的料场，开采后的水土保持防治工作由料场经营单位承担。本工程建设不另外规划设置砂、石料场和取土场，减少了由于料场开挖而造成的水土流失。因此，本工程不存在取料场选址制约性因素。</w:t>
      </w:r>
    </w:p>
    <w:p w14:paraId="55D1653D">
      <w:pPr>
        <w:pStyle w:val="4"/>
        <w:rPr>
          <w:rFonts w:hint="default" w:ascii="Times New Roman" w:hAnsi="Times New Roman" w:cs="Times New Roman"/>
        </w:rPr>
      </w:pPr>
      <w:r>
        <w:rPr>
          <w:rFonts w:hint="default" w:ascii="Times New Roman" w:hAnsi="Times New Roman" w:cs="Times New Roman"/>
        </w:rPr>
        <w:t>弃土（石、渣、灰、矸石、尾矿）场设置评价</w:t>
      </w:r>
    </w:p>
    <w:p w14:paraId="36B00C16">
      <w:pPr>
        <w:ind w:firstLine="480"/>
        <w:rPr>
          <w:rFonts w:hint="default" w:ascii="Times New Roman" w:hAnsi="Times New Roman" w:cs="Times New Roman"/>
        </w:rPr>
      </w:pPr>
      <w:r>
        <w:rPr>
          <w:rFonts w:hint="default" w:ascii="Times New Roman" w:hAnsi="Times New Roman" w:cs="Times New Roman"/>
        </w:rPr>
        <w:t>根据土石方平衡情况，本项目</w:t>
      </w:r>
      <w:r>
        <w:rPr>
          <w:rFonts w:hint="eastAsia" w:cs="Times New Roman"/>
          <w:lang w:val="en-US" w:eastAsia="zh-CN"/>
        </w:rPr>
        <w:t>未</w:t>
      </w:r>
      <w:r>
        <w:rPr>
          <w:rFonts w:hint="default" w:ascii="Times New Roman" w:hAnsi="Times New Roman" w:cs="Times New Roman"/>
        </w:rPr>
        <w:t>产生废弃土石方，本项目建设不设置弃渣场</w:t>
      </w:r>
      <w:r>
        <w:rPr>
          <w:rFonts w:hint="eastAsia" w:cs="Times New Roman"/>
          <w:lang w:eastAsia="zh-CN"/>
        </w:rPr>
        <w:t>，</w:t>
      </w:r>
      <w:r>
        <w:rPr>
          <w:rFonts w:hint="eastAsia" w:cs="Times New Roman"/>
          <w:lang w:val="en-US" w:eastAsia="zh-CN"/>
        </w:rPr>
        <w:t>不涉及弃渣场选址</w:t>
      </w:r>
      <w:r>
        <w:rPr>
          <w:rFonts w:hint="default" w:ascii="Times New Roman" w:hAnsi="Times New Roman" w:cs="Times New Roman"/>
        </w:rPr>
        <w:t>。</w:t>
      </w:r>
    </w:p>
    <w:p w14:paraId="27A7E771">
      <w:pPr>
        <w:pStyle w:val="4"/>
        <w:rPr>
          <w:rFonts w:hint="default" w:ascii="Times New Roman" w:hAnsi="Times New Roman" w:cs="Times New Roman"/>
        </w:rPr>
      </w:pPr>
      <w:r>
        <w:rPr>
          <w:rFonts w:hint="default" w:ascii="Times New Roman" w:hAnsi="Times New Roman" w:cs="Times New Roman"/>
        </w:rPr>
        <w:t>表土剥离及表土堆场设置分析评价</w:t>
      </w:r>
    </w:p>
    <w:p w14:paraId="09EA42CF">
      <w:pPr>
        <w:pStyle w:val="93"/>
        <w:rPr>
          <w:rFonts w:hint="default" w:ascii="Times New Roman" w:hAnsi="Times New Roman" w:cs="Times New Roman"/>
          <w:lang w:bidi="en-US"/>
        </w:rPr>
      </w:pPr>
      <w:r>
        <w:rPr>
          <w:rFonts w:hint="default" w:ascii="Times New Roman" w:hAnsi="Times New Roman" w:cs="Times New Roman"/>
          <w:lang w:bidi="en-US"/>
        </w:rPr>
        <w:t>（1）表土剥离与收集可行性分析</w:t>
      </w:r>
    </w:p>
    <w:p w14:paraId="4C1F6084">
      <w:pPr>
        <w:pStyle w:val="93"/>
        <w:rPr>
          <w:rFonts w:hint="default" w:ascii="Times New Roman" w:hAnsi="Times New Roman" w:cs="Times New Roman"/>
        </w:rPr>
      </w:pPr>
      <w:r>
        <w:rPr>
          <w:rFonts w:hint="default" w:ascii="Times New Roman" w:hAnsi="Times New Roman" w:cs="Times New Roman"/>
        </w:rPr>
        <w:t>根据设计资料，本工程共计绿化面积0.</w:t>
      </w:r>
      <w:r>
        <w:rPr>
          <w:rFonts w:hint="eastAsia" w:cs="Times New Roman"/>
          <w:lang w:val="en-US" w:eastAsia="zh-CN"/>
        </w:rPr>
        <w:t>23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，后期绿化覆土</w:t>
      </w:r>
      <w:r>
        <w:rPr>
          <w:rFonts w:hint="eastAsia" w:cs="Times New Roman"/>
          <w:lang w:val="en-US" w:eastAsia="zh-CN"/>
        </w:rPr>
        <w:t>83.48</w:t>
      </w:r>
      <w:r>
        <w:rPr>
          <w:rFonts w:hint="default" w:ascii="Times New Roman" w:hAnsi="Times New Roman" w:cs="Times New Roman"/>
        </w:rPr>
        <w:t>cm计算，后期需绿化覆土需要</w:t>
      </w:r>
      <w:r>
        <w:rPr>
          <w:rFonts w:hint="eastAsia" w:cs="Times New Roman"/>
          <w:lang w:val="en-US" w:eastAsia="zh-CN"/>
        </w:rPr>
        <w:t>1920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。根据主体设计资料，结合现场踏勘，本项目</w:t>
      </w:r>
      <w:r>
        <w:rPr>
          <w:rFonts w:hint="eastAsia" w:cs="Times New Roman"/>
          <w:lang w:val="en-US" w:eastAsia="zh-CN"/>
        </w:rPr>
        <w:t>用地类型为建设用地，原地貌土地为草地覆盖，表层</w:t>
      </w:r>
      <w:r>
        <w:rPr>
          <w:rFonts w:hint="default" w:ascii="Times New Roman" w:hAnsi="Times New Roman" w:cs="Times New Roman"/>
        </w:rPr>
        <w:t>土壤养分丰富，能够满足后期的绿化覆土需求，本项目</w:t>
      </w:r>
      <w:r>
        <w:rPr>
          <w:rFonts w:hint="eastAsia" w:cs="Times New Roman"/>
          <w:lang w:val="en-US" w:eastAsia="zh-CN"/>
        </w:rPr>
        <w:t>地块二在</w:t>
      </w:r>
      <w:r>
        <w:rPr>
          <w:rFonts w:hint="default" w:ascii="Times New Roman" w:hAnsi="Times New Roman" w:cs="Times New Roman"/>
        </w:rPr>
        <w:t>施工前进行了表土收集保护，共计收集保护</w:t>
      </w:r>
      <w:r>
        <w:rPr>
          <w:rFonts w:hint="eastAsia" w:cs="Times New Roman"/>
          <w:lang w:val="en-US" w:eastAsia="zh-CN"/>
        </w:rPr>
        <w:t>表</w:t>
      </w:r>
      <w:r>
        <w:rPr>
          <w:rFonts w:hint="default" w:ascii="Times New Roman" w:hAnsi="Times New Roman" w:cs="Times New Roman"/>
        </w:rPr>
        <w:t>土</w:t>
      </w:r>
      <w:r>
        <w:rPr>
          <w:rFonts w:hint="eastAsia" w:cs="Times New Roman"/>
          <w:lang w:val="en-US" w:eastAsia="zh-CN"/>
        </w:rPr>
        <w:t>1365</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eastAsia="zh-CN"/>
        </w:rPr>
        <w:t>；</w:t>
      </w:r>
      <w:r>
        <w:rPr>
          <w:rFonts w:hint="eastAsia" w:cs="Times New Roman"/>
          <w:lang w:val="en-US" w:eastAsia="zh-CN"/>
        </w:rPr>
        <w:t>针对地块一在施工前设计对可剥离区域进行表土剥离，可剥离表土量为555</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lang w:val="en-US" w:eastAsia="zh-CN"/>
        </w:rPr>
        <w:t>，</w:t>
      </w:r>
      <w:r>
        <w:rPr>
          <w:rFonts w:hint="default" w:ascii="Times New Roman" w:hAnsi="Times New Roman" w:cs="Times New Roman"/>
        </w:rPr>
        <w:t>满足本项目后期绿化覆土要求。故本方案认为表土收集合理可行的。</w:t>
      </w:r>
    </w:p>
    <w:p w14:paraId="1CD9AAB9">
      <w:pPr>
        <w:adjustRightInd w:val="0"/>
        <w:snapToGrid w:val="0"/>
        <w:ind w:firstLine="480"/>
        <w:rPr>
          <w:rFonts w:hint="default" w:ascii="Times New Roman" w:hAnsi="Times New Roman" w:cs="Times New Roman"/>
          <w:kern w:val="0"/>
          <w:lang w:bidi="en-US"/>
        </w:rPr>
      </w:pPr>
      <w:r>
        <w:rPr>
          <w:rFonts w:hint="default" w:ascii="Times New Roman" w:hAnsi="Times New Roman" w:cs="Times New Roman"/>
          <w:kern w:val="0"/>
          <w:lang w:bidi="en-US"/>
        </w:rPr>
        <w:t>（2）堆存合理性分析评价</w:t>
      </w:r>
    </w:p>
    <w:p w14:paraId="0263B126">
      <w:pPr>
        <w:ind w:firstLine="480"/>
        <w:rPr>
          <w:rFonts w:hint="default" w:ascii="Times New Roman" w:hAnsi="Times New Roman" w:eastAsia="仿宋_GB2312" w:cs="Times New Roman"/>
          <w:lang w:val="en-US" w:eastAsia="zh-CN"/>
        </w:rPr>
      </w:pPr>
      <w:r>
        <w:rPr>
          <w:rFonts w:hint="eastAsia" w:cs="Times New Roman"/>
          <w:lang w:val="en-US" w:eastAsia="zh-CN"/>
        </w:rPr>
        <w:t>方案介入时，地块二已完成场平工作，在场地西侧有场平施工前剥离的表土，堆放零乱，本方案要求建设单位将表土运至规划表土堆场进行堆存，集中保护。</w:t>
      </w:r>
    </w:p>
    <w:p w14:paraId="15E5252E">
      <w:pPr>
        <w:ind w:firstLine="480"/>
        <w:rPr>
          <w:rFonts w:hint="default" w:ascii="Times New Roman" w:hAnsi="Times New Roman" w:cs="Times New Roman"/>
        </w:rPr>
      </w:pPr>
      <w:r>
        <w:rPr>
          <w:rFonts w:hint="default" w:ascii="Times New Roman" w:hAnsi="Times New Roman" w:cs="Times New Roman"/>
        </w:rPr>
        <w:t>根据设计资料及图纸，项目区收集保护的</w:t>
      </w:r>
      <w:r>
        <w:rPr>
          <w:rFonts w:hint="eastAsia" w:cs="Times New Roman"/>
          <w:lang w:val="en-US" w:eastAsia="zh-CN"/>
        </w:rPr>
        <w:t>表土规划</w:t>
      </w:r>
      <w:r>
        <w:rPr>
          <w:rFonts w:hint="default" w:ascii="Times New Roman" w:hAnsi="Times New Roman" w:cs="Times New Roman"/>
        </w:rPr>
        <w:t>堆存于项目区</w:t>
      </w:r>
      <w:r>
        <w:rPr>
          <w:rFonts w:hint="eastAsia" w:cs="Times New Roman"/>
          <w:lang w:val="en-US" w:eastAsia="zh-CN"/>
        </w:rPr>
        <w:t>绿化区表土堆场，</w:t>
      </w:r>
      <w:r>
        <w:rPr>
          <w:rFonts w:hint="default" w:ascii="Times New Roman" w:hAnsi="Times New Roman" w:cs="Times New Roman"/>
        </w:rPr>
        <w:t>进行集中堆存保护，堆存于该部位不影响施工且易于堆存，其占地位于项目红线范围内，面积不做单独计列。</w:t>
      </w:r>
    </w:p>
    <w:p w14:paraId="4F1FAEA6">
      <w:pPr>
        <w:ind w:firstLine="480"/>
        <w:rPr>
          <w:rFonts w:hint="default" w:ascii="Times New Roman" w:hAnsi="Times New Roman" w:cs="Times New Roman"/>
          <w:lang w:bidi="en-US"/>
        </w:rPr>
      </w:pPr>
      <w:r>
        <w:rPr>
          <w:rFonts w:hint="default" w:ascii="Times New Roman" w:hAnsi="Times New Roman" w:cs="Times New Roman"/>
          <w:lang w:bidi="en-US"/>
        </w:rPr>
        <w:t>项目建设过程中共收集保护表土</w:t>
      </w:r>
      <w:r>
        <w:rPr>
          <w:rFonts w:hint="default" w:ascii="Times New Roman" w:hAnsi="Times New Roman" w:cs="Times New Roman"/>
          <w:lang w:eastAsia="zh-CN" w:bidi="en-US"/>
        </w:rPr>
        <w:t>19</w:t>
      </w:r>
      <w:r>
        <w:rPr>
          <w:rFonts w:hint="eastAsia" w:cs="Times New Roman"/>
          <w:lang w:val="en-US" w:eastAsia="zh-CN" w:bidi="en-US"/>
        </w:rPr>
        <w:t>20</w:t>
      </w:r>
      <w:r>
        <w:rPr>
          <w:rFonts w:hint="default" w:ascii="Times New Roman" w:hAnsi="Times New Roman" w:cs="Times New Roman"/>
          <w:lang w:eastAsia="zh-CN" w:bidi="en-US"/>
        </w:rPr>
        <w:t>.00</w:t>
      </w:r>
      <w:r>
        <w:rPr>
          <w:rFonts w:hint="default" w:ascii="Times New Roman" w:hAnsi="Times New Roman" w:cs="Times New Roman"/>
          <w:lang w:bidi="en-US"/>
        </w:rPr>
        <w:t>m</w:t>
      </w:r>
      <w:r>
        <w:rPr>
          <w:rFonts w:hint="default" w:ascii="Times New Roman" w:hAnsi="Times New Roman" w:cs="Times New Roman"/>
          <w:vertAlign w:val="superscript"/>
          <w:lang w:bidi="en-US"/>
        </w:rPr>
        <w:t>3</w:t>
      </w:r>
      <w:r>
        <w:rPr>
          <w:rFonts w:hint="default" w:ascii="Times New Roman" w:hAnsi="Times New Roman" w:cs="Times New Roman"/>
          <w:lang w:bidi="en-US"/>
        </w:rPr>
        <w:t>，折合松方</w:t>
      </w:r>
      <w:r>
        <w:rPr>
          <w:rFonts w:hint="eastAsia" w:cs="Times New Roman"/>
          <w:lang w:val="en-US" w:eastAsia="zh-CN" w:bidi="en-US"/>
        </w:rPr>
        <w:t>2303</w:t>
      </w:r>
      <w:r>
        <w:rPr>
          <w:rFonts w:hint="default" w:ascii="Times New Roman" w:hAnsi="Times New Roman" w:cs="Times New Roman"/>
          <w:lang w:eastAsia="zh-CN" w:bidi="en-US"/>
        </w:rPr>
        <w:t>.00</w:t>
      </w:r>
      <w:r>
        <w:rPr>
          <w:rFonts w:hint="default" w:ascii="Times New Roman" w:hAnsi="Times New Roman" w:cs="Times New Roman"/>
          <w:lang w:bidi="en-US"/>
        </w:rPr>
        <w:t>m</w:t>
      </w:r>
      <w:r>
        <w:rPr>
          <w:rFonts w:hint="default" w:ascii="Times New Roman" w:hAnsi="Times New Roman" w:cs="Times New Roman"/>
          <w:vertAlign w:val="superscript"/>
          <w:lang w:bidi="en-US"/>
        </w:rPr>
        <w:t>3</w:t>
      </w:r>
      <w:r>
        <w:rPr>
          <w:rFonts w:hint="default" w:ascii="Times New Roman" w:hAnsi="Times New Roman" w:cs="Times New Roman"/>
          <w:lang w:bidi="en-US"/>
        </w:rPr>
        <w:t>（松方系数取1.</w:t>
      </w:r>
      <w:r>
        <w:rPr>
          <w:rFonts w:hint="eastAsia" w:cs="Times New Roman"/>
          <w:lang w:val="en-US" w:eastAsia="zh-CN" w:bidi="en-US"/>
        </w:rPr>
        <w:t>2</w:t>
      </w:r>
      <w:r>
        <w:rPr>
          <w:rFonts w:hint="default" w:ascii="Times New Roman" w:hAnsi="Times New Roman" w:cs="Times New Roman"/>
          <w:lang w:bidi="en-US"/>
        </w:rPr>
        <w:t>），本方案</w:t>
      </w:r>
      <w:r>
        <w:rPr>
          <w:rFonts w:hint="eastAsia" w:cs="Times New Roman"/>
          <w:color w:val="auto"/>
          <w:lang w:val="en-US" w:eastAsia="zh-CN"/>
        </w:rPr>
        <w:t>在绿化区</w:t>
      </w:r>
      <w:r>
        <w:rPr>
          <w:rFonts w:hint="eastAsia" w:ascii="Times New Roman" w:hAnsi="Times New Roman" w:cs="Times New Roman"/>
          <w:color w:val="auto"/>
          <w:lang w:val="en-US" w:eastAsia="zh-CN"/>
        </w:rPr>
        <w:t>规划建设</w:t>
      </w:r>
      <w:r>
        <w:rPr>
          <w:rFonts w:hint="eastAsia" w:cs="Times New Roman"/>
          <w:color w:val="auto"/>
          <w:lang w:val="en-US" w:eastAsia="zh-CN"/>
        </w:rPr>
        <w:t>3</w:t>
      </w:r>
      <w:r>
        <w:rPr>
          <w:rFonts w:hint="eastAsia" w:ascii="Times New Roman" w:hAnsi="Times New Roman" w:cs="Times New Roman"/>
          <w:color w:val="auto"/>
          <w:lang w:val="en-US" w:eastAsia="zh-CN"/>
        </w:rPr>
        <w:t>座临时表土堆场，</w:t>
      </w:r>
      <w:r>
        <w:rPr>
          <w:rFonts w:hint="eastAsia" w:cs="Times New Roman"/>
          <w:color w:val="auto"/>
          <w:lang w:val="en-US" w:eastAsia="zh-CN"/>
        </w:rPr>
        <w:t>1#表土堆场位于地块一东北侧绿化区，2#表土堆场位于地块二西北侧绿化区，3#表土堆场位于地块二北侧绿化区。规划</w:t>
      </w:r>
      <w:r>
        <w:rPr>
          <w:rFonts w:ascii="Times New Roman" w:hAnsi="Times New Roman" w:cs="Times New Roman"/>
          <w:color w:val="auto"/>
        </w:rPr>
        <w:t>表土堆场占地面积为</w:t>
      </w:r>
      <w:r>
        <w:rPr>
          <w:rFonts w:hint="eastAsia" w:cs="Times New Roman"/>
          <w:color w:val="auto"/>
          <w:lang w:val="en-US" w:eastAsia="zh-CN"/>
        </w:rPr>
        <w:t>1354</w:t>
      </w:r>
      <w:r>
        <w:rPr>
          <w:rFonts w:ascii="Times New Roman" w:hAnsi="Times New Roman" w:cs="Times New Roman"/>
          <w:color w:val="auto"/>
        </w:rPr>
        <w:t>m</w:t>
      </w:r>
      <w:r>
        <w:rPr>
          <w:rFonts w:ascii="Times New Roman" w:hAnsi="Times New Roman" w:cs="Times New Roman"/>
          <w:color w:val="auto"/>
          <w:vertAlign w:val="superscript"/>
        </w:rPr>
        <w:t>2</w:t>
      </w:r>
      <w:r>
        <w:rPr>
          <w:rFonts w:ascii="Times New Roman" w:hAnsi="Times New Roman" w:cs="Times New Roman"/>
          <w:color w:val="auto"/>
        </w:rPr>
        <w:t>，堆土高</w:t>
      </w:r>
      <w:r>
        <w:rPr>
          <w:rFonts w:hint="eastAsia" w:cs="Times New Roman"/>
          <w:color w:val="auto"/>
          <w:lang w:val="en-US" w:eastAsia="zh-CN"/>
        </w:rPr>
        <w:t>2.0</w:t>
      </w:r>
      <w:r>
        <w:rPr>
          <w:rFonts w:ascii="Times New Roman" w:hAnsi="Times New Roman" w:cs="Times New Roman"/>
          <w:color w:val="auto"/>
        </w:rPr>
        <w:t>m，设计堆土量为</w:t>
      </w:r>
      <w:r>
        <w:rPr>
          <w:rFonts w:hint="eastAsia" w:cs="Times New Roman"/>
          <w:color w:val="auto"/>
          <w:lang w:val="en-US" w:eastAsia="zh-CN"/>
        </w:rPr>
        <w:t>1920.00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w:t>
      </w:r>
      <w:r>
        <w:rPr>
          <w:rFonts w:hint="eastAsia" w:cs="Times New Roman"/>
          <w:color w:val="auto"/>
          <w:lang w:val="en-US" w:eastAsia="zh-CN"/>
        </w:rPr>
        <w:t>自然方），</w:t>
      </w:r>
      <w:r>
        <w:rPr>
          <w:rFonts w:ascii="Times New Roman" w:hAnsi="Times New Roman" w:cs="Times New Roman"/>
          <w:color w:val="auto"/>
        </w:rPr>
        <w:t>松方</w:t>
      </w:r>
      <w:r>
        <w:rPr>
          <w:rFonts w:hint="eastAsia" w:cs="Times New Roman"/>
          <w:color w:val="auto"/>
          <w:lang w:val="en-US" w:eastAsia="zh-CN"/>
        </w:rPr>
        <w:t>2303.00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cs="Times New Roman"/>
          <w:color w:val="auto"/>
          <w:lang w:eastAsia="zh-CN"/>
        </w:rPr>
        <w:t>（</w:t>
      </w:r>
      <w:r>
        <w:rPr>
          <w:rFonts w:ascii="Times New Roman" w:hAnsi="Times New Roman" w:cs="Times New Roman"/>
          <w:color w:val="auto"/>
        </w:rPr>
        <w:t>松方</w:t>
      </w:r>
      <w:r>
        <w:rPr>
          <w:rFonts w:hint="eastAsia" w:cs="Times New Roman"/>
          <w:color w:val="auto"/>
          <w:lang w:val="en-US" w:eastAsia="zh-CN"/>
        </w:rPr>
        <w:t>系数取1.2</w:t>
      </w:r>
      <w:r>
        <w:rPr>
          <w:rFonts w:ascii="Times New Roman" w:hAnsi="Times New Roman" w:cs="Times New Roman"/>
          <w:color w:val="auto"/>
        </w:rPr>
        <w:t>），容量</w:t>
      </w:r>
      <w:r>
        <w:rPr>
          <w:rFonts w:hint="eastAsia" w:cs="Times New Roman"/>
          <w:color w:val="auto"/>
          <w:lang w:val="en-US" w:eastAsia="zh-CN"/>
        </w:rPr>
        <w:t>2383</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cs="Times New Roman"/>
          <w:color w:val="auto"/>
          <w:lang w:eastAsia="zh-CN"/>
        </w:rPr>
        <w:t>，</w:t>
      </w:r>
      <w:r>
        <w:rPr>
          <w:rFonts w:ascii="Times New Roman" w:hAnsi="Times New Roman" w:cs="Times New Roman"/>
          <w:color w:val="auto"/>
        </w:rPr>
        <w:t>满足设计要求</w:t>
      </w:r>
      <w:r>
        <w:rPr>
          <w:rFonts w:hint="default" w:ascii="Times New Roman" w:hAnsi="Times New Roman" w:cs="Times New Roman"/>
          <w:lang w:bidi="en-US"/>
        </w:rPr>
        <w:t>。所堆存表土用于后期绿化区覆土。规划表土堆场不仅保存了后期绿化所需的覆土，而且减少了由于外购表土造成的水土流失，同时还降低了成本。通过施工组织设计，合理安排施工时序，表土堆场不会妨碍工程其它区域的正常施工，同时表土堆场位于规划建设项目区内，不再新增扰动面积，位置选择合理，水土流失隐患较小。</w:t>
      </w:r>
    </w:p>
    <w:p w14:paraId="7AFD9AB3">
      <w:pPr>
        <w:ind w:firstLine="480"/>
        <w:rPr>
          <w:rFonts w:hint="default" w:ascii="Times New Roman" w:hAnsi="Times New Roman" w:cs="Times New Roman"/>
          <w:kern w:val="0"/>
          <w:lang w:bidi="en-US"/>
        </w:rPr>
      </w:pPr>
      <w:r>
        <w:rPr>
          <w:rFonts w:hint="default" w:ascii="Times New Roman" w:hAnsi="Times New Roman" w:cs="Times New Roman"/>
          <w:kern w:val="0"/>
          <w:lang w:bidi="en-US"/>
        </w:rPr>
        <w:t>因此，从水土保持角度，表土堆存合理可行。</w:t>
      </w:r>
    </w:p>
    <w:p w14:paraId="3369FE12">
      <w:pPr>
        <w:pStyle w:val="4"/>
        <w:rPr>
          <w:rFonts w:hint="default" w:ascii="Times New Roman" w:hAnsi="Times New Roman" w:cs="Times New Roman"/>
        </w:rPr>
      </w:pPr>
      <w:r>
        <w:rPr>
          <w:rFonts w:hint="default" w:ascii="Times New Roman" w:hAnsi="Times New Roman" w:cs="Times New Roman"/>
        </w:rPr>
        <w:t>项目建设对周边生态环境的影响评价</w:t>
      </w:r>
    </w:p>
    <w:p w14:paraId="60C80078">
      <w:pPr>
        <w:ind w:firstLine="480"/>
        <w:rPr>
          <w:rFonts w:hint="default" w:ascii="Times New Roman" w:hAnsi="Times New Roman" w:cs="Times New Roman"/>
        </w:rPr>
      </w:pPr>
      <w:r>
        <w:rPr>
          <w:rFonts w:hint="default" w:ascii="Times New Roman" w:hAnsi="Times New Roman" w:cs="Times New Roman"/>
        </w:rPr>
        <w:t>根据查询，本项目的建设选址不涉及占用基本农田，不涉及生态红线，不涉及水源保护区，项目的建设不影响项目红线范围内的土地利用格局，符合相关的规划和政策法规，均为规划的建设用地。但项目施工期间会对周边环境存在一定的影响，需要加强监测、管理，根据实际情况制定防护措施，将影响降低到最小。</w:t>
      </w:r>
    </w:p>
    <w:p w14:paraId="2631038D">
      <w:pPr>
        <w:ind w:firstLine="480"/>
        <w:rPr>
          <w:rFonts w:hint="default" w:ascii="Times New Roman" w:hAnsi="Times New Roman" w:cs="Times New Roman"/>
        </w:rPr>
      </w:pPr>
      <w:r>
        <w:rPr>
          <w:rFonts w:hint="default" w:ascii="Times New Roman" w:hAnsi="Times New Roman" w:cs="Times New Roman"/>
        </w:rPr>
        <w:t>从水土保持角度分析，本项目的建设是符合生态环境保护要求的。</w:t>
      </w:r>
    </w:p>
    <w:p w14:paraId="6B4EC167">
      <w:pPr>
        <w:pStyle w:val="4"/>
        <w:rPr>
          <w:rFonts w:hint="default" w:ascii="Times New Roman" w:hAnsi="Times New Roman" w:cs="Times New Roman"/>
        </w:rPr>
      </w:pPr>
      <w:r>
        <w:rPr>
          <w:rFonts w:hint="default" w:ascii="Times New Roman" w:hAnsi="Times New Roman" w:cs="Times New Roman"/>
        </w:rPr>
        <w:t>施工组织及施工方法、工艺评价</w:t>
      </w:r>
    </w:p>
    <w:p w14:paraId="5F5B2361">
      <w:pPr>
        <w:adjustRightInd w:val="0"/>
        <w:snapToGrid w:val="0"/>
        <w:ind w:firstLine="480"/>
        <w:rPr>
          <w:rFonts w:hint="default" w:ascii="Times New Roman" w:hAnsi="Times New Roman" w:cs="Times New Roman"/>
        </w:rPr>
      </w:pPr>
      <w:r>
        <w:rPr>
          <w:rFonts w:hint="default" w:ascii="Times New Roman" w:hAnsi="Times New Roman" w:cs="Times New Roman"/>
        </w:rPr>
        <w:t>（1）施工道路布置</w:t>
      </w:r>
    </w:p>
    <w:p w14:paraId="24288615">
      <w:pPr>
        <w:adjustRightInd w:val="0"/>
        <w:snapToGrid w:val="0"/>
        <w:ind w:firstLine="480"/>
        <w:rPr>
          <w:rFonts w:hint="default" w:ascii="Times New Roman" w:hAnsi="Times New Roman" w:cs="Times New Roman"/>
        </w:rPr>
      </w:pPr>
      <w:r>
        <w:rPr>
          <w:rFonts w:hint="default" w:ascii="Times New Roman" w:hAnsi="Times New Roman" w:cs="Times New Roman"/>
        </w:rPr>
        <w:t>主体工程在规划设计时，利用现有周边公路，无新增施工便道，一方面实现施工方便且占地最小的原则，另一方面最大限度地减小对周边原始地貌的破坏，有利于水土保持。</w:t>
      </w:r>
    </w:p>
    <w:p w14:paraId="3F018985">
      <w:pPr>
        <w:adjustRightInd w:val="0"/>
        <w:snapToGrid w:val="0"/>
        <w:ind w:firstLine="480"/>
        <w:rPr>
          <w:rFonts w:hint="default" w:ascii="Times New Roman" w:hAnsi="Times New Roman" w:cs="Times New Roman"/>
        </w:rPr>
      </w:pPr>
      <w:r>
        <w:rPr>
          <w:rFonts w:hint="default" w:ascii="Times New Roman" w:hAnsi="Times New Roman" w:cs="Times New Roman"/>
        </w:rPr>
        <w:t>（2）施工生产生活布置</w:t>
      </w:r>
    </w:p>
    <w:p w14:paraId="13403C33">
      <w:pPr>
        <w:adjustRightInd w:val="0"/>
        <w:snapToGrid w:val="0"/>
        <w:ind w:firstLine="480"/>
        <w:rPr>
          <w:rFonts w:hint="default" w:ascii="Times New Roman" w:hAnsi="Times New Roman" w:cs="Times New Roman"/>
        </w:rPr>
      </w:pPr>
      <w:r>
        <w:rPr>
          <w:rFonts w:hint="default" w:ascii="Times New Roman" w:hAnsi="Times New Roman" w:cs="Times New Roman"/>
        </w:rPr>
        <w:t>本工程施工布置遵循因地制宜、有利生产、方便生活、易于管理、安全可靠的原则，根据项目区自然条件和工程条件，尽可能优化总体施工。施工营房</w:t>
      </w:r>
      <w:r>
        <w:rPr>
          <w:rFonts w:hint="eastAsia" w:cs="Times New Roman"/>
          <w:lang w:val="en-US" w:eastAsia="zh-CN"/>
        </w:rPr>
        <w:t>及临时办公用房</w:t>
      </w:r>
      <w:r>
        <w:rPr>
          <w:rFonts w:hint="default" w:ascii="Times New Roman" w:hAnsi="Times New Roman" w:cs="Times New Roman"/>
        </w:rPr>
        <w:t>租用当地民房，没有新增临时占地。场地平整所需机械、构件预制场等均布置于项目区内，没有再新增临时占地。</w:t>
      </w:r>
    </w:p>
    <w:p w14:paraId="5CF6DA0E">
      <w:pPr>
        <w:adjustRightInd w:val="0"/>
        <w:snapToGrid w:val="0"/>
        <w:ind w:firstLine="480"/>
        <w:rPr>
          <w:rFonts w:hint="default" w:ascii="Times New Roman" w:hAnsi="Times New Roman" w:cs="Times New Roman"/>
        </w:rPr>
      </w:pPr>
      <w:r>
        <w:rPr>
          <w:rFonts w:hint="default" w:ascii="Times New Roman" w:hAnsi="Times New Roman" w:cs="Times New Roman"/>
        </w:rPr>
        <w:t>总体上，主体工程在施工临时生产生活设施布置时充分考虑了项目的实际特点，最大限度地减小了临时设施的新占用土地，减少了地表扰动面积，降低了施工造成的水土流失。因此，施工临时生产生活设施布置符合水土保持要求。</w:t>
      </w:r>
    </w:p>
    <w:p w14:paraId="005631B0">
      <w:pPr>
        <w:pStyle w:val="107"/>
        <w:adjustRightInd w:val="0"/>
        <w:snapToGrid w:val="0"/>
        <w:ind w:firstLine="480"/>
        <w:rPr>
          <w:rFonts w:hint="default" w:ascii="Times New Roman" w:hAnsi="Times New Roman" w:cs="Times New Roman"/>
        </w:rPr>
      </w:pPr>
      <w:r>
        <w:rPr>
          <w:rFonts w:hint="default" w:ascii="Times New Roman" w:hAnsi="Times New Roman" w:cs="Times New Roman"/>
        </w:rPr>
        <w:t>（3）施工期排水分析评价</w:t>
      </w:r>
    </w:p>
    <w:p w14:paraId="44259C6E">
      <w:pPr>
        <w:pStyle w:val="107"/>
        <w:adjustRightInd w:val="0"/>
        <w:snapToGrid w:val="0"/>
        <w:ind w:firstLine="480"/>
        <w:rPr>
          <w:rFonts w:hint="default" w:ascii="Times New Roman" w:hAnsi="Times New Roman" w:cs="Times New Roman"/>
        </w:rPr>
      </w:pPr>
      <w:r>
        <w:rPr>
          <w:rFonts w:hint="default" w:ascii="Times New Roman" w:hAnsi="Times New Roman" w:cs="Times New Roman"/>
        </w:rPr>
        <w:t>施工用水主要为砂石料搅拌用水及降尘用水，用水量较小，不存在外排现象；天然降雨形成的地表径流将是施工期间主要排水来源，通过主体布设排水设施，经沉砂池沉淀处理后，排入项目区周边市政雨水管网。</w:t>
      </w:r>
    </w:p>
    <w:p w14:paraId="4716F05B">
      <w:pPr>
        <w:adjustRightInd w:val="0"/>
        <w:snapToGrid w:val="0"/>
        <w:ind w:firstLine="480"/>
        <w:rPr>
          <w:rFonts w:hint="default" w:ascii="Times New Roman" w:hAnsi="Times New Roman" w:cs="Times New Roman"/>
        </w:rPr>
      </w:pPr>
      <w:r>
        <w:rPr>
          <w:rFonts w:hint="default" w:ascii="Times New Roman" w:hAnsi="Times New Roman" w:cs="Times New Roman"/>
        </w:rPr>
        <w:t>工程施工自身用水无需外排，主要考虑施工期天然降雨影响，考虑项目区降雨量较大，施工期间天然降雨将对施工造成较大的影响，同时会对施工期堆放材料、开挖、回填等造成较为严重的冲刷，最终导致水土流失，方案补充考虑了施工期临时排水、沉沙系统后可有效减少上述情况影响，达到水土保持要求。</w:t>
      </w:r>
    </w:p>
    <w:p w14:paraId="068C7461">
      <w:pPr>
        <w:adjustRightInd w:val="0"/>
        <w:snapToGrid w:val="0"/>
        <w:ind w:firstLine="480"/>
        <w:rPr>
          <w:rFonts w:hint="default" w:ascii="Times New Roman" w:hAnsi="Times New Roman" w:cs="Times New Roman"/>
        </w:rPr>
      </w:pPr>
      <w:r>
        <w:rPr>
          <w:rFonts w:hint="default" w:ascii="Times New Roman" w:hAnsi="Times New Roman" w:cs="Times New Roman"/>
        </w:rPr>
        <w:t>（4）施工组织管理</w:t>
      </w:r>
    </w:p>
    <w:p w14:paraId="129851B3">
      <w:pPr>
        <w:adjustRightInd w:val="0"/>
        <w:snapToGrid w:val="0"/>
        <w:ind w:firstLine="480"/>
        <w:rPr>
          <w:rFonts w:hint="default" w:ascii="Times New Roman" w:hAnsi="Times New Roman" w:cs="Times New Roman"/>
        </w:rPr>
      </w:pPr>
      <w:r>
        <w:rPr>
          <w:rFonts w:hint="default" w:ascii="Times New Roman" w:hAnsi="Times New Roman" w:cs="Times New Roman"/>
        </w:rPr>
        <w:t>主体工程开工时将成立专门的工程建设项目管理处，对项目建设的施工计划、财务、外购材料、施工机械设备、施工技术、质量要求、施工验收及工程决算进行统一管理；主体工程采用招投标方式组织施工力量进场施工，通过工程招标可选择资质条件优良的施工队伍，保证工程质量，降低工程造价，严格的合同管理也有利于工程的实施；实行工程监理制，由专职监理机构对工程质量进行监督、计量与支付，确保工程按质按时顺利进行。</w:t>
      </w:r>
    </w:p>
    <w:p w14:paraId="245F0F01">
      <w:pPr>
        <w:adjustRightInd w:val="0"/>
        <w:snapToGrid w:val="0"/>
        <w:ind w:firstLine="480"/>
        <w:rPr>
          <w:rFonts w:hint="default" w:ascii="Times New Roman" w:hAnsi="Times New Roman" w:cs="Times New Roman"/>
        </w:rPr>
      </w:pPr>
      <w:r>
        <w:rPr>
          <w:rFonts w:hint="default" w:ascii="Times New Roman" w:hAnsi="Times New Roman" w:cs="Times New Roman"/>
        </w:rPr>
        <w:t>主体工程设计的施工组织形式落实了责任，明确了相互之间的关系，有利于水土保持措施和责任的落实，从水土保持角度来看是合理的。</w:t>
      </w:r>
    </w:p>
    <w:p w14:paraId="5D905C49">
      <w:pPr>
        <w:pStyle w:val="4"/>
        <w:rPr>
          <w:rFonts w:hint="default" w:ascii="Times New Roman" w:hAnsi="Times New Roman" w:cs="Times New Roman"/>
        </w:rPr>
      </w:pPr>
      <w:r>
        <w:rPr>
          <w:rFonts w:hint="default" w:ascii="Times New Roman" w:hAnsi="Times New Roman" w:cs="Times New Roman"/>
        </w:rPr>
        <w:t>主体工程设计中具有水土保持功能工程的评价</w:t>
      </w:r>
    </w:p>
    <w:p w14:paraId="20B43861">
      <w:pPr>
        <w:pStyle w:val="5"/>
        <w:rPr>
          <w:rFonts w:hint="default" w:ascii="Times New Roman" w:hAnsi="Times New Roman" w:cs="Times New Roman"/>
        </w:rPr>
      </w:pPr>
      <w:r>
        <w:rPr>
          <w:rFonts w:hint="default" w:ascii="Times New Roman" w:hAnsi="Times New Roman" w:cs="Times New Roman"/>
        </w:rPr>
        <w:t>主体工程设计具有水土保持功能措施</w:t>
      </w:r>
    </w:p>
    <w:p w14:paraId="4DCE0295">
      <w:pPr>
        <w:ind w:firstLine="480"/>
        <w:rPr>
          <w:rFonts w:hint="default" w:ascii="Times New Roman" w:hAnsi="Times New Roman" w:cs="Times New Roman"/>
        </w:rPr>
      </w:pPr>
      <w:r>
        <w:rPr>
          <w:rFonts w:hint="default" w:ascii="Times New Roman" w:hAnsi="Times New Roman" w:cs="Times New Roman"/>
        </w:rPr>
        <w:t>根据《生产建设项目水土保持技术标准》（GB50433-2018）的规定，评价范围为主体工程设计的地表防护工程，由此确定本项目主体工程设计具有水土保持功能的工程为：</w:t>
      </w:r>
      <w:r>
        <w:rPr>
          <w:rFonts w:hint="eastAsia" w:cs="Times New Roman"/>
          <w:lang w:val="en-US" w:eastAsia="zh-CN"/>
        </w:rPr>
        <w:t>项目区表土剥离、</w:t>
      </w:r>
      <w:r>
        <w:rPr>
          <w:rFonts w:hint="eastAsia" w:cs="Times New Roman"/>
          <w:lang w:eastAsia="zh-CN"/>
        </w:rPr>
        <w:t>道路及硬化区</w:t>
      </w:r>
      <w:r>
        <w:rPr>
          <w:rFonts w:hint="default" w:ascii="Times New Roman" w:hAnsi="Times New Roman" w:cs="Times New Roman"/>
        </w:rPr>
        <w:t>雨水管网，绿化区景观绿化等措施。</w:t>
      </w:r>
    </w:p>
    <w:p w14:paraId="427246D9">
      <w:pPr>
        <w:ind w:firstLine="480"/>
        <w:rPr>
          <w:rFonts w:hint="default" w:cs="Times New Roman"/>
          <w:lang w:val="en-US" w:eastAsia="zh-CN"/>
        </w:rPr>
      </w:pPr>
      <w:r>
        <w:rPr>
          <w:rFonts w:hint="eastAsia" w:cs="Times New Roman"/>
          <w:lang w:val="en-US" w:eastAsia="zh-CN"/>
        </w:rPr>
        <w:t>一、地块一</w:t>
      </w:r>
    </w:p>
    <w:p w14:paraId="58203A29">
      <w:pPr>
        <w:pStyle w:val="93"/>
        <w:rPr>
          <w:rFonts w:hint="default" w:ascii="Times New Roman" w:hAnsi="Times New Roman" w:eastAsia="仿宋_GB2312" w:cs="Times New Roman"/>
          <w:lang w:val="en-US" w:eastAsia="zh-CN"/>
        </w:rPr>
      </w:pPr>
      <w:r>
        <w:rPr>
          <w:rFonts w:hint="eastAsia" w:ascii="Times New Roman" w:hAnsi="Times New Roman" w:cs="Times New Roman"/>
          <w:lang w:val="en-US" w:eastAsia="zh-CN"/>
        </w:rPr>
        <w:t>1、建构筑物区</w:t>
      </w:r>
    </w:p>
    <w:p w14:paraId="7FB5C911">
      <w:pPr>
        <w:pStyle w:val="93"/>
        <w:rPr>
          <w:rFonts w:hint="default" w:ascii="Times New Roman" w:hAnsi="Times New Roman" w:cs="Times New Roman"/>
        </w:rPr>
      </w:pPr>
      <w:r>
        <w:rPr>
          <w:rFonts w:hint="default" w:ascii="Times New Roman" w:hAnsi="Times New Roman" w:cs="Times New Roman"/>
        </w:rPr>
        <w:t>（1）表土剥离</w:t>
      </w:r>
    </w:p>
    <w:p w14:paraId="51F559DB">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主体设计在项目前期场地平整工作时对场地内可利用熟土进行剥离，剥离出来的表土统一堆放于表土堆场，后期用作绿化区覆土土源。经统计，建构筑物区共计剥离表土</w:t>
      </w:r>
      <w:r>
        <w:rPr>
          <w:rFonts w:hint="eastAsia" w:ascii="Times New Roman" w:hAnsi="Times New Roman" w:cs="Times New Roman"/>
          <w:lang w:val="en-US" w:eastAsia="zh-CN"/>
        </w:rPr>
        <w:t>105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0AA98989">
      <w:pPr>
        <w:pStyle w:val="93"/>
        <w:rPr>
          <w:rFonts w:hint="default" w:ascii="Times New Roman" w:hAnsi="Times New Roman" w:cs="Times New Roman"/>
        </w:rPr>
      </w:pPr>
      <w:r>
        <w:rPr>
          <w:rFonts w:hint="default" w:ascii="Times New Roman" w:hAnsi="Times New Roman" w:cs="Times New Roman"/>
        </w:rPr>
        <w:t>水土保持评价：表土剥离措施保护了珍贵的表土资源，用于后期覆土增加了植被成活率，具有良好的水土保持功能，其投资计入水土保持投资。</w:t>
      </w:r>
    </w:p>
    <w:p w14:paraId="2C9B1982">
      <w:pPr>
        <w:ind w:firstLine="480"/>
        <w:rPr>
          <w:rFonts w:hint="eastAsia" w:ascii="Times New Roman" w:hAnsi="Times New Roman" w:eastAsia="仿宋_GB2312" w:cs="Times New Roman"/>
          <w:lang w:eastAsia="zh-CN"/>
        </w:rPr>
      </w:pPr>
      <w:r>
        <w:rPr>
          <w:rFonts w:hint="eastAsia" w:cs="Times New Roman"/>
          <w:lang w:val="en-US" w:eastAsia="zh-CN"/>
        </w:rPr>
        <w:t>2</w:t>
      </w:r>
      <w:r>
        <w:rPr>
          <w:rFonts w:hint="default" w:ascii="Times New Roman" w:hAnsi="Times New Roman" w:cs="Times New Roman"/>
        </w:rPr>
        <w:t>、</w:t>
      </w:r>
      <w:r>
        <w:rPr>
          <w:rFonts w:hint="eastAsia" w:cs="Times New Roman"/>
          <w:lang w:eastAsia="zh-CN"/>
        </w:rPr>
        <w:t>道路及硬化区</w:t>
      </w:r>
    </w:p>
    <w:p w14:paraId="3768158E">
      <w:pPr>
        <w:pStyle w:val="93"/>
        <w:rPr>
          <w:rFonts w:hint="default" w:ascii="Times New Roman" w:hAnsi="Times New Roman" w:cs="Times New Roman"/>
        </w:rPr>
      </w:pPr>
      <w:r>
        <w:rPr>
          <w:rFonts w:hint="default" w:ascii="Times New Roman" w:hAnsi="Times New Roman" w:cs="Times New Roman"/>
        </w:rPr>
        <w:t>（1）表土剥离</w:t>
      </w:r>
    </w:p>
    <w:p w14:paraId="05EC73CE">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主体设计在项目前期场地平整工作时对场地内可利用熟土进行剥离，剥离出来的表土统一堆放于表土堆场，后期用作绿化区覆土土源。经统计，</w:t>
      </w:r>
      <w:r>
        <w:rPr>
          <w:rFonts w:hint="eastAsia" w:cs="Times New Roman"/>
          <w:lang w:eastAsia="zh-CN"/>
        </w:rPr>
        <w:t>道路及硬化区</w:t>
      </w:r>
      <w:r>
        <w:rPr>
          <w:rFonts w:hint="default" w:ascii="Times New Roman" w:hAnsi="Times New Roman" w:cs="Times New Roman"/>
        </w:rPr>
        <w:t>共计剥离表土</w:t>
      </w:r>
      <w:r>
        <w:rPr>
          <w:rFonts w:hint="eastAsia" w:ascii="Times New Roman" w:hAnsi="Times New Roman" w:cs="Times New Roman"/>
          <w:lang w:val="en-US" w:eastAsia="zh-CN"/>
        </w:rPr>
        <w:t>315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29A496AA">
      <w:pPr>
        <w:pStyle w:val="93"/>
        <w:rPr>
          <w:rFonts w:hint="default" w:ascii="Times New Roman" w:hAnsi="Times New Roman" w:cs="Times New Roman"/>
        </w:rPr>
      </w:pPr>
      <w:r>
        <w:rPr>
          <w:rFonts w:hint="default" w:ascii="Times New Roman" w:hAnsi="Times New Roman" w:cs="Times New Roman"/>
        </w:rPr>
        <w:t>水土保持评价：表土剥离措施保护了珍贵的表土资源，用于后期覆土增加了植被成活率，具有良好的水土保持功能，其投资计入水土保持投资。</w:t>
      </w:r>
    </w:p>
    <w:p w14:paraId="396121CE">
      <w:pPr>
        <w:pStyle w:val="93"/>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）雨水管网</w:t>
      </w:r>
    </w:p>
    <w:p w14:paraId="62A2642D">
      <w:pPr>
        <w:pStyle w:val="93"/>
        <w:rPr>
          <w:rFonts w:hint="default" w:ascii="Times New Roman" w:hAnsi="Times New Roman" w:cs="Times New Roman"/>
        </w:rPr>
      </w:pPr>
      <w:r>
        <w:rPr>
          <w:rFonts w:hint="default" w:ascii="Times New Roman" w:hAnsi="Times New Roman" w:cs="Times New Roman"/>
        </w:rPr>
        <w:t>根据主体资料，项目区</w:t>
      </w:r>
      <w:r>
        <w:rPr>
          <w:rFonts w:hint="eastAsia" w:cs="Times New Roman"/>
          <w:lang w:val="en-US" w:eastAsia="zh-CN"/>
        </w:rPr>
        <w:t>地块一</w:t>
      </w:r>
      <w:r>
        <w:rPr>
          <w:rFonts w:hint="default" w:ascii="Times New Roman" w:hAnsi="Times New Roman" w:cs="Times New Roman"/>
        </w:rPr>
        <w:t>实施雨污分流，主体设计</w:t>
      </w:r>
      <w:r>
        <w:rPr>
          <w:rFonts w:hint="eastAsia" w:cs="Times New Roman"/>
          <w:lang w:val="en-US" w:eastAsia="zh-CN"/>
        </w:rPr>
        <w:t>地块一北侧及东侧道路</w:t>
      </w:r>
      <w:r>
        <w:rPr>
          <w:rFonts w:hint="default" w:ascii="Times New Roman" w:hAnsi="Times New Roman" w:cs="Times New Roman"/>
        </w:rPr>
        <w:t>设雨水管网，将汇水顺接至项目区周边的市政雨水管网。经统计，共设计修建DN</w:t>
      </w:r>
      <w:r>
        <w:rPr>
          <w:rFonts w:hint="eastAsia" w:cs="Times New Roman"/>
          <w:lang w:val="en-US" w:eastAsia="zh-CN"/>
        </w:rPr>
        <w:t>4</w:t>
      </w:r>
      <w:r>
        <w:rPr>
          <w:rFonts w:hint="default" w:ascii="Times New Roman" w:hAnsi="Times New Roman" w:cs="Times New Roman"/>
        </w:rPr>
        <w:t>00HDPE管雨水管网</w:t>
      </w:r>
      <w:r>
        <w:rPr>
          <w:rFonts w:hint="eastAsia" w:cs="Times New Roman"/>
          <w:lang w:val="en-US" w:eastAsia="zh-CN"/>
        </w:rPr>
        <w:t>135</w:t>
      </w:r>
      <w:r>
        <w:rPr>
          <w:rFonts w:hint="default" w:ascii="Times New Roman" w:hAnsi="Times New Roman" w:cs="Times New Roman"/>
        </w:rPr>
        <w:t>m</w:t>
      </w:r>
      <w:r>
        <w:rPr>
          <w:rFonts w:hint="eastAsia" w:cs="Times New Roman"/>
          <w:lang w:eastAsia="zh-CN"/>
        </w:rPr>
        <w:t>、</w:t>
      </w:r>
      <w:r>
        <w:rPr>
          <w:rFonts w:hint="default" w:ascii="Times New Roman" w:hAnsi="Times New Roman" w:cs="Times New Roman"/>
        </w:rPr>
        <w:t>DN</w:t>
      </w:r>
      <w:r>
        <w:rPr>
          <w:rFonts w:hint="eastAsia" w:cs="Times New Roman"/>
          <w:lang w:val="en-US" w:eastAsia="zh-CN"/>
        </w:rPr>
        <w:t>5</w:t>
      </w:r>
      <w:r>
        <w:rPr>
          <w:rFonts w:hint="default" w:ascii="Times New Roman" w:hAnsi="Times New Roman" w:cs="Times New Roman"/>
        </w:rPr>
        <w:t>00HDPE管雨水管网</w:t>
      </w:r>
      <w:r>
        <w:rPr>
          <w:rFonts w:hint="eastAsia" w:cs="Times New Roman"/>
          <w:lang w:val="en-US" w:eastAsia="zh-CN"/>
        </w:rPr>
        <w:t>65m</w:t>
      </w:r>
      <w:r>
        <w:rPr>
          <w:rFonts w:hint="default" w:ascii="Times New Roman" w:hAnsi="Times New Roman" w:cs="Times New Roman"/>
        </w:rPr>
        <w:t>。</w:t>
      </w:r>
    </w:p>
    <w:p w14:paraId="02225E65">
      <w:pPr>
        <w:adjustRightInd w:val="0"/>
        <w:snapToGrid w:val="0"/>
        <w:ind w:firstLine="480"/>
        <w:rPr>
          <w:rFonts w:hint="default" w:ascii="Times New Roman" w:hAnsi="Times New Roman" w:cs="Times New Roman"/>
        </w:rPr>
      </w:pPr>
      <w:r>
        <w:rPr>
          <w:rFonts w:hint="default" w:ascii="Times New Roman" w:hAnsi="Times New Roman" w:cs="Times New Roman"/>
        </w:rPr>
        <w:t>水土保持评价：从水土保持角度，雨水管网汇集场内雨水，防治降雨径流冲刷地表造成水土流失，排水沟具有水土保持功能，其投资计入水土保持投资。</w:t>
      </w:r>
    </w:p>
    <w:p w14:paraId="4E5FF6B5">
      <w:pPr>
        <w:adjustRightInd w:val="0"/>
        <w:snapToGrid w:val="0"/>
        <w:ind w:firstLine="48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）硬化地表</w:t>
      </w:r>
    </w:p>
    <w:p w14:paraId="1EC27BC9">
      <w:pPr>
        <w:ind w:firstLine="480"/>
        <w:rPr>
          <w:rFonts w:hint="default" w:ascii="Times New Roman" w:hAnsi="Times New Roman" w:cs="Times New Roman"/>
          <w:lang w:val="zh-CN"/>
        </w:rPr>
      </w:pPr>
      <w:r>
        <w:rPr>
          <w:rFonts w:hint="default" w:ascii="Times New Roman" w:hAnsi="Times New Roman" w:cs="Times New Roman"/>
          <w:lang w:val="zh-CN"/>
        </w:rPr>
        <w:t>根据主体设计情况，</w:t>
      </w:r>
      <w:r>
        <w:rPr>
          <w:rFonts w:hint="eastAsia" w:cs="Times New Roman"/>
          <w:lang w:val="en-US" w:eastAsia="zh-CN"/>
        </w:rPr>
        <w:t>地块一</w:t>
      </w:r>
      <w:r>
        <w:rPr>
          <w:rFonts w:hint="default" w:ascii="Times New Roman" w:hAnsi="Times New Roman" w:cs="Times New Roman"/>
          <w:lang w:val="zh-CN"/>
        </w:rPr>
        <w:t>场内</w:t>
      </w:r>
      <w:r>
        <w:rPr>
          <w:rFonts w:hint="eastAsia" w:cs="Times New Roman"/>
          <w:lang w:val="zh-CN"/>
        </w:rPr>
        <w:t>道路及硬化区</w:t>
      </w:r>
      <w:r>
        <w:rPr>
          <w:rFonts w:hint="default" w:ascii="Times New Roman" w:hAnsi="Times New Roman" w:cs="Times New Roman"/>
          <w:lang w:val="zh-CN"/>
        </w:rPr>
        <w:t>将进行混凝土硬化，经统计硬化区域面积共为0.</w:t>
      </w:r>
      <w:r>
        <w:rPr>
          <w:rFonts w:hint="eastAsia" w:cs="Times New Roman"/>
          <w:lang w:val="en-US" w:eastAsia="zh-CN"/>
        </w:rPr>
        <w:t>21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p>
    <w:p w14:paraId="467E2AFC">
      <w:pPr>
        <w:ind w:firstLine="480"/>
        <w:rPr>
          <w:rFonts w:hint="default" w:ascii="Times New Roman" w:hAnsi="Times New Roman" w:cs="Times New Roman"/>
          <w:lang w:val="zh-CN"/>
        </w:rPr>
      </w:pPr>
      <w:r>
        <w:rPr>
          <w:rFonts w:hint="default" w:ascii="Times New Roman" w:hAnsi="Times New Roman" w:cs="Times New Roman"/>
          <w:lang w:val="zh-CN"/>
        </w:rPr>
        <w:t>水土保持评价：硬化地表的实施对项目建设的水土保持治理起到了一定作用，避免了项目建设区地表裸露，提高了地表的抗侵蚀能力。但从保水角度来说，硬化面降低了区域的保水效果。建议主体设计单位借鉴相关设计，优化设计方案，提高降雨的综合利用率。</w:t>
      </w:r>
    </w:p>
    <w:p w14:paraId="4BE02B3D">
      <w:pPr>
        <w:ind w:firstLine="480"/>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rPr>
        <w:t>、绿化区</w:t>
      </w:r>
    </w:p>
    <w:p w14:paraId="04ACF4B1">
      <w:pPr>
        <w:pStyle w:val="93"/>
        <w:rPr>
          <w:rFonts w:hint="default" w:ascii="Times New Roman" w:hAnsi="Times New Roman" w:cs="Times New Roman"/>
        </w:rPr>
      </w:pPr>
      <w:r>
        <w:rPr>
          <w:rFonts w:hint="default" w:ascii="Times New Roman" w:hAnsi="Times New Roman" w:cs="Times New Roman"/>
        </w:rPr>
        <w:t>（1）表土剥离</w:t>
      </w:r>
    </w:p>
    <w:p w14:paraId="02C9935B">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主体设计在项目前期场地平整工作时对场地内可利用熟土进行剥离，剥离出来的表土统一堆放于表土堆场，后期用作绿化区覆土土源。经统计，</w:t>
      </w:r>
      <w:r>
        <w:rPr>
          <w:rFonts w:hint="eastAsia" w:ascii="Times New Roman" w:hAnsi="Times New Roman" w:cs="Times New Roman"/>
          <w:lang w:val="en-US" w:eastAsia="zh-CN"/>
        </w:rPr>
        <w:t>绿化</w:t>
      </w:r>
      <w:r>
        <w:rPr>
          <w:rFonts w:hint="eastAsia" w:cs="Times New Roman"/>
          <w:lang w:eastAsia="zh-CN"/>
        </w:rPr>
        <w:t>区</w:t>
      </w:r>
      <w:r>
        <w:rPr>
          <w:rFonts w:hint="default" w:ascii="Times New Roman" w:hAnsi="Times New Roman" w:cs="Times New Roman"/>
        </w:rPr>
        <w:t>共计剥离表土</w:t>
      </w:r>
      <w:r>
        <w:rPr>
          <w:rFonts w:hint="eastAsia" w:ascii="Times New Roman" w:hAnsi="Times New Roman" w:cs="Times New Roman"/>
          <w:lang w:val="en-US" w:eastAsia="zh-CN"/>
        </w:rPr>
        <w:t>135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65C8A85A">
      <w:pPr>
        <w:pStyle w:val="93"/>
        <w:rPr>
          <w:rFonts w:hint="default" w:ascii="Times New Roman" w:hAnsi="Times New Roman" w:cs="Times New Roman"/>
        </w:rPr>
      </w:pPr>
      <w:r>
        <w:rPr>
          <w:rFonts w:hint="default" w:ascii="Times New Roman" w:hAnsi="Times New Roman" w:cs="Times New Roman"/>
        </w:rPr>
        <w:t>水土保持评价：表土剥离措施保护了珍贵的表土资源，用于后期覆土增加了植被成活率，具有良好的水土保持功能，其投资计入水土保持投资。</w:t>
      </w:r>
    </w:p>
    <w:p w14:paraId="6D68C374">
      <w:pPr>
        <w:pStyle w:val="93"/>
        <w:rPr>
          <w:rFonts w:hint="default" w:ascii="Times New Roman" w:hAnsi="Times New Roman" w:cs="Times New Roman"/>
        </w:rPr>
      </w:pPr>
      <w:r>
        <w:rPr>
          <w:rFonts w:hint="default" w:ascii="Times New Roman" w:hAnsi="Times New Roman" w:cs="Times New Roman"/>
          <w:lang w:val="zh-CN"/>
        </w:rPr>
        <w:t>（</w:t>
      </w:r>
      <w:r>
        <w:rPr>
          <w:rFonts w:hint="eastAsia" w:cs="Times New Roman"/>
          <w:lang w:val="en-US" w:eastAsia="zh-CN"/>
        </w:rPr>
        <w:t>2</w:t>
      </w:r>
      <w:r>
        <w:rPr>
          <w:rFonts w:hint="default" w:ascii="Times New Roman" w:hAnsi="Times New Roman" w:cs="Times New Roman"/>
          <w:lang w:val="zh-CN"/>
        </w:rPr>
        <w:t>）</w:t>
      </w:r>
      <w:r>
        <w:rPr>
          <w:rFonts w:hint="default" w:ascii="Times New Roman" w:hAnsi="Times New Roman" w:cs="Times New Roman"/>
        </w:rPr>
        <w:t>景观绿化</w:t>
      </w:r>
    </w:p>
    <w:p w14:paraId="07FD83D9">
      <w:pPr>
        <w:adjustRightInd w:val="0"/>
        <w:snapToGrid w:val="0"/>
        <w:ind w:firstLine="480"/>
        <w:rPr>
          <w:rFonts w:hint="default" w:ascii="Times New Roman" w:hAnsi="Times New Roman" w:cs="Times New Roman"/>
        </w:rPr>
      </w:pPr>
      <w:r>
        <w:rPr>
          <w:rFonts w:hint="default" w:ascii="Times New Roman" w:hAnsi="Times New Roman" w:cs="Times New Roman"/>
        </w:rPr>
        <w:t>本项目设计中，对</w:t>
      </w:r>
      <w:r>
        <w:rPr>
          <w:rFonts w:hint="eastAsia" w:cs="Times New Roman"/>
          <w:lang w:val="en-US" w:eastAsia="zh-CN"/>
        </w:rPr>
        <w:t>地块一</w:t>
      </w:r>
      <w:r>
        <w:rPr>
          <w:rFonts w:hint="default" w:ascii="Times New Roman" w:hAnsi="Times New Roman" w:cs="Times New Roman"/>
        </w:rPr>
        <w:t>场区建筑物周边其他空地进行绿化，绿化采用多重复合的绿化体系，主要为乔、灌、草相结合，常绿与落叶相结合的方式进行绿化。根据设计资料及图纸，绿化区绿化面积0.0</w:t>
      </w:r>
      <w:r>
        <w:rPr>
          <w:rFonts w:hint="eastAsia" w:cs="Times New Roman"/>
          <w:lang w:val="en-US" w:eastAsia="zh-CN"/>
        </w:rPr>
        <w:t>9</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588F0B62">
      <w:pPr>
        <w:adjustRightInd w:val="0"/>
        <w:snapToGrid w:val="0"/>
        <w:ind w:firstLine="480"/>
        <w:rPr>
          <w:rFonts w:hint="default" w:ascii="Times New Roman" w:hAnsi="Times New Roman" w:cs="Times New Roman"/>
        </w:rPr>
      </w:pPr>
      <w:r>
        <w:rPr>
          <w:rFonts w:hint="default" w:ascii="Times New Roman" w:hAnsi="Times New Roman" w:cs="Times New Roman"/>
        </w:rPr>
        <w:t>水土保持评价：绿化工程的实施，覆盖了裸露的地表，增加了地表入渗，减少了地表径流，对因项目建设造成的扰动地表起到了良好的防治作用，对恢复区域生态环境、降低水土流失、提升区域自然下渗能力均有重要意义，具有较好的水土保持功能，其投资计入水土保持投资。</w:t>
      </w:r>
    </w:p>
    <w:p w14:paraId="09C17B0B">
      <w:pPr>
        <w:ind w:firstLine="480"/>
        <w:rPr>
          <w:rFonts w:hint="default" w:cs="Times New Roman"/>
          <w:lang w:val="en-US" w:eastAsia="zh-CN"/>
        </w:rPr>
      </w:pPr>
      <w:r>
        <w:rPr>
          <w:rFonts w:hint="eastAsia" w:cs="Times New Roman"/>
          <w:lang w:val="en-US" w:eastAsia="zh-CN"/>
        </w:rPr>
        <w:t>二、地块二</w:t>
      </w:r>
    </w:p>
    <w:p w14:paraId="13E92B25">
      <w:pPr>
        <w:pStyle w:val="93"/>
        <w:rPr>
          <w:rFonts w:hint="default" w:ascii="Times New Roman" w:hAnsi="Times New Roman" w:eastAsia="仿宋_GB2312" w:cs="Times New Roman"/>
          <w:lang w:val="en-US" w:eastAsia="zh-CN"/>
        </w:rPr>
      </w:pPr>
      <w:r>
        <w:rPr>
          <w:rFonts w:hint="eastAsia" w:ascii="Times New Roman" w:hAnsi="Times New Roman" w:cs="Times New Roman"/>
          <w:lang w:val="en-US" w:eastAsia="zh-CN"/>
        </w:rPr>
        <w:t>1、建构筑物区</w:t>
      </w:r>
    </w:p>
    <w:p w14:paraId="7DEF78E8">
      <w:pPr>
        <w:pStyle w:val="93"/>
        <w:rPr>
          <w:rFonts w:hint="eastAsia" w:ascii="Times New Roman" w:hAnsi="Times New Roman" w:eastAsia="仿宋_GB2312" w:cs="Times New Roman"/>
          <w:lang w:eastAsia="zh-CN"/>
        </w:rPr>
      </w:pPr>
      <w:r>
        <w:rPr>
          <w:rFonts w:hint="default" w:ascii="Times New Roman" w:hAnsi="Times New Roman" w:cs="Times New Roman"/>
        </w:rPr>
        <w:t>（1）表土剥离</w:t>
      </w:r>
      <w:r>
        <w:rPr>
          <w:rFonts w:hint="eastAsia" w:ascii="Times New Roman" w:hAnsi="Times New Roman" w:cs="Times New Roman"/>
          <w:lang w:eastAsia="zh-CN"/>
        </w:rPr>
        <w:t>（</w:t>
      </w:r>
      <w:r>
        <w:rPr>
          <w:rFonts w:hint="eastAsia" w:ascii="Times New Roman" w:hAnsi="Times New Roman" w:cs="Times New Roman"/>
          <w:lang w:val="en-US" w:eastAsia="zh-CN"/>
        </w:rPr>
        <w:t>已实施</w:t>
      </w:r>
      <w:r>
        <w:rPr>
          <w:rFonts w:hint="eastAsia" w:ascii="Times New Roman" w:hAnsi="Times New Roman" w:cs="Times New Roman"/>
          <w:lang w:eastAsia="zh-CN"/>
        </w:rPr>
        <w:t>）</w:t>
      </w:r>
    </w:p>
    <w:p w14:paraId="11B734B7">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为保护珍贵的表土资源，提高项目区绿化苗木成活率，保障绿化工程质量，在项目前期场地平整工作时对场地内可利用熟土进行</w:t>
      </w:r>
      <w:r>
        <w:rPr>
          <w:rFonts w:hint="eastAsia" w:ascii="Times New Roman" w:hAnsi="Times New Roman" w:cs="Times New Roman"/>
          <w:lang w:val="en-US" w:eastAsia="zh-CN"/>
        </w:rPr>
        <w:t>了</w:t>
      </w:r>
      <w:r>
        <w:rPr>
          <w:rFonts w:hint="default" w:ascii="Times New Roman" w:hAnsi="Times New Roman" w:cs="Times New Roman"/>
        </w:rPr>
        <w:t>剥离，剥离出来的表土</w:t>
      </w:r>
      <w:r>
        <w:rPr>
          <w:rFonts w:hint="eastAsia" w:ascii="Times New Roman" w:hAnsi="Times New Roman" w:cs="Times New Roman"/>
          <w:lang w:val="en-US" w:eastAsia="zh-CN"/>
        </w:rPr>
        <w:t>目前堆放在项目区西侧，要求建设单位统一</w:t>
      </w:r>
      <w:r>
        <w:rPr>
          <w:rFonts w:hint="default" w:ascii="Times New Roman" w:hAnsi="Times New Roman" w:cs="Times New Roman"/>
        </w:rPr>
        <w:t>堆放</w:t>
      </w:r>
      <w:r>
        <w:rPr>
          <w:rFonts w:hint="eastAsia" w:ascii="Times New Roman" w:hAnsi="Times New Roman" w:cs="Times New Roman"/>
          <w:lang w:val="en-US" w:eastAsia="zh-CN"/>
        </w:rPr>
        <w:t>至</w:t>
      </w:r>
      <w:r>
        <w:rPr>
          <w:rFonts w:hint="default" w:ascii="Times New Roman" w:hAnsi="Times New Roman" w:cs="Times New Roman"/>
        </w:rPr>
        <w:t>表土堆场，后期用作绿化区覆土土源。经统计，建构筑物区共计剥离表土</w:t>
      </w:r>
      <w:r>
        <w:rPr>
          <w:rFonts w:hint="eastAsia" w:ascii="Times New Roman" w:hAnsi="Times New Roman" w:cs="Times New Roman"/>
          <w:lang w:val="en-US" w:eastAsia="zh-CN"/>
        </w:rPr>
        <w:t>855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406BE42E">
      <w:pPr>
        <w:pStyle w:val="93"/>
        <w:rPr>
          <w:rFonts w:hint="default" w:ascii="Times New Roman" w:hAnsi="Times New Roman" w:cs="Times New Roman"/>
        </w:rPr>
      </w:pPr>
      <w:r>
        <w:rPr>
          <w:rFonts w:hint="default" w:ascii="Times New Roman" w:hAnsi="Times New Roman" w:cs="Times New Roman"/>
        </w:rPr>
        <w:t>水土保持评价：表土剥离措施保护了珍贵的表土资源，用于后期覆土增加了植被成活率，具有良好的水土保持功能，其投资计入水土保持投资。</w:t>
      </w:r>
    </w:p>
    <w:p w14:paraId="06A3C004">
      <w:pPr>
        <w:ind w:firstLine="480"/>
        <w:rPr>
          <w:rFonts w:hint="eastAsia" w:ascii="Times New Roman" w:hAnsi="Times New Roman" w:eastAsia="仿宋_GB2312" w:cs="Times New Roman"/>
          <w:lang w:eastAsia="zh-CN"/>
        </w:rPr>
      </w:pPr>
      <w:r>
        <w:rPr>
          <w:rFonts w:hint="eastAsia" w:cs="Times New Roman"/>
          <w:lang w:val="en-US" w:eastAsia="zh-CN"/>
        </w:rPr>
        <w:t>2</w:t>
      </w:r>
      <w:r>
        <w:rPr>
          <w:rFonts w:hint="default" w:ascii="Times New Roman" w:hAnsi="Times New Roman" w:cs="Times New Roman"/>
        </w:rPr>
        <w:t>、</w:t>
      </w:r>
      <w:r>
        <w:rPr>
          <w:rFonts w:hint="eastAsia" w:cs="Times New Roman"/>
          <w:lang w:eastAsia="zh-CN"/>
        </w:rPr>
        <w:t>道路及硬化区</w:t>
      </w:r>
    </w:p>
    <w:p w14:paraId="1E65FDCC">
      <w:pPr>
        <w:pStyle w:val="93"/>
        <w:rPr>
          <w:rFonts w:hint="default" w:ascii="Times New Roman" w:hAnsi="Times New Roman" w:cs="Times New Roman"/>
        </w:rPr>
      </w:pPr>
      <w:r>
        <w:rPr>
          <w:rFonts w:hint="default" w:ascii="Times New Roman" w:hAnsi="Times New Roman" w:cs="Times New Roman"/>
        </w:rPr>
        <w:t>（1）表土剥离</w:t>
      </w:r>
      <w:r>
        <w:rPr>
          <w:rFonts w:hint="eastAsia" w:ascii="Times New Roman" w:hAnsi="Times New Roman" w:cs="Times New Roman"/>
          <w:lang w:eastAsia="zh-CN"/>
        </w:rPr>
        <w:t>（</w:t>
      </w:r>
      <w:r>
        <w:rPr>
          <w:rFonts w:hint="eastAsia" w:ascii="Times New Roman" w:hAnsi="Times New Roman" w:cs="Times New Roman"/>
          <w:lang w:val="en-US" w:eastAsia="zh-CN"/>
        </w:rPr>
        <w:t>已实施</w:t>
      </w:r>
      <w:r>
        <w:rPr>
          <w:rFonts w:hint="eastAsia" w:ascii="Times New Roman" w:hAnsi="Times New Roman" w:cs="Times New Roman"/>
          <w:lang w:eastAsia="zh-CN"/>
        </w:rPr>
        <w:t>）</w:t>
      </w:r>
    </w:p>
    <w:p w14:paraId="2F6DCB7B">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为保护珍贵的表土资源，提高项目区绿化苗木成活率，保障绿化工程质量，在项目前期场地平整工作时对场地内可利用熟土进行</w:t>
      </w:r>
      <w:r>
        <w:rPr>
          <w:rFonts w:hint="eastAsia" w:ascii="Times New Roman" w:hAnsi="Times New Roman" w:cs="Times New Roman"/>
          <w:lang w:val="en-US" w:eastAsia="zh-CN"/>
        </w:rPr>
        <w:t>了</w:t>
      </w:r>
      <w:r>
        <w:rPr>
          <w:rFonts w:hint="default" w:ascii="Times New Roman" w:hAnsi="Times New Roman" w:cs="Times New Roman"/>
        </w:rPr>
        <w:t>剥离，剥离出来的表土</w:t>
      </w:r>
      <w:r>
        <w:rPr>
          <w:rFonts w:hint="eastAsia" w:ascii="Times New Roman" w:hAnsi="Times New Roman" w:cs="Times New Roman"/>
          <w:lang w:val="en-US" w:eastAsia="zh-CN"/>
        </w:rPr>
        <w:t>目前堆放在项目区西侧，要求建设单位统一</w:t>
      </w:r>
      <w:r>
        <w:rPr>
          <w:rFonts w:hint="default" w:ascii="Times New Roman" w:hAnsi="Times New Roman" w:cs="Times New Roman"/>
        </w:rPr>
        <w:t>堆放</w:t>
      </w:r>
      <w:r>
        <w:rPr>
          <w:rFonts w:hint="eastAsia" w:ascii="Times New Roman" w:hAnsi="Times New Roman" w:cs="Times New Roman"/>
          <w:lang w:val="en-US" w:eastAsia="zh-CN"/>
        </w:rPr>
        <w:t>至</w:t>
      </w:r>
      <w:r>
        <w:rPr>
          <w:rFonts w:hint="default" w:ascii="Times New Roman" w:hAnsi="Times New Roman" w:cs="Times New Roman"/>
        </w:rPr>
        <w:t>表土堆场，后期用作绿化区覆土土源。经统计，</w:t>
      </w:r>
      <w:r>
        <w:rPr>
          <w:rFonts w:hint="eastAsia" w:cs="Times New Roman"/>
          <w:lang w:eastAsia="zh-CN"/>
        </w:rPr>
        <w:t>道路及硬化区</w:t>
      </w:r>
      <w:r>
        <w:rPr>
          <w:rFonts w:hint="default" w:ascii="Times New Roman" w:hAnsi="Times New Roman" w:cs="Times New Roman"/>
        </w:rPr>
        <w:t>共计剥离表土</w:t>
      </w:r>
      <w:r>
        <w:rPr>
          <w:rFonts w:hint="eastAsia" w:ascii="Times New Roman" w:hAnsi="Times New Roman" w:cs="Times New Roman"/>
          <w:lang w:val="en-US" w:eastAsia="zh-CN"/>
        </w:rPr>
        <w:t>300</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139A9707">
      <w:pPr>
        <w:pStyle w:val="93"/>
        <w:rPr>
          <w:rFonts w:hint="default" w:ascii="Times New Roman" w:hAnsi="Times New Roman" w:cs="Times New Roman"/>
        </w:rPr>
      </w:pPr>
      <w:r>
        <w:rPr>
          <w:rFonts w:hint="default" w:ascii="Times New Roman" w:hAnsi="Times New Roman" w:cs="Times New Roman"/>
        </w:rPr>
        <w:t>水土保持评价：表土剥离措施保护了珍贵的表土资源，用于后期覆土增加了植被成活率，具有良好的水土保持功能，其投资计入水土保持投资。</w:t>
      </w:r>
    </w:p>
    <w:p w14:paraId="02DA5A89">
      <w:pPr>
        <w:pStyle w:val="93"/>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）雨水管网</w:t>
      </w:r>
    </w:p>
    <w:p w14:paraId="2406AF64">
      <w:pPr>
        <w:pStyle w:val="93"/>
        <w:rPr>
          <w:rFonts w:hint="default" w:ascii="Times New Roman" w:hAnsi="Times New Roman" w:cs="Times New Roman"/>
        </w:rPr>
      </w:pPr>
      <w:r>
        <w:rPr>
          <w:rFonts w:hint="default" w:ascii="Times New Roman" w:hAnsi="Times New Roman" w:cs="Times New Roman"/>
        </w:rPr>
        <w:t>根据主体资料，项目区</w:t>
      </w:r>
      <w:r>
        <w:rPr>
          <w:rFonts w:hint="eastAsia" w:cs="Times New Roman"/>
          <w:lang w:val="en-US" w:eastAsia="zh-CN"/>
        </w:rPr>
        <w:t>地块二</w:t>
      </w:r>
      <w:r>
        <w:rPr>
          <w:rFonts w:hint="default" w:ascii="Times New Roman" w:hAnsi="Times New Roman" w:cs="Times New Roman"/>
        </w:rPr>
        <w:t>实施雨污分流，主体设计</w:t>
      </w:r>
      <w:r>
        <w:rPr>
          <w:rFonts w:hint="eastAsia" w:cs="Times New Roman"/>
          <w:lang w:val="en-US" w:eastAsia="zh-CN"/>
        </w:rPr>
        <w:t>地块一北侧及东侧道路</w:t>
      </w:r>
      <w:r>
        <w:rPr>
          <w:rFonts w:hint="default" w:ascii="Times New Roman" w:hAnsi="Times New Roman" w:cs="Times New Roman"/>
        </w:rPr>
        <w:t>设雨水管网，将汇水顺接至项目区周边的市政雨水管网。经统计，共设计修建DN</w:t>
      </w:r>
      <w:r>
        <w:rPr>
          <w:rFonts w:hint="eastAsia" w:cs="Times New Roman"/>
          <w:lang w:val="en-US" w:eastAsia="zh-CN"/>
        </w:rPr>
        <w:t>4</w:t>
      </w:r>
      <w:r>
        <w:rPr>
          <w:rFonts w:hint="default" w:ascii="Times New Roman" w:hAnsi="Times New Roman" w:cs="Times New Roman"/>
        </w:rPr>
        <w:t>00HDPE管雨水管网</w:t>
      </w:r>
      <w:r>
        <w:rPr>
          <w:rFonts w:hint="eastAsia" w:cs="Times New Roman"/>
          <w:lang w:val="en-US" w:eastAsia="zh-CN"/>
        </w:rPr>
        <w:t>165</w:t>
      </w:r>
      <w:r>
        <w:rPr>
          <w:rFonts w:hint="default" w:ascii="Times New Roman" w:hAnsi="Times New Roman" w:cs="Times New Roman"/>
        </w:rPr>
        <w:t>m</w:t>
      </w:r>
      <w:r>
        <w:rPr>
          <w:rFonts w:hint="eastAsia" w:cs="Times New Roman"/>
          <w:lang w:eastAsia="zh-CN"/>
        </w:rPr>
        <w:t>、</w:t>
      </w:r>
      <w:r>
        <w:rPr>
          <w:rFonts w:hint="default" w:ascii="Times New Roman" w:hAnsi="Times New Roman" w:cs="Times New Roman"/>
        </w:rPr>
        <w:t>DN</w:t>
      </w:r>
      <w:r>
        <w:rPr>
          <w:rFonts w:hint="eastAsia" w:cs="Times New Roman"/>
          <w:lang w:val="en-US" w:eastAsia="zh-CN"/>
        </w:rPr>
        <w:t>5</w:t>
      </w:r>
      <w:r>
        <w:rPr>
          <w:rFonts w:hint="default" w:ascii="Times New Roman" w:hAnsi="Times New Roman" w:cs="Times New Roman"/>
        </w:rPr>
        <w:t>00HDPE管雨水管网</w:t>
      </w:r>
      <w:r>
        <w:rPr>
          <w:rFonts w:hint="eastAsia" w:cs="Times New Roman"/>
          <w:lang w:val="en-US" w:eastAsia="zh-CN"/>
        </w:rPr>
        <w:t>80m</w:t>
      </w:r>
      <w:r>
        <w:rPr>
          <w:rFonts w:hint="default" w:ascii="Times New Roman" w:hAnsi="Times New Roman" w:cs="Times New Roman"/>
        </w:rPr>
        <w:t>。</w:t>
      </w:r>
    </w:p>
    <w:p w14:paraId="0B86A07C">
      <w:pPr>
        <w:adjustRightInd w:val="0"/>
        <w:snapToGrid w:val="0"/>
        <w:ind w:firstLine="480"/>
        <w:rPr>
          <w:rFonts w:hint="default" w:ascii="Times New Roman" w:hAnsi="Times New Roman" w:cs="Times New Roman"/>
        </w:rPr>
      </w:pPr>
      <w:r>
        <w:rPr>
          <w:rFonts w:hint="default" w:ascii="Times New Roman" w:hAnsi="Times New Roman" w:cs="Times New Roman"/>
        </w:rPr>
        <w:t>水土保持评价：从水土保持角度，雨水管网汇集场内雨水，防治降雨径流冲刷地表造成水土流失，排水沟具有水土保持功能，其投资计入水土保持投资。</w:t>
      </w:r>
    </w:p>
    <w:p w14:paraId="36C5729E">
      <w:pPr>
        <w:adjustRightInd w:val="0"/>
        <w:snapToGrid w:val="0"/>
        <w:ind w:firstLine="48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）硬化地表</w:t>
      </w:r>
    </w:p>
    <w:p w14:paraId="19CA4391">
      <w:pPr>
        <w:ind w:firstLine="480"/>
        <w:rPr>
          <w:rFonts w:hint="default" w:ascii="Times New Roman" w:hAnsi="Times New Roman" w:cs="Times New Roman"/>
          <w:lang w:val="zh-CN"/>
        </w:rPr>
      </w:pPr>
      <w:r>
        <w:rPr>
          <w:rFonts w:hint="default" w:ascii="Times New Roman" w:hAnsi="Times New Roman" w:cs="Times New Roman"/>
          <w:lang w:val="zh-CN"/>
        </w:rPr>
        <w:t>根据主体设计情况，</w:t>
      </w:r>
      <w:r>
        <w:rPr>
          <w:rFonts w:hint="eastAsia" w:cs="Times New Roman"/>
          <w:lang w:val="en-US" w:eastAsia="zh-CN"/>
        </w:rPr>
        <w:t>地块二</w:t>
      </w:r>
      <w:r>
        <w:rPr>
          <w:rFonts w:hint="default" w:ascii="Times New Roman" w:hAnsi="Times New Roman" w:cs="Times New Roman"/>
          <w:lang w:val="zh-CN"/>
        </w:rPr>
        <w:t>场内</w:t>
      </w:r>
      <w:r>
        <w:rPr>
          <w:rFonts w:hint="eastAsia" w:cs="Times New Roman"/>
          <w:lang w:val="zh-CN"/>
        </w:rPr>
        <w:t>道路及硬化区</w:t>
      </w:r>
      <w:r>
        <w:rPr>
          <w:rFonts w:hint="default" w:ascii="Times New Roman" w:hAnsi="Times New Roman" w:cs="Times New Roman"/>
          <w:lang w:val="zh-CN"/>
        </w:rPr>
        <w:t>将进行混凝土硬化，经统计硬化区域面积共为0.</w:t>
      </w:r>
      <w:r>
        <w:rPr>
          <w:rFonts w:hint="eastAsia" w:cs="Times New Roman"/>
          <w:lang w:val="en-US" w:eastAsia="zh-CN"/>
        </w:rPr>
        <w:t>20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p>
    <w:p w14:paraId="1CD800CA">
      <w:pPr>
        <w:ind w:firstLine="480"/>
        <w:rPr>
          <w:rFonts w:hint="default" w:ascii="Times New Roman" w:hAnsi="Times New Roman" w:cs="Times New Roman"/>
          <w:lang w:val="zh-CN"/>
        </w:rPr>
      </w:pPr>
      <w:r>
        <w:rPr>
          <w:rFonts w:hint="default" w:ascii="Times New Roman" w:hAnsi="Times New Roman" w:cs="Times New Roman"/>
          <w:lang w:val="zh-CN"/>
        </w:rPr>
        <w:t>水土保持评价：硬化地表的实施对项目建设的水土保持治理起到了一定作用，避免了项目建设区地表裸露，提高了地表的抗侵蚀能力。但从保水角度来说，硬化面降低了区域的保水效果。建议主体设计单位借鉴相关设计，优化设计方案，提高降雨的综合利用率。</w:t>
      </w:r>
    </w:p>
    <w:p w14:paraId="12889B0A">
      <w:pPr>
        <w:ind w:firstLine="480"/>
        <w:rPr>
          <w:rFonts w:hint="default" w:ascii="Times New Roman" w:hAnsi="Times New Roman" w:cs="Times New Roman"/>
        </w:rPr>
      </w:pPr>
      <w:r>
        <w:rPr>
          <w:rFonts w:hint="eastAsia" w:cs="Times New Roman"/>
          <w:lang w:val="en-US" w:eastAsia="zh-CN"/>
        </w:rPr>
        <w:t>3</w:t>
      </w:r>
      <w:r>
        <w:rPr>
          <w:rFonts w:hint="default" w:ascii="Times New Roman" w:hAnsi="Times New Roman" w:cs="Times New Roman"/>
        </w:rPr>
        <w:t>、绿化区</w:t>
      </w:r>
    </w:p>
    <w:p w14:paraId="506CBA57">
      <w:pPr>
        <w:pStyle w:val="93"/>
        <w:rPr>
          <w:rFonts w:hint="default" w:ascii="Times New Roman" w:hAnsi="Times New Roman" w:cs="Times New Roman"/>
        </w:rPr>
      </w:pPr>
      <w:r>
        <w:rPr>
          <w:rFonts w:hint="default" w:ascii="Times New Roman" w:hAnsi="Times New Roman" w:cs="Times New Roman"/>
        </w:rPr>
        <w:t>（1）表土剥离</w:t>
      </w:r>
      <w:r>
        <w:rPr>
          <w:rFonts w:hint="eastAsia" w:ascii="Times New Roman" w:hAnsi="Times New Roman" w:cs="Times New Roman"/>
          <w:lang w:eastAsia="zh-CN"/>
        </w:rPr>
        <w:t>（</w:t>
      </w:r>
      <w:r>
        <w:rPr>
          <w:rFonts w:hint="eastAsia" w:ascii="Times New Roman" w:hAnsi="Times New Roman" w:cs="Times New Roman"/>
          <w:lang w:val="en-US" w:eastAsia="zh-CN"/>
        </w:rPr>
        <w:t>已实施</w:t>
      </w:r>
      <w:r>
        <w:rPr>
          <w:rFonts w:hint="eastAsia" w:ascii="Times New Roman" w:hAnsi="Times New Roman" w:cs="Times New Roman"/>
          <w:lang w:eastAsia="zh-CN"/>
        </w:rPr>
        <w:t>）</w:t>
      </w:r>
    </w:p>
    <w:p w14:paraId="24C580D4">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为保护珍贵的表土资源，提高项目区绿化苗木成活率，保障绿化工程质量，在项目前期场地平整工作时对场地内可利用熟土进行</w:t>
      </w:r>
      <w:r>
        <w:rPr>
          <w:rFonts w:hint="eastAsia" w:ascii="Times New Roman" w:hAnsi="Times New Roman" w:cs="Times New Roman"/>
          <w:lang w:val="en-US" w:eastAsia="zh-CN"/>
        </w:rPr>
        <w:t>了</w:t>
      </w:r>
      <w:r>
        <w:rPr>
          <w:rFonts w:hint="default" w:ascii="Times New Roman" w:hAnsi="Times New Roman" w:cs="Times New Roman"/>
        </w:rPr>
        <w:t>剥离，剥离出来的表土</w:t>
      </w:r>
      <w:r>
        <w:rPr>
          <w:rFonts w:hint="eastAsia" w:ascii="Times New Roman" w:hAnsi="Times New Roman" w:cs="Times New Roman"/>
          <w:lang w:val="en-US" w:eastAsia="zh-CN"/>
        </w:rPr>
        <w:t>目前堆放在项目区西侧，要求建设单位统一</w:t>
      </w:r>
      <w:r>
        <w:rPr>
          <w:rFonts w:hint="default" w:ascii="Times New Roman" w:hAnsi="Times New Roman" w:cs="Times New Roman"/>
        </w:rPr>
        <w:t>堆放</w:t>
      </w:r>
      <w:r>
        <w:rPr>
          <w:rFonts w:hint="eastAsia" w:ascii="Times New Roman" w:hAnsi="Times New Roman" w:cs="Times New Roman"/>
          <w:lang w:val="en-US" w:eastAsia="zh-CN"/>
        </w:rPr>
        <w:t>至</w:t>
      </w:r>
      <w:r>
        <w:rPr>
          <w:rFonts w:hint="default" w:ascii="Times New Roman" w:hAnsi="Times New Roman" w:cs="Times New Roman"/>
        </w:rPr>
        <w:t>表土堆场，后期用作绿化区覆土土源。经统计，</w:t>
      </w:r>
      <w:r>
        <w:rPr>
          <w:rFonts w:hint="eastAsia" w:ascii="Times New Roman" w:hAnsi="Times New Roman" w:cs="Times New Roman"/>
          <w:lang w:val="en-US" w:eastAsia="zh-CN"/>
        </w:rPr>
        <w:t>绿化</w:t>
      </w:r>
      <w:r>
        <w:rPr>
          <w:rFonts w:hint="eastAsia" w:cs="Times New Roman"/>
          <w:lang w:eastAsia="zh-CN"/>
        </w:rPr>
        <w:t>区</w:t>
      </w:r>
      <w:r>
        <w:rPr>
          <w:rFonts w:hint="default" w:ascii="Times New Roman" w:hAnsi="Times New Roman" w:cs="Times New Roman"/>
        </w:rPr>
        <w:t>共计剥离表土</w:t>
      </w:r>
      <w:r>
        <w:rPr>
          <w:rFonts w:hint="eastAsia" w:ascii="Times New Roman" w:hAnsi="Times New Roman" w:cs="Times New Roman"/>
          <w:lang w:val="en-US" w:eastAsia="zh-CN"/>
        </w:rPr>
        <w:t>210</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6FF7823C">
      <w:pPr>
        <w:pStyle w:val="93"/>
        <w:rPr>
          <w:rFonts w:hint="default" w:ascii="Times New Roman" w:hAnsi="Times New Roman" w:cs="Times New Roman"/>
        </w:rPr>
      </w:pPr>
      <w:r>
        <w:rPr>
          <w:rFonts w:hint="default" w:ascii="Times New Roman" w:hAnsi="Times New Roman" w:cs="Times New Roman"/>
        </w:rPr>
        <w:t>水土保持评价：表土剥离措施保护了珍贵的表土资源，用于后期覆土增加了植被成活率，具有良好的水土保持功能，其投资计入水土保持投资。</w:t>
      </w:r>
    </w:p>
    <w:p w14:paraId="5312EF7F">
      <w:pPr>
        <w:pStyle w:val="93"/>
        <w:rPr>
          <w:rFonts w:hint="default" w:ascii="Times New Roman" w:hAnsi="Times New Roman" w:cs="Times New Roman"/>
        </w:rPr>
      </w:pPr>
      <w:r>
        <w:rPr>
          <w:rFonts w:hint="default" w:ascii="Times New Roman" w:hAnsi="Times New Roman" w:cs="Times New Roman"/>
          <w:lang w:val="zh-CN"/>
        </w:rPr>
        <w:t>（</w:t>
      </w:r>
      <w:r>
        <w:rPr>
          <w:rFonts w:hint="eastAsia" w:cs="Times New Roman"/>
          <w:lang w:val="en-US" w:eastAsia="zh-CN"/>
        </w:rPr>
        <w:t>2</w:t>
      </w:r>
      <w:r>
        <w:rPr>
          <w:rFonts w:hint="default" w:ascii="Times New Roman" w:hAnsi="Times New Roman" w:cs="Times New Roman"/>
          <w:lang w:val="zh-CN"/>
        </w:rPr>
        <w:t>）</w:t>
      </w:r>
      <w:r>
        <w:rPr>
          <w:rFonts w:hint="default" w:ascii="Times New Roman" w:hAnsi="Times New Roman" w:cs="Times New Roman"/>
        </w:rPr>
        <w:t>景观绿化</w:t>
      </w:r>
    </w:p>
    <w:p w14:paraId="61B4FA6A">
      <w:pPr>
        <w:adjustRightInd w:val="0"/>
        <w:snapToGrid w:val="0"/>
        <w:ind w:firstLine="480"/>
        <w:rPr>
          <w:rFonts w:hint="default" w:ascii="Times New Roman" w:hAnsi="Times New Roman" w:cs="Times New Roman"/>
        </w:rPr>
      </w:pPr>
      <w:r>
        <w:rPr>
          <w:rFonts w:hint="default" w:ascii="Times New Roman" w:hAnsi="Times New Roman" w:cs="Times New Roman"/>
        </w:rPr>
        <w:t>本项目设计中，对</w:t>
      </w:r>
      <w:r>
        <w:rPr>
          <w:rFonts w:hint="eastAsia" w:cs="Times New Roman"/>
          <w:lang w:val="en-US" w:eastAsia="zh-CN"/>
        </w:rPr>
        <w:t>地块二</w:t>
      </w:r>
      <w:r>
        <w:rPr>
          <w:rFonts w:hint="default" w:ascii="Times New Roman" w:hAnsi="Times New Roman" w:cs="Times New Roman"/>
        </w:rPr>
        <w:t>场区建筑物周边其他空地进行绿化，绿化采用多重复合的绿化体系，主要为乔、灌、草相结合，常绿与落叶相结合的方式进行绿化。根据设计资料及图纸，绿化区绿化面积0.</w:t>
      </w:r>
      <w:r>
        <w:rPr>
          <w:rFonts w:hint="eastAsia" w:cs="Times New Roman"/>
          <w:lang w:val="en-US" w:eastAsia="zh-CN"/>
        </w:rPr>
        <w:t>14</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4873F69E">
      <w:pPr>
        <w:adjustRightInd w:val="0"/>
        <w:snapToGrid w:val="0"/>
        <w:ind w:firstLine="480"/>
        <w:rPr>
          <w:rFonts w:hint="default" w:ascii="Times New Roman" w:hAnsi="Times New Roman" w:cs="Times New Roman"/>
        </w:rPr>
      </w:pPr>
      <w:r>
        <w:rPr>
          <w:rFonts w:hint="default" w:ascii="Times New Roman" w:hAnsi="Times New Roman" w:cs="Times New Roman"/>
        </w:rPr>
        <w:t>水土保持评价：绿化工程的实施，覆盖了裸露的地表，增加了地表入渗，减少了地表径流，对因项目建设造成的扰动地表起到了良好的防治作用，对恢复区域生态环境、降低水土流失、提升区域自然下渗能力均有重要意义，具有较好的水土保持功能，其投资计入水土保持投资。</w:t>
      </w:r>
    </w:p>
    <w:p w14:paraId="009E04CB">
      <w:pPr>
        <w:pStyle w:val="3"/>
        <w:rPr>
          <w:rFonts w:hint="default" w:ascii="Times New Roman" w:hAnsi="Times New Roman" w:cs="Times New Roman"/>
        </w:rPr>
      </w:pPr>
      <w:bookmarkStart w:id="52" w:name="_Toc165223574"/>
      <w:r>
        <w:rPr>
          <w:rFonts w:hint="default" w:ascii="Times New Roman" w:hAnsi="Times New Roman" w:cs="Times New Roman"/>
        </w:rPr>
        <w:t>主体工程设计中水土保持措施界定</w:t>
      </w:r>
      <w:bookmarkEnd w:id="52"/>
    </w:p>
    <w:p w14:paraId="4BABDD37">
      <w:pPr>
        <w:pStyle w:val="4"/>
        <w:rPr>
          <w:rFonts w:hint="default" w:ascii="Times New Roman" w:hAnsi="Times New Roman" w:cs="Times New Roman"/>
        </w:rPr>
      </w:pPr>
      <w:r>
        <w:rPr>
          <w:rFonts w:hint="default" w:ascii="Times New Roman" w:hAnsi="Times New Roman" w:cs="Times New Roman"/>
        </w:rPr>
        <w:t>水土保持工程界定原则</w:t>
      </w:r>
    </w:p>
    <w:p w14:paraId="5675B8CD">
      <w:pPr>
        <w:ind w:firstLine="480"/>
        <w:rPr>
          <w:rFonts w:hint="default" w:ascii="Times New Roman" w:hAnsi="Times New Roman" w:cs="Times New Roman"/>
          <w:szCs w:val="20"/>
        </w:rPr>
      </w:pPr>
      <w:r>
        <w:rPr>
          <w:rFonts w:hint="default" w:ascii="Times New Roman" w:hAnsi="Times New Roman" w:cs="Times New Roman"/>
          <w:szCs w:val="20"/>
        </w:rPr>
        <w:t>根据《生产建设项目水土保持技术标准》（GB50433-2018），主体设计中，界定水土保持工程原则主要有以下几点：</w:t>
      </w:r>
    </w:p>
    <w:p w14:paraId="2777629C">
      <w:pPr>
        <w:ind w:firstLine="480"/>
        <w:rPr>
          <w:rFonts w:hint="default" w:ascii="Times New Roman" w:hAnsi="Times New Roman" w:cs="Times New Roman"/>
        </w:rPr>
      </w:pPr>
      <w:r>
        <w:rPr>
          <w:rFonts w:hint="default" w:ascii="Times New Roman" w:hAnsi="Times New Roman" w:cs="Times New Roman"/>
        </w:rPr>
        <w:t>（1）以水土保持功能为主的工程界定为水土保持措施；</w:t>
      </w:r>
    </w:p>
    <w:p w14:paraId="1EAA95F7">
      <w:pPr>
        <w:ind w:firstLine="480"/>
        <w:rPr>
          <w:rFonts w:hint="default" w:ascii="Times New Roman" w:hAnsi="Times New Roman" w:cs="Times New Roman"/>
        </w:rPr>
      </w:pPr>
      <w:r>
        <w:rPr>
          <w:rFonts w:hint="default" w:ascii="Times New Roman" w:hAnsi="Times New Roman" w:cs="Times New Roman"/>
          <w:szCs w:val="20"/>
        </w:rPr>
        <w:t>（2）难以区分是否属于以水土保持功能为主的工程，可按破坏性试验的原则进行界定：假定没有这些工程，主体设计功能仍旧可以发挥作用，但会产生较大的水土流失，此类工程应界定为水土保持措施。</w:t>
      </w:r>
    </w:p>
    <w:p w14:paraId="3D950B7A">
      <w:pPr>
        <w:pStyle w:val="4"/>
        <w:rPr>
          <w:rFonts w:hint="default" w:ascii="Times New Roman" w:hAnsi="Times New Roman" w:cs="Times New Roman"/>
        </w:rPr>
      </w:pPr>
      <w:r>
        <w:rPr>
          <w:rFonts w:hint="default" w:ascii="Times New Roman" w:hAnsi="Times New Roman" w:cs="Times New Roman"/>
        </w:rPr>
        <w:t>界定结果</w:t>
      </w:r>
    </w:p>
    <w:p w14:paraId="0397EA6B">
      <w:pPr>
        <w:ind w:firstLine="480"/>
        <w:rPr>
          <w:rFonts w:hint="default" w:ascii="Times New Roman" w:hAnsi="Times New Roman" w:cs="Times New Roman"/>
          <w:szCs w:val="20"/>
        </w:rPr>
      </w:pPr>
      <w:bookmarkStart w:id="53" w:name="_Hlk82373201"/>
      <w:r>
        <w:rPr>
          <w:rFonts w:hint="default" w:ascii="Times New Roman" w:hAnsi="Times New Roman" w:cs="Times New Roman"/>
          <w:szCs w:val="20"/>
        </w:rPr>
        <w:t>通过对主体设计具有水土保持功能工程的分析评价，按《生产建设项目水土保持技术标准》中的界定原则，根据《生产建设项目水土保持技术标准》(GB50433-2018)对水土保持措施的界定，</w:t>
      </w:r>
      <w:bookmarkStart w:id="54" w:name="_Hlk42956996"/>
      <w:r>
        <w:rPr>
          <w:rFonts w:hint="default" w:ascii="Times New Roman" w:hAnsi="Times New Roman" w:cs="Times New Roman"/>
          <w:szCs w:val="20"/>
        </w:rPr>
        <w:t>主体工程中具有水土保持功能且计入水土保持投资的措施主要为：</w:t>
      </w:r>
      <w:r>
        <w:rPr>
          <w:rFonts w:hint="eastAsia" w:cs="Times New Roman"/>
          <w:lang w:val="en-US" w:eastAsia="zh-CN"/>
        </w:rPr>
        <w:t>项目区表土剥离、</w:t>
      </w:r>
      <w:r>
        <w:rPr>
          <w:rFonts w:hint="eastAsia" w:cs="Times New Roman"/>
          <w:lang w:eastAsia="zh-CN"/>
        </w:rPr>
        <w:t>道路及硬化区</w:t>
      </w:r>
      <w:r>
        <w:rPr>
          <w:rFonts w:hint="default" w:ascii="Times New Roman" w:hAnsi="Times New Roman" w:cs="Times New Roman"/>
        </w:rPr>
        <w:t>雨水管网，绿化区景观绿化等措施</w:t>
      </w:r>
      <w:r>
        <w:rPr>
          <w:rFonts w:hint="default" w:ascii="Times New Roman" w:hAnsi="Times New Roman" w:cs="Times New Roman"/>
          <w:szCs w:val="20"/>
        </w:rPr>
        <w:t>。</w:t>
      </w:r>
      <w:bookmarkEnd w:id="54"/>
      <w:r>
        <w:rPr>
          <w:rFonts w:hint="default" w:ascii="Times New Roman" w:hAnsi="Times New Roman" w:cs="Times New Roman"/>
          <w:szCs w:val="20"/>
        </w:rPr>
        <w:t>主体工程中计入水土保持投资措施的工程量及投资见下表3-4、3-5。</w:t>
      </w:r>
    </w:p>
    <w:p w14:paraId="51DB3746">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表3-4                        水土保持措施界定表</w:t>
      </w:r>
    </w:p>
    <w:tbl>
      <w:tblPr>
        <w:tblStyle w:val="27"/>
        <w:tblW w:w="95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6"/>
        <w:gridCol w:w="5265"/>
        <w:gridCol w:w="2829"/>
      </w:tblGrid>
      <w:tr w14:paraId="1BDB3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6" w:type="dxa"/>
            <w:shd w:val="clear" w:color="auto" w:fill="auto"/>
            <w:vAlign w:val="center"/>
          </w:tcPr>
          <w:p w14:paraId="1180BEC1">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项目分区</w:t>
            </w:r>
          </w:p>
        </w:tc>
        <w:tc>
          <w:tcPr>
            <w:tcW w:w="5265" w:type="dxa"/>
            <w:shd w:val="clear" w:color="auto" w:fill="auto"/>
            <w:vAlign w:val="center"/>
          </w:tcPr>
          <w:p w14:paraId="78D75475">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计入水土保持投资措施</w:t>
            </w:r>
          </w:p>
        </w:tc>
        <w:tc>
          <w:tcPr>
            <w:tcW w:w="2829" w:type="dxa"/>
            <w:shd w:val="clear" w:color="auto" w:fill="auto"/>
            <w:vAlign w:val="center"/>
          </w:tcPr>
          <w:p w14:paraId="42BF457E">
            <w:pPr>
              <w:spacing w:line="24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不计入水土保持投资措施</w:t>
            </w:r>
          </w:p>
        </w:tc>
      </w:tr>
      <w:tr w14:paraId="10427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6" w:type="dxa"/>
            <w:shd w:val="clear" w:color="auto" w:fill="auto"/>
            <w:vAlign w:val="center"/>
          </w:tcPr>
          <w:p w14:paraId="1B721B2F">
            <w:pPr>
              <w:spacing w:line="240" w:lineRule="auto"/>
              <w:ind w:firstLine="0" w:firstLineChars="0"/>
              <w:jc w:val="center"/>
              <w:rPr>
                <w:rFonts w:hint="default" w:ascii="Times New Roman" w:hAnsi="Times New Roman" w:cs="Times New Roman"/>
                <w:b w:val="0"/>
                <w:bCs w:val="0"/>
                <w:kern w:val="0"/>
                <w:sz w:val="21"/>
                <w:szCs w:val="21"/>
              </w:rPr>
            </w:pPr>
            <w:r>
              <w:rPr>
                <w:rFonts w:hint="default" w:ascii="Times New Roman" w:hAnsi="Times New Roman" w:cs="Times New Roman"/>
                <w:b w:val="0"/>
                <w:bCs w:val="0"/>
                <w:kern w:val="0"/>
                <w:sz w:val="21"/>
                <w:szCs w:val="21"/>
              </w:rPr>
              <w:t>建构筑物区</w:t>
            </w:r>
          </w:p>
        </w:tc>
        <w:tc>
          <w:tcPr>
            <w:tcW w:w="5265" w:type="dxa"/>
            <w:shd w:val="clear" w:color="auto" w:fill="auto"/>
            <w:vAlign w:val="center"/>
          </w:tcPr>
          <w:p w14:paraId="616105FD">
            <w:pPr>
              <w:spacing w:line="240" w:lineRule="auto"/>
              <w:ind w:firstLine="0" w:firstLineChars="0"/>
              <w:jc w:val="center"/>
              <w:rPr>
                <w:rFonts w:hint="default" w:ascii="Times New Roman" w:hAnsi="Times New Roman" w:eastAsia="仿宋_GB2312" w:cs="Times New Roman"/>
                <w:b w:val="0"/>
                <w:bCs w:val="0"/>
                <w:kern w:val="0"/>
                <w:sz w:val="21"/>
                <w:szCs w:val="21"/>
                <w:lang w:val="en-US" w:eastAsia="zh-CN"/>
              </w:rPr>
            </w:pPr>
            <w:r>
              <w:rPr>
                <w:rFonts w:hint="eastAsia" w:cs="Times New Roman"/>
                <w:b w:val="0"/>
                <w:bCs w:val="0"/>
                <w:kern w:val="0"/>
                <w:sz w:val="21"/>
                <w:szCs w:val="21"/>
                <w:lang w:val="en-US" w:eastAsia="zh-CN"/>
              </w:rPr>
              <w:t>表土剥离</w:t>
            </w:r>
          </w:p>
        </w:tc>
        <w:tc>
          <w:tcPr>
            <w:tcW w:w="2829" w:type="dxa"/>
            <w:shd w:val="clear" w:color="auto" w:fill="auto"/>
            <w:vAlign w:val="center"/>
          </w:tcPr>
          <w:p w14:paraId="44FFB4C2">
            <w:pPr>
              <w:spacing w:line="240" w:lineRule="auto"/>
              <w:ind w:firstLine="0" w:firstLineChars="0"/>
              <w:jc w:val="center"/>
              <w:rPr>
                <w:rFonts w:hint="default" w:ascii="Times New Roman" w:hAnsi="Times New Roman" w:cs="Times New Roman"/>
                <w:b/>
                <w:bCs/>
                <w:kern w:val="0"/>
                <w:sz w:val="21"/>
                <w:szCs w:val="21"/>
              </w:rPr>
            </w:pPr>
          </w:p>
        </w:tc>
      </w:tr>
      <w:tr w14:paraId="02597A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6" w:type="dxa"/>
            <w:shd w:val="clear" w:color="auto" w:fill="auto"/>
            <w:noWrap/>
            <w:vAlign w:val="center"/>
          </w:tcPr>
          <w:p w14:paraId="20B83959">
            <w:pPr>
              <w:spacing w:line="240" w:lineRule="auto"/>
              <w:ind w:firstLine="0" w:firstLineChars="0"/>
              <w:jc w:val="center"/>
              <w:rPr>
                <w:rFonts w:hint="eastAsia" w:ascii="Times New Roman" w:hAnsi="Times New Roman" w:eastAsia="仿宋_GB2312" w:cs="Times New Roman"/>
                <w:kern w:val="0"/>
                <w:sz w:val="21"/>
                <w:szCs w:val="21"/>
                <w:lang w:eastAsia="zh-CN"/>
              </w:rPr>
            </w:pPr>
            <w:r>
              <w:rPr>
                <w:rFonts w:hint="eastAsia" w:cs="Times New Roman"/>
                <w:kern w:val="0"/>
                <w:sz w:val="21"/>
                <w:szCs w:val="21"/>
                <w:lang w:eastAsia="zh-CN"/>
              </w:rPr>
              <w:t>道路及硬化区</w:t>
            </w:r>
          </w:p>
        </w:tc>
        <w:tc>
          <w:tcPr>
            <w:tcW w:w="5265" w:type="dxa"/>
            <w:shd w:val="clear" w:color="auto" w:fill="auto"/>
            <w:vAlign w:val="center"/>
          </w:tcPr>
          <w:p w14:paraId="2E657F6B">
            <w:pPr>
              <w:spacing w:line="240" w:lineRule="auto"/>
              <w:ind w:firstLine="0" w:firstLineChars="0"/>
              <w:jc w:val="center"/>
              <w:rPr>
                <w:rFonts w:hint="default" w:ascii="Times New Roman" w:hAnsi="Times New Roman" w:cs="Times New Roman"/>
                <w:kern w:val="0"/>
                <w:sz w:val="21"/>
                <w:szCs w:val="21"/>
              </w:rPr>
            </w:pPr>
            <w:r>
              <w:rPr>
                <w:rFonts w:hint="eastAsia" w:cs="Times New Roman"/>
                <w:b w:val="0"/>
                <w:bCs w:val="0"/>
                <w:kern w:val="0"/>
                <w:sz w:val="21"/>
                <w:szCs w:val="21"/>
                <w:lang w:val="en-US" w:eastAsia="zh-CN"/>
              </w:rPr>
              <w:t>表土剥离、</w:t>
            </w:r>
            <w:r>
              <w:rPr>
                <w:rFonts w:hint="default" w:ascii="Times New Roman" w:hAnsi="Times New Roman" w:cs="Times New Roman"/>
                <w:kern w:val="0"/>
                <w:sz w:val="21"/>
                <w:szCs w:val="21"/>
              </w:rPr>
              <w:t>雨水管网</w:t>
            </w:r>
          </w:p>
        </w:tc>
        <w:tc>
          <w:tcPr>
            <w:tcW w:w="2829" w:type="dxa"/>
            <w:shd w:val="clear" w:color="auto" w:fill="auto"/>
            <w:noWrap/>
            <w:vAlign w:val="center"/>
          </w:tcPr>
          <w:p w14:paraId="6763AEA5">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场地硬化</w:t>
            </w:r>
          </w:p>
        </w:tc>
      </w:tr>
      <w:tr w14:paraId="4524D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6" w:type="dxa"/>
            <w:shd w:val="clear" w:color="auto" w:fill="auto"/>
            <w:noWrap/>
            <w:vAlign w:val="center"/>
          </w:tcPr>
          <w:p w14:paraId="03849EC6">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绿化区</w:t>
            </w:r>
          </w:p>
        </w:tc>
        <w:tc>
          <w:tcPr>
            <w:tcW w:w="5265" w:type="dxa"/>
            <w:shd w:val="clear" w:color="auto" w:fill="auto"/>
            <w:vAlign w:val="center"/>
          </w:tcPr>
          <w:p w14:paraId="1069D1B7">
            <w:pPr>
              <w:spacing w:line="240" w:lineRule="auto"/>
              <w:ind w:firstLine="0" w:firstLineChars="0"/>
              <w:jc w:val="center"/>
              <w:rPr>
                <w:rFonts w:hint="default" w:ascii="Times New Roman" w:hAnsi="Times New Roman" w:cs="Times New Roman"/>
                <w:kern w:val="0"/>
                <w:sz w:val="21"/>
                <w:szCs w:val="21"/>
              </w:rPr>
            </w:pPr>
            <w:r>
              <w:rPr>
                <w:rFonts w:hint="eastAsia" w:cs="Times New Roman"/>
                <w:b w:val="0"/>
                <w:bCs w:val="0"/>
                <w:kern w:val="0"/>
                <w:sz w:val="21"/>
                <w:szCs w:val="21"/>
                <w:lang w:val="en-US" w:eastAsia="zh-CN"/>
              </w:rPr>
              <w:t>表土剥离、</w:t>
            </w:r>
            <w:r>
              <w:rPr>
                <w:rFonts w:hint="default" w:ascii="Times New Roman" w:hAnsi="Times New Roman" w:cs="Times New Roman"/>
                <w:kern w:val="0"/>
                <w:sz w:val="21"/>
                <w:szCs w:val="21"/>
              </w:rPr>
              <w:t>景观绿化</w:t>
            </w:r>
          </w:p>
        </w:tc>
        <w:tc>
          <w:tcPr>
            <w:tcW w:w="2829" w:type="dxa"/>
            <w:shd w:val="clear" w:color="auto" w:fill="auto"/>
            <w:noWrap/>
            <w:vAlign w:val="center"/>
          </w:tcPr>
          <w:p w14:paraId="4FE7AD5A">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r>
    </w:tbl>
    <w:p w14:paraId="070BEDDF">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表3-5               主体工程中计入水土保持投资措施工程量及投资表</w:t>
      </w:r>
    </w:p>
    <w:tbl>
      <w:tblPr>
        <w:tblStyle w:val="27"/>
        <w:tblW w:w="956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3"/>
        <w:gridCol w:w="1535"/>
        <w:gridCol w:w="2096"/>
        <w:gridCol w:w="840"/>
        <w:gridCol w:w="913"/>
        <w:gridCol w:w="984"/>
        <w:gridCol w:w="743"/>
        <w:gridCol w:w="708"/>
        <w:gridCol w:w="874"/>
      </w:tblGrid>
      <w:tr w14:paraId="46683A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restart"/>
            <w:tcBorders>
              <w:tl2br w:val="nil"/>
              <w:tr2bl w:val="nil"/>
            </w:tcBorders>
            <w:shd w:val="clear" w:color="auto" w:fill="auto"/>
            <w:noWrap/>
            <w:vAlign w:val="center"/>
          </w:tcPr>
          <w:p w14:paraId="2D1C8C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35" w:type="dxa"/>
            <w:vMerge w:val="restart"/>
            <w:tcBorders>
              <w:tl2br w:val="nil"/>
              <w:tr2bl w:val="nil"/>
            </w:tcBorders>
            <w:shd w:val="clear" w:color="auto" w:fill="auto"/>
            <w:noWrap/>
            <w:vAlign w:val="center"/>
          </w:tcPr>
          <w:p w14:paraId="06EC11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2096" w:type="dxa"/>
            <w:vMerge w:val="restart"/>
            <w:tcBorders>
              <w:tl2br w:val="nil"/>
              <w:tr2bl w:val="nil"/>
            </w:tcBorders>
            <w:shd w:val="clear" w:color="auto" w:fill="auto"/>
            <w:noWrap/>
            <w:vAlign w:val="center"/>
          </w:tcPr>
          <w:p w14:paraId="43E83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措施名称</w:t>
            </w:r>
          </w:p>
        </w:tc>
        <w:tc>
          <w:tcPr>
            <w:tcW w:w="1753" w:type="dxa"/>
            <w:gridSpan w:val="2"/>
            <w:tcBorders>
              <w:tl2br w:val="nil"/>
              <w:tr2bl w:val="nil"/>
            </w:tcBorders>
            <w:shd w:val="clear" w:color="auto" w:fill="auto"/>
            <w:noWrap/>
            <w:vAlign w:val="center"/>
          </w:tcPr>
          <w:p w14:paraId="55D221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措施数量</w:t>
            </w:r>
          </w:p>
        </w:tc>
        <w:tc>
          <w:tcPr>
            <w:tcW w:w="1727" w:type="dxa"/>
            <w:gridSpan w:val="2"/>
            <w:tcBorders>
              <w:tl2br w:val="nil"/>
              <w:tr2bl w:val="nil"/>
            </w:tcBorders>
            <w:shd w:val="clear" w:color="auto" w:fill="auto"/>
            <w:noWrap/>
            <w:vAlign w:val="center"/>
          </w:tcPr>
          <w:p w14:paraId="0213A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综合单价</w:t>
            </w:r>
          </w:p>
        </w:tc>
        <w:tc>
          <w:tcPr>
            <w:tcW w:w="708" w:type="dxa"/>
            <w:tcBorders>
              <w:tl2br w:val="nil"/>
              <w:tr2bl w:val="nil"/>
            </w:tcBorders>
            <w:shd w:val="clear" w:color="auto" w:fill="auto"/>
            <w:noWrap/>
            <w:vAlign w:val="center"/>
          </w:tcPr>
          <w:p w14:paraId="08C68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投资</w:t>
            </w:r>
          </w:p>
        </w:tc>
        <w:tc>
          <w:tcPr>
            <w:tcW w:w="874" w:type="dxa"/>
            <w:vMerge w:val="restart"/>
            <w:tcBorders>
              <w:tl2br w:val="nil"/>
              <w:tr2bl w:val="nil"/>
            </w:tcBorders>
            <w:shd w:val="clear" w:color="auto" w:fill="auto"/>
            <w:noWrap/>
            <w:vAlign w:val="center"/>
          </w:tcPr>
          <w:p w14:paraId="261132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备注</w:t>
            </w:r>
          </w:p>
        </w:tc>
      </w:tr>
      <w:tr w14:paraId="598F6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5529FB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50C94A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vMerge w:val="continue"/>
            <w:tcBorders>
              <w:tl2br w:val="nil"/>
              <w:tr2bl w:val="nil"/>
            </w:tcBorders>
            <w:shd w:val="clear" w:color="auto" w:fill="auto"/>
            <w:noWrap/>
            <w:vAlign w:val="center"/>
          </w:tcPr>
          <w:p w14:paraId="0A54A9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0EDD2B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913" w:type="dxa"/>
            <w:tcBorders>
              <w:tl2br w:val="nil"/>
              <w:tr2bl w:val="nil"/>
            </w:tcBorders>
            <w:shd w:val="clear" w:color="auto" w:fill="auto"/>
            <w:noWrap/>
            <w:vAlign w:val="center"/>
          </w:tcPr>
          <w:p w14:paraId="6FC83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984" w:type="dxa"/>
            <w:tcBorders>
              <w:tl2br w:val="nil"/>
              <w:tr2bl w:val="nil"/>
            </w:tcBorders>
            <w:shd w:val="clear" w:color="auto" w:fill="auto"/>
            <w:noWrap/>
            <w:vAlign w:val="center"/>
          </w:tcPr>
          <w:p w14:paraId="06E56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743" w:type="dxa"/>
            <w:tcBorders>
              <w:tl2br w:val="nil"/>
              <w:tr2bl w:val="nil"/>
            </w:tcBorders>
            <w:shd w:val="clear" w:color="auto" w:fill="auto"/>
            <w:noWrap/>
            <w:vAlign w:val="center"/>
          </w:tcPr>
          <w:p w14:paraId="20585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708" w:type="dxa"/>
            <w:tcBorders>
              <w:tl2br w:val="nil"/>
              <w:tr2bl w:val="nil"/>
            </w:tcBorders>
            <w:shd w:val="clear" w:color="auto" w:fill="auto"/>
            <w:noWrap/>
            <w:vAlign w:val="center"/>
          </w:tcPr>
          <w:p w14:paraId="678C3F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874" w:type="dxa"/>
            <w:vMerge w:val="continue"/>
            <w:tcBorders>
              <w:tl2br w:val="nil"/>
              <w:tr2bl w:val="nil"/>
            </w:tcBorders>
            <w:shd w:val="clear" w:color="auto" w:fill="auto"/>
            <w:noWrap/>
            <w:vAlign w:val="center"/>
          </w:tcPr>
          <w:p w14:paraId="72ACA7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6BE9F2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restart"/>
            <w:tcBorders>
              <w:tl2br w:val="nil"/>
              <w:tr2bl w:val="nil"/>
            </w:tcBorders>
            <w:shd w:val="clear" w:color="auto" w:fill="auto"/>
            <w:noWrap/>
            <w:vAlign w:val="center"/>
          </w:tcPr>
          <w:p w14:paraId="0E157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35" w:type="dxa"/>
            <w:tcBorders>
              <w:tl2br w:val="nil"/>
              <w:tr2bl w:val="nil"/>
            </w:tcBorders>
            <w:shd w:val="clear" w:color="auto" w:fill="auto"/>
            <w:noWrap/>
            <w:vAlign w:val="center"/>
          </w:tcPr>
          <w:p w14:paraId="70B405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96" w:type="dxa"/>
            <w:tcBorders>
              <w:tl2br w:val="nil"/>
              <w:tr2bl w:val="nil"/>
            </w:tcBorders>
            <w:shd w:val="clear" w:color="auto" w:fill="auto"/>
            <w:noWrap/>
            <w:vAlign w:val="center"/>
          </w:tcPr>
          <w:p w14:paraId="6AD78D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07443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2AF119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w:t>
            </w:r>
          </w:p>
        </w:tc>
        <w:tc>
          <w:tcPr>
            <w:tcW w:w="984" w:type="dxa"/>
            <w:tcBorders>
              <w:tl2br w:val="nil"/>
              <w:tr2bl w:val="nil"/>
            </w:tcBorders>
            <w:shd w:val="clear" w:color="auto" w:fill="auto"/>
            <w:vAlign w:val="center"/>
          </w:tcPr>
          <w:p w14:paraId="4E930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34C5D4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1A816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0.07 </w:t>
            </w:r>
          </w:p>
        </w:tc>
        <w:tc>
          <w:tcPr>
            <w:tcW w:w="874" w:type="dxa"/>
            <w:tcBorders>
              <w:tl2br w:val="nil"/>
              <w:tr2bl w:val="nil"/>
            </w:tcBorders>
            <w:shd w:val="clear" w:color="auto" w:fill="auto"/>
            <w:noWrap/>
            <w:vAlign w:val="center"/>
          </w:tcPr>
          <w:p w14:paraId="0BB417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C9A3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6DA175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0F78B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96" w:type="dxa"/>
            <w:tcBorders>
              <w:tl2br w:val="nil"/>
              <w:tr2bl w:val="nil"/>
            </w:tcBorders>
            <w:shd w:val="clear" w:color="auto" w:fill="auto"/>
            <w:noWrap/>
            <w:vAlign w:val="center"/>
          </w:tcPr>
          <w:p w14:paraId="4C4FAE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2B2499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2E109D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c>
          <w:tcPr>
            <w:tcW w:w="984" w:type="dxa"/>
            <w:tcBorders>
              <w:tl2br w:val="nil"/>
              <w:tr2bl w:val="nil"/>
            </w:tcBorders>
            <w:shd w:val="clear" w:color="auto" w:fill="auto"/>
            <w:vAlign w:val="center"/>
          </w:tcPr>
          <w:p w14:paraId="51A447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473FA6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71A42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874" w:type="dxa"/>
            <w:tcBorders>
              <w:tl2br w:val="nil"/>
              <w:tr2bl w:val="nil"/>
            </w:tcBorders>
            <w:shd w:val="clear" w:color="auto" w:fill="auto"/>
            <w:noWrap/>
            <w:vAlign w:val="center"/>
          </w:tcPr>
          <w:p w14:paraId="3C978B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B7623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5F45A4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F369D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372E06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雨水管网（DN400）</w:t>
            </w:r>
          </w:p>
        </w:tc>
        <w:tc>
          <w:tcPr>
            <w:tcW w:w="840" w:type="dxa"/>
            <w:tcBorders>
              <w:tl2br w:val="nil"/>
              <w:tr2bl w:val="nil"/>
            </w:tcBorders>
            <w:shd w:val="clear" w:color="auto" w:fill="auto"/>
            <w:noWrap/>
            <w:vAlign w:val="center"/>
          </w:tcPr>
          <w:p w14:paraId="53DB3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21F18A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135 </w:t>
            </w:r>
          </w:p>
        </w:tc>
        <w:tc>
          <w:tcPr>
            <w:tcW w:w="984" w:type="dxa"/>
            <w:tcBorders>
              <w:tl2br w:val="nil"/>
              <w:tr2bl w:val="nil"/>
            </w:tcBorders>
            <w:shd w:val="clear" w:color="auto" w:fill="auto"/>
            <w:noWrap/>
            <w:vAlign w:val="center"/>
          </w:tcPr>
          <w:p w14:paraId="58A1B1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193.76</w:t>
            </w:r>
          </w:p>
        </w:tc>
        <w:tc>
          <w:tcPr>
            <w:tcW w:w="743" w:type="dxa"/>
            <w:tcBorders>
              <w:tl2br w:val="nil"/>
              <w:tr2bl w:val="nil"/>
            </w:tcBorders>
            <w:shd w:val="clear" w:color="auto" w:fill="auto"/>
            <w:noWrap/>
            <w:vAlign w:val="center"/>
          </w:tcPr>
          <w:p w14:paraId="2339FC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3B572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2.62 </w:t>
            </w:r>
          </w:p>
        </w:tc>
        <w:tc>
          <w:tcPr>
            <w:tcW w:w="874" w:type="dxa"/>
            <w:tcBorders>
              <w:tl2br w:val="nil"/>
              <w:tr2bl w:val="nil"/>
            </w:tcBorders>
            <w:shd w:val="clear" w:color="auto" w:fill="auto"/>
            <w:noWrap/>
            <w:vAlign w:val="center"/>
          </w:tcPr>
          <w:p w14:paraId="5AEC77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7E2C7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557CBE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DEA5E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255417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雨水管网（DN500）</w:t>
            </w:r>
          </w:p>
        </w:tc>
        <w:tc>
          <w:tcPr>
            <w:tcW w:w="840" w:type="dxa"/>
            <w:tcBorders>
              <w:tl2br w:val="nil"/>
              <w:tr2bl w:val="nil"/>
            </w:tcBorders>
            <w:shd w:val="clear" w:color="auto" w:fill="auto"/>
            <w:noWrap/>
            <w:vAlign w:val="center"/>
          </w:tcPr>
          <w:p w14:paraId="38B12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5CC9F3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65 </w:t>
            </w:r>
          </w:p>
        </w:tc>
        <w:tc>
          <w:tcPr>
            <w:tcW w:w="984" w:type="dxa"/>
            <w:tcBorders>
              <w:tl2br w:val="nil"/>
              <w:tr2bl w:val="nil"/>
            </w:tcBorders>
            <w:shd w:val="clear" w:color="auto" w:fill="auto"/>
            <w:noWrap/>
            <w:vAlign w:val="center"/>
          </w:tcPr>
          <w:p w14:paraId="7DA00D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265.68</w:t>
            </w:r>
          </w:p>
        </w:tc>
        <w:tc>
          <w:tcPr>
            <w:tcW w:w="743" w:type="dxa"/>
            <w:tcBorders>
              <w:tl2br w:val="nil"/>
              <w:tr2bl w:val="nil"/>
            </w:tcBorders>
            <w:shd w:val="clear" w:color="auto" w:fill="auto"/>
            <w:noWrap/>
            <w:vAlign w:val="center"/>
          </w:tcPr>
          <w:p w14:paraId="5BF06A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005000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1.73 </w:t>
            </w:r>
          </w:p>
        </w:tc>
        <w:tc>
          <w:tcPr>
            <w:tcW w:w="874" w:type="dxa"/>
            <w:tcBorders>
              <w:tl2br w:val="nil"/>
              <w:tr2bl w:val="nil"/>
            </w:tcBorders>
            <w:shd w:val="clear" w:color="auto" w:fill="auto"/>
            <w:noWrap/>
            <w:vAlign w:val="center"/>
          </w:tcPr>
          <w:p w14:paraId="5EB8E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01A5D7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0CC803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5691D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96" w:type="dxa"/>
            <w:tcBorders>
              <w:tl2br w:val="nil"/>
              <w:tr2bl w:val="nil"/>
            </w:tcBorders>
            <w:shd w:val="clear" w:color="auto" w:fill="auto"/>
            <w:noWrap/>
            <w:vAlign w:val="center"/>
          </w:tcPr>
          <w:p w14:paraId="1DE1F4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1FB90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42693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w:t>
            </w:r>
          </w:p>
        </w:tc>
        <w:tc>
          <w:tcPr>
            <w:tcW w:w="984" w:type="dxa"/>
            <w:tcBorders>
              <w:tl2br w:val="nil"/>
              <w:tr2bl w:val="nil"/>
            </w:tcBorders>
            <w:shd w:val="clear" w:color="auto" w:fill="auto"/>
            <w:vAlign w:val="center"/>
          </w:tcPr>
          <w:p w14:paraId="21375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7C53C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0A613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874" w:type="dxa"/>
            <w:tcBorders>
              <w:tl2br w:val="nil"/>
              <w:tr2bl w:val="nil"/>
            </w:tcBorders>
            <w:shd w:val="clear" w:color="auto" w:fill="auto"/>
            <w:noWrap/>
            <w:vAlign w:val="center"/>
          </w:tcPr>
          <w:p w14:paraId="223907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72910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7FBD64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5BD2CC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320490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840" w:type="dxa"/>
            <w:tcBorders>
              <w:tl2br w:val="nil"/>
              <w:tr2bl w:val="nil"/>
            </w:tcBorders>
            <w:shd w:val="clear" w:color="auto" w:fill="auto"/>
            <w:noWrap/>
            <w:vAlign w:val="center"/>
          </w:tcPr>
          <w:p w14:paraId="00FF21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913" w:type="dxa"/>
            <w:tcBorders>
              <w:tl2br w:val="nil"/>
              <w:tr2bl w:val="nil"/>
            </w:tcBorders>
            <w:shd w:val="clear" w:color="auto" w:fill="auto"/>
            <w:noWrap/>
            <w:vAlign w:val="center"/>
          </w:tcPr>
          <w:p w14:paraId="76382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984" w:type="dxa"/>
            <w:tcBorders>
              <w:tl2br w:val="nil"/>
              <w:tr2bl w:val="nil"/>
            </w:tcBorders>
            <w:shd w:val="clear" w:color="auto" w:fill="auto"/>
            <w:noWrap/>
            <w:vAlign w:val="center"/>
          </w:tcPr>
          <w:p w14:paraId="7AD987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1200000 </w:t>
            </w:r>
          </w:p>
        </w:tc>
        <w:tc>
          <w:tcPr>
            <w:tcW w:w="743" w:type="dxa"/>
            <w:tcBorders>
              <w:tl2br w:val="nil"/>
              <w:tr2bl w:val="nil"/>
            </w:tcBorders>
            <w:shd w:val="clear" w:color="auto" w:fill="auto"/>
            <w:noWrap/>
            <w:vAlign w:val="center"/>
          </w:tcPr>
          <w:p w14:paraId="3BFB9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708" w:type="dxa"/>
            <w:tcBorders>
              <w:tl2br w:val="nil"/>
              <w:tr2bl w:val="nil"/>
            </w:tcBorders>
            <w:shd w:val="clear" w:color="auto" w:fill="auto"/>
            <w:noWrap/>
            <w:vAlign w:val="center"/>
          </w:tcPr>
          <w:p w14:paraId="5D423F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10.80 </w:t>
            </w:r>
          </w:p>
        </w:tc>
        <w:tc>
          <w:tcPr>
            <w:tcW w:w="874" w:type="dxa"/>
            <w:tcBorders>
              <w:tl2br w:val="nil"/>
              <w:tr2bl w:val="nil"/>
            </w:tcBorders>
            <w:shd w:val="clear" w:color="auto" w:fill="auto"/>
            <w:noWrap/>
            <w:vAlign w:val="center"/>
          </w:tcPr>
          <w:p w14:paraId="26189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1BA41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25DA19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37E5BC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96" w:type="dxa"/>
            <w:tcBorders>
              <w:tl2br w:val="nil"/>
              <w:tr2bl w:val="nil"/>
            </w:tcBorders>
            <w:shd w:val="clear" w:color="auto" w:fill="auto"/>
            <w:noWrap/>
            <w:vAlign w:val="center"/>
          </w:tcPr>
          <w:p w14:paraId="6BEAF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3DF46E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1C37B5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2BF685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31D964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6F50DC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15.51 </w:t>
            </w:r>
          </w:p>
        </w:tc>
        <w:tc>
          <w:tcPr>
            <w:tcW w:w="874" w:type="dxa"/>
            <w:tcBorders>
              <w:tl2br w:val="nil"/>
              <w:tr2bl w:val="nil"/>
            </w:tcBorders>
            <w:shd w:val="clear" w:color="auto" w:fill="auto"/>
            <w:noWrap/>
            <w:vAlign w:val="center"/>
          </w:tcPr>
          <w:p w14:paraId="0ED34F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2A399E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restart"/>
            <w:tcBorders>
              <w:tl2br w:val="nil"/>
              <w:tr2bl w:val="nil"/>
            </w:tcBorders>
            <w:shd w:val="clear" w:color="auto" w:fill="auto"/>
            <w:noWrap/>
            <w:vAlign w:val="center"/>
          </w:tcPr>
          <w:p w14:paraId="79BE7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35" w:type="dxa"/>
            <w:tcBorders>
              <w:tl2br w:val="nil"/>
              <w:tr2bl w:val="nil"/>
            </w:tcBorders>
            <w:shd w:val="clear" w:color="auto" w:fill="auto"/>
            <w:noWrap/>
            <w:vAlign w:val="center"/>
          </w:tcPr>
          <w:p w14:paraId="25792D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96" w:type="dxa"/>
            <w:tcBorders>
              <w:tl2br w:val="nil"/>
              <w:tr2bl w:val="nil"/>
            </w:tcBorders>
            <w:shd w:val="clear" w:color="auto" w:fill="auto"/>
            <w:noWrap/>
            <w:vAlign w:val="center"/>
          </w:tcPr>
          <w:p w14:paraId="3E3E25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4B4FB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0CC37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855</w:t>
            </w:r>
          </w:p>
        </w:tc>
        <w:tc>
          <w:tcPr>
            <w:tcW w:w="984" w:type="dxa"/>
            <w:tcBorders>
              <w:tl2br w:val="nil"/>
              <w:tr2bl w:val="nil"/>
            </w:tcBorders>
            <w:shd w:val="clear" w:color="auto" w:fill="auto"/>
            <w:vAlign w:val="center"/>
          </w:tcPr>
          <w:p w14:paraId="18C66A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31F839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0DDA96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0.56 </w:t>
            </w:r>
          </w:p>
        </w:tc>
        <w:tc>
          <w:tcPr>
            <w:tcW w:w="874" w:type="dxa"/>
            <w:tcBorders>
              <w:tl2br w:val="nil"/>
              <w:tr2bl w:val="nil"/>
            </w:tcBorders>
            <w:shd w:val="clear" w:color="auto" w:fill="auto"/>
            <w:noWrap/>
            <w:vAlign w:val="center"/>
          </w:tcPr>
          <w:p w14:paraId="60004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77F3D5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49A99A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272BE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96" w:type="dxa"/>
            <w:tcBorders>
              <w:tl2br w:val="nil"/>
              <w:tr2bl w:val="nil"/>
            </w:tcBorders>
            <w:shd w:val="clear" w:color="auto" w:fill="auto"/>
            <w:noWrap/>
            <w:vAlign w:val="center"/>
          </w:tcPr>
          <w:p w14:paraId="0BC37C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1BF8DA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671890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984" w:type="dxa"/>
            <w:tcBorders>
              <w:tl2br w:val="nil"/>
              <w:tr2bl w:val="nil"/>
            </w:tcBorders>
            <w:shd w:val="clear" w:color="auto" w:fill="auto"/>
            <w:vAlign w:val="center"/>
          </w:tcPr>
          <w:p w14:paraId="7E6D5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7BCEC7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16A9F9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874" w:type="dxa"/>
            <w:tcBorders>
              <w:tl2br w:val="nil"/>
              <w:tr2bl w:val="nil"/>
            </w:tcBorders>
            <w:shd w:val="clear" w:color="auto" w:fill="auto"/>
            <w:noWrap/>
            <w:vAlign w:val="center"/>
          </w:tcPr>
          <w:p w14:paraId="035553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0E989D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17C9F6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551135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6E73B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雨水管网（DN400）</w:t>
            </w:r>
          </w:p>
        </w:tc>
        <w:tc>
          <w:tcPr>
            <w:tcW w:w="840" w:type="dxa"/>
            <w:tcBorders>
              <w:tl2br w:val="nil"/>
              <w:tr2bl w:val="nil"/>
            </w:tcBorders>
            <w:shd w:val="clear" w:color="auto" w:fill="auto"/>
            <w:noWrap/>
            <w:vAlign w:val="center"/>
          </w:tcPr>
          <w:p w14:paraId="1681CB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781CE1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165 </w:t>
            </w:r>
          </w:p>
        </w:tc>
        <w:tc>
          <w:tcPr>
            <w:tcW w:w="984" w:type="dxa"/>
            <w:tcBorders>
              <w:tl2br w:val="nil"/>
              <w:tr2bl w:val="nil"/>
            </w:tcBorders>
            <w:shd w:val="clear" w:color="auto" w:fill="auto"/>
            <w:noWrap/>
            <w:vAlign w:val="center"/>
          </w:tcPr>
          <w:p w14:paraId="1A795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193.76</w:t>
            </w:r>
          </w:p>
        </w:tc>
        <w:tc>
          <w:tcPr>
            <w:tcW w:w="743" w:type="dxa"/>
            <w:tcBorders>
              <w:tl2br w:val="nil"/>
              <w:tr2bl w:val="nil"/>
            </w:tcBorders>
            <w:shd w:val="clear" w:color="auto" w:fill="auto"/>
            <w:noWrap/>
            <w:vAlign w:val="center"/>
          </w:tcPr>
          <w:p w14:paraId="7F9D87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6410C9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3.20 </w:t>
            </w:r>
          </w:p>
        </w:tc>
        <w:tc>
          <w:tcPr>
            <w:tcW w:w="874" w:type="dxa"/>
            <w:tcBorders>
              <w:tl2br w:val="nil"/>
              <w:tr2bl w:val="nil"/>
            </w:tcBorders>
            <w:shd w:val="clear" w:color="auto" w:fill="auto"/>
            <w:noWrap/>
            <w:vAlign w:val="center"/>
          </w:tcPr>
          <w:p w14:paraId="24976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9CA02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4E869D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1F0F5C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1F159D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雨水管网（DN500）</w:t>
            </w:r>
          </w:p>
        </w:tc>
        <w:tc>
          <w:tcPr>
            <w:tcW w:w="840" w:type="dxa"/>
            <w:tcBorders>
              <w:tl2br w:val="nil"/>
              <w:tr2bl w:val="nil"/>
            </w:tcBorders>
            <w:shd w:val="clear" w:color="auto" w:fill="auto"/>
            <w:noWrap/>
            <w:vAlign w:val="center"/>
          </w:tcPr>
          <w:p w14:paraId="015BFB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5ADD9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 </w:t>
            </w:r>
          </w:p>
        </w:tc>
        <w:tc>
          <w:tcPr>
            <w:tcW w:w="984" w:type="dxa"/>
            <w:tcBorders>
              <w:tl2br w:val="nil"/>
              <w:tr2bl w:val="nil"/>
            </w:tcBorders>
            <w:shd w:val="clear" w:color="auto" w:fill="auto"/>
            <w:noWrap/>
            <w:vAlign w:val="center"/>
          </w:tcPr>
          <w:p w14:paraId="3A99A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265.68</w:t>
            </w:r>
          </w:p>
        </w:tc>
        <w:tc>
          <w:tcPr>
            <w:tcW w:w="743" w:type="dxa"/>
            <w:tcBorders>
              <w:tl2br w:val="nil"/>
              <w:tr2bl w:val="nil"/>
            </w:tcBorders>
            <w:shd w:val="clear" w:color="auto" w:fill="auto"/>
            <w:noWrap/>
            <w:vAlign w:val="center"/>
          </w:tcPr>
          <w:p w14:paraId="3E50C5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1DA4C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2.13 </w:t>
            </w:r>
          </w:p>
        </w:tc>
        <w:tc>
          <w:tcPr>
            <w:tcW w:w="874" w:type="dxa"/>
            <w:tcBorders>
              <w:tl2br w:val="nil"/>
              <w:tr2bl w:val="nil"/>
            </w:tcBorders>
            <w:shd w:val="clear" w:color="auto" w:fill="auto"/>
            <w:noWrap/>
            <w:vAlign w:val="center"/>
          </w:tcPr>
          <w:p w14:paraId="461D1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BBC61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2D49ED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53678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96" w:type="dxa"/>
            <w:tcBorders>
              <w:tl2br w:val="nil"/>
              <w:tr2bl w:val="nil"/>
            </w:tcBorders>
            <w:shd w:val="clear" w:color="auto" w:fill="auto"/>
            <w:noWrap/>
            <w:vAlign w:val="center"/>
          </w:tcPr>
          <w:p w14:paraId="035CD8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26A8A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2B55A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984" w:type="dxa"/>
            <w:tcBorders>
              <w:tl2br w:val="nil"/>
              <w:tr2bl w:val="nil"/>
            </w:tcBorders>
            <w:shd w:val="clear" w:color="auto" w:fill="auto"/>
            <w:vAlign w:val="center"/>
          </w:tcPr>
          <w:p w14:paraId="6042FF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47EEBA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075C25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874" w:type="dxa"/>
            <w:tcBorders>
              <w:tl2br w:val="nil"/>
              <w:tr2bl w:val="nil"/>
            </w:tcBorders>
            <w:shd w:val="clear" w:color="auto" w:fill="auto"/>
            <w:noWrap/>
            <w:vAlign w:val="center"/>
          </w:tcPr>
          <w:p w14:paraId="3CF4A9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274B4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589A48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488A84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02C55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840" w:type="dxa"/>
            <w:tcBorders>
              <w:tl2br w:val="nil"/>
              <w:tr2bl w:val="nil"/>
            </w:tcBorders>
            <w:shd w:val="clear" w:color="auto" w:fill="auto"/>
            <w:noWrap/>
            <w:vAlign w:val="center"/>
          </w:tcPr>
          <w:p w14:paraId="587F19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913" w:type="dxa"/>
            <w:tcBorders>
              <w:tl2br w:val="nil"/>
              <w:tr2bl w:val="nil"/>
            </w:tcBorders>
            <w:shd w:val="clear" w:color="auto" w:fill="auto"/>
            <w:noWrap/>
            <w:vAlign w:val="center"/>
          </w:tcPr>
          <w:p w14:paraId="0576C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984" w:type="dxa"/>
            <w:tcBorders>
              <w:tl2br w:val="nil"/>
              <w:tr2bl w:val="nil"/>
            </w:tcBorders>
            <w:shd w:val="clear" w:color="auto" w:fill="auto"/>
            <w:noWrap/>
            <w:vAlign w:val="center"/>
          </w:tcPr>
          <w:p w14:paraId="7E7012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1200000 </w:t>
            </w:r>
          </w:p>
        </w:tc>
        <w:tc>
          <w:tcPr>
            <w:tcW w:w="743" w:type="dxa"/>
            <w:tcBorders>
              <w:tl2br w:val="nil"/>
              <w:tr2bl w:val="nil"/>
            </w:tcBorders>
            <w:shd w:val="clear" w:color="auto" w:fill="auto"/>
            <w:noWrap/>
            <w:vAlign w:val="center"/>
          </w:tcPr>
          <w:p w14:paraId="4C6649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708" w:type="dxa"/>
            <w:tcBorders>
              <w:tl2br w:val="nil"/>
              <w:tr2bl w:val="nil"/>
            </w:tcBorders>
            <w:shd w:val="clear" w:color="auto" w:fill="auto"/>
            <w:noWrap/>
            <w:vAlign w:val="center"/>
          </w:tcPr>
          <w:p w14:paraId="59788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16.80 </w:t>
            </w:r>
          </w:p>
        </w:tc>
        <w:tc>
          <w:tcPr>
            <w:tcW w:w="874" w:type="dxa"/>
            <w:tcBorders>
              <w:tl2br w:val="nil"/>
              <w:tr2bl w:val="nil"/>
            </w:tcBorders>
            <w:shd w:val="clear" w:color="auto" w:fill="auto"/>
            <w:noWrap/>
            <w:vAlign w:val="center"/>
          </w:tcPr>
          <w:p w14:paraId="216220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DCBDF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6EC743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0ECB4D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96" w:type="dxa"/>
            <w:tcBorders>
              <w:tl2br w:val="nil"/>
              <w:tr2bl w:val="nil"/>
            </w:tcBorders>
            <w:shd w:val="clear" w:color="auto" w:fill="auto"/>
            <w:noWrap/>
            <w:vAlign w:val="center"/>
          </w:tcPr>
          <w:p w14:paraId="74C344EE">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5568563F">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7FF89221">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2A0305D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3051D0B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4B053E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23.03</w:t>
            </w:r>
          </w:p>
        </w:tc>
        <w:tc>
          <w:tcPr>
            <w:tcW w:w="874" w:type="dxa"/>
            <w:tcBorders>
              <w:tl2br w:val="nil"/>
              <w:tr2bl w:val="nil"/>
            </w:tcBorders>
            <w:shd w:val="clear" w:color="auto" w:fill="auto"/>
            <w:noWrap/>
            <w:vAlign w:val="center"/>
          </w:tcPr>
          <w:p w14:paraId="19074D3A">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r>
      <w:tr w14:paraId="37176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2408" w:type="dxa"/>
            <w:gridSpan w:val="2"/>
            <w:tcBorders>
              <w:tl2br w:val="nil"/>
              <w:tr2bl w:val="nil"/>
            </w:tcBorders>
            <w:shd w:val="clear" w:color="auto" w:fill="auto"/>
            <w:noWrap/>
            <w:vAlign w:val="center"/>
          </w:tcPr>
          <w:p w14:paraId="7733C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096" w:type="dxa"/>
            <w:tcBorders>
              <w:tl2br w:val="nil"/>
              <w:tr2bl w:val="nil"/>
            </w:tcBorders>
            <w:shd w:val="clear" w:color="auto" w:fill="auto"/>
            <w:noWrap/>
            <w:vAlign w:val="center"/>
          </w:tcPr>
          <w:p w14:paraId="6E736C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26399F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28A9F2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73D543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29759B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64AD64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38.54</w:t>
            </w:r>
            <w:r>
              <w:rPr>
                <w:rFonts w:hint="default" w:ascii="Times New Roman" w:hAnsi="Times New Roman" w:eastAsia="仿宋_GB2312" w:cs="Times New Roman"/>
                <w:i w:val="0"/>
                <w:iCs w:val="0"/>
                <w:color w:val="000000"/>
                <w:kern w:val="0"/>
                <w:sz w:val="21"/>
                <w:szCs w:val="21"/>
                <w:u w:val="none"/>
                <w:lang w:val="en-US" w:eastAsia="zh-CN" w:bidi="ar"/>
              </w:rPr>
              <w:t xml:space="preserve"> </w:t>
            </w:r>
          </w:p>
        </w:tc>
        <w:tc>
          <w:tcPr>
            <w:tcW w:w="874" w:type="dxa"/>
            <w:tcBorders>
              <w:tl2br w:val="nil"/>
              <w:tr2bl w:val="nil"/>
            </w:tcBorders>
            <w:shd w:val="clear" w:color="auto" w:fill="auto"/>
            <w:noWrap/>
            <w:vAlign w:val="center"/>
          </w:tcPr>
          <w:p w14:paraId="32422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bookmarkEnd w:id="53"/>
    </w:tbl>
    <w:p w14:paraId="10F4F7E3">
      <w:pPr>
        <w:pStyle w:val="4"/>
        <w:rPr>
          <w:rFonts w:hint="default" w:ascii="Times New Roman" w:hAnsi="Times New Roman" w:cs="Times New Roman"/>
        </w:rPr>
      </w:pPr>
      <w:r>
        <w:rPr>
          <w:rFonts w:hint="default" w:ascii="Times New Roman" w:hAnsi="Times New Roman" w:cs="Times New Roman"/>
        </w:rPr>
        <w:t>需补充完善的水土保持措施</w:t>
      </w:r>
    </w:p>
    <w:p w14:paraId="4533E464">
      <w:pPr>
        <w:ind w:firstLine="480"/>
        <w:rPr>
          <w:rFonts w:hint="default" w:ascii="Times New Roman" w:hAnsi="Times New Roman" w:cs="Times New Roman"/>
          <w:szCs w:val="20"/>
        </w:rPr>
      </w:pPr>
      <w:bookmarkStart w:id="55" w:name="_Hlk82441520"/>
      <w:r>
        <w:rPr>
          <w:rFonts w:hint="default" w:ascii="Times New Roman" w:hAnsi="Times New Roman" w:cs="Times New Roman"/>
          <w:szCs w:val="20"/>
        </w:rPr>
        <w:t>本工程主体设计中，十分重视水土保持工作。工程设计中雨水管网、景观绿化</w:t>
      </w:r>
      <w:r>
        <w:rPr>
          <w:rFonts w:hint="default" w:ascii="Times New Roman" w:hAnsi="Times New Roman" w:cs="Times New Roman"/>
        </w:rPr>
        <w:t>等</w:t>
      </w:r>
      <w:r>
        <w:rPr>
          <w:rFonts w:hint="default" w:ascii="Times New Roman" w:hAnsi="Times New Roman" w:cs="Times New Roman"/>
          <w:szCs w:val="20"/>
        </w:rPr>
        <w:t>措施，这些措施具有一定的水土保持功能，减少了工程建设造成的水土流失。</w:t>
      </w:r>
    </w:p>
    <w:p w14:paraId="4DB21FA0">
      <w:pPr>
        <w:ind w:firstLine="480"/>
        <w:rPr>
          <w:rFonts w:hint="default" w:ascii="Times New Roman" w:hAnsi="Times New Roman" w:cs="Times New Roman"/>
          <w:szCs w:val="20"/>
        </w:rPr>
      </w:pPr>
      <w:r>
        <w:rPr>
          <w:rFonts w:hint="default" w:ascii="Times New Roman" w:hAnsi="Times New Roman" w:cs="Times New Roman"/>
          <w:szCs w:val="20"/>
        </w:rPr>
        <w:t>主体工程中设计的这些具有水土保持功能的防护措施，从根本上讲，也是基于保障施工安全、运营安全及景观美化而设计的。这些措施，针对主体工程而论，在设计中能够贯彻执行水土保持的法律法规和相关标准规范，能够把注重本工程水土保持工作的思想落实到主体工程的设计之中，是遵循相关标准规范的具体体现。</w:t>
      </w:r>
    </w:p>
    <w:p w14:paraId="702C337C">
      <w:pPr>
        <w:ind w:firstLine="480"/>
        <w:rPr>
          <w:rFonts w:hint="default" w:ascii="Times New Roman" w:hAnsi="Times New Roman" w:cs="Times New Roman"/>
          <w:szCs w:val="20"/>
        </w:rPr>
      </w:pPr>
      <w:r>
        <w:rPr>
          <w:rFonts w:hint="default" w:ascii="Times New Roman" w:hAnsi="Times New Roman" w:cs="Times New Roman"/>
          <w:szCs w:val="20"/>
        </w:rPr>
        <w:t>但是，针对施工期间的水土流失防治措施，主体设计还存在不足。因此本方案将结合主体工程中具有水土保持功能的措施，补充和完善水土保持措施，使各项水土保持措施形成一个科学有效的体系，达到更有效的水土保持效果。</w:t>
      </w:r>
    </w:p>
    <w:p w14:paraId="7F98878D">
      <w:pPr>
        <w:ind w:firstLine="480"/>
        <w:rPr>
          <w:rFonts w:hint="default" w:ascii="Times New Roman" w:hAnsi="Times New Roman" w:cs="Times New Roman"/>
          <w:szCs w:val="20"/>
        </w:rPr>
      </w:pPr>
      <w:r>
        <w:rPr>
          <w:rFonts w:hint="default" w:ascii="Times New Roman" w:hAnsi="Times New Roman" w:cs="Times New Roman"/>
          <w:szCs w:val="20"/>
        </w:rPr>
        <w:t>综上所述，基于完善水土保持措施体系、有效防治工程水土流失的目的，确定本方案水土保持措施设计重点如下：</w:t>
      </w:r>
    </w:p>
    <w:p w14:paraId="27362939">
      <w:pPr>
        <w:ind w:firstLine="480"/>
        <w:rPr>
          <w:rFonts w:hint="default" w:ascii="Times New Roman" w:hAnsi="Times New Roman" w:eastAsia="仿宋_GB2312" w:cs="Times New Roman"/>
          <w:lang w:val="en-US" w:eastAsia="zh-CN"/>
        </w:rPr>
      </w:pPr>
      <w:r>
        <w:rPr>
          <w:rFonts w:hint="eastAsia" w:cs="Times New Roman"/>
          <w:lang w:val="en-US" w:eastAsia="zh-CN"/>
        </w:rPr>
        <w:t>一、地块一</w:t>
      </w:r>
    </w:p>
    <w:p w14:paraId="4272FB8F">
      <w:pPr>
        <w:ind w:firstLine="480"/>
        <w:rPr>
          <w:rFonts w:hint="default" w:ascii="Times New Roman" w:hAnsi="Times New Roman" w:cs="Times New Roman"/>
        </w:rPr>
      </w:pPr>
      <w:r>
        <w:rPr>
          <w:rFonts w:hint="default" w:ascii="Times New Roman" w:hAnsi="Times New Roman" w:cs="Times New Roman"/>
        </w:rPr>
        <w:t>（1）建构筑物区：补充</w:t>
      </w:r>
      <w:r>
        <w:rPr>
          <w:rFonts w:hint="eastAsia" w:cs="Times New Roman"/>
          <w:lang w:val="en-US" w:eastAsia="zh-CN"/>
        </w:rPr>
        <w:t>施工</w:t>
      </w:r>
      <w:r>
        <w:rPr>
          <w:rFonts w:hint="default" w:ascii="Times New Roman" w:hAnsi="Times New Roman" w:cs="Times New Roman"/>
        </w:rPr>
        <w:t>期间基础开挖区域的临时苫盖，并提出水土保持管理要求。</w:t>
      </w:r>
    </w:p>
    <w:p w14:paraId="12205FC2">
      <w:pPr>
        <w:ind w:firstLine="48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道路及硬化区</w:t>
      </w:r>
      <w:r>
        <w:rPr>
          <w:rFonts w:hint="default" w:ascii="Times New Roman" w:hAnsi="Times New Roman" w:cs="Times New Roman"/>
        </w:rPr>
        <w:t>：补充施工期间场区的临时苫盖、</w:t>
      </w:r>
      <w:r>
        <w:rPr>
          <w:rFonts w:hint="default" w:ascii="Times New Roman" w:hAnsi="Times New Roman" w:cs="Times New Roman"/>
          <w:lang w:eastAsia="zh-CN"/>
        </w:rPr>
        <w:t>车辆清洗</w:t>
      </w:r>
      <w:r>
        <w:rPr>
          <w:rFonts w:hint="default" w:ascii="Times New Roman" w:hAnsi="Times New Roman" w:cs="Times New Roman"/>
        </w:rPr>
        <w:t>措施</w:t>
      </w:r>
      <w:r>
        <w:rPr>
          <w:rFonts w:hint="eastAsia" w:cs="Times New Roman"/>
          <w:lang w:eastAsia="zh-CN"/>
        </w:rPr>
        <w:t>、</w:t>
      </w:r>
      <w:r>
        <w:rPr>
          <w:rFonts w:hint="eastAsia" w:cs="Times New Roman"/>
          <w:lang w:val="en-US" w:eastAsia="zh-CN"/>
        </w:rPr>
        <w:t>临时沉砂措施</w:t>
      </w:r>
      <w:r>
        <w:rPr>
          <w:rFonts w:hint="default" w:ascii="Times New Roman" w:hAnsi="Times New Roman" w:cs="Times New Roman"/>
        </w:rPr>
        <w:t>，并提出水土保持管理要求。</w:t>
      </w:r>
    </w:p>
    <w:p w14:paraId="24DC94C9">
      <w:pPr>
        <w:ind w:firstLine="480"/>
        <w:rPr>
          <w:rFonts w:hint="default" w:ascii="Times New Roman" w:hAnsi="Times New Roman" w:cs="Times New Roman"/>
        </w:rPr>
      </w:pPr>
      <w:r>
        <w:rPr>
          <w:rFonts w:hint="default" w:ascii="Times New Roman" w:hAnsi="Times New Roman" w:cs="Times New Roman"/>
        </w:rPr>
        <w:t>（3）绿化区：补充绿化区的临时苫盖、</w:t>
      </w:r>
      <w:r>
        <w:rPr>
          <w:rFonts w:hint="eastAsia" w:cs="Times New Roman"/>
          <w:lang w:val="en-US" w:eastAsia="zh-CN"/>
        </w:rPr>
        <w:t>表土堆场的临时拦挡及苫盖措施</w:t>
      </w:r>
      <w:r>
        <w:rPr>
          <w:rFonts w:hint="default" w:ascii="Times New Roman" w:hAnsi="Times New Roman" w:cs="Times New Roman"/>
        </w:rPr>
        <w:t>，并提出水土保持管理要求。</w:t>
      </w:r>
    </w:p>
    <w:p w14:paraId="3245FA85">
      <w:pPr>
        <w:ind w:firstLine="480"/>
        <w:rPr>
          <w:rFonts w:hint="default" w:ascii="Times New Roman" w:hAnsi="Times New Roman" w:eastAsia="仿宋_GB2312" w:cs="Times New Roman"/>
          <w:lang w:val="en-US" w:eastAsia="zh-CN"/>
        </w:rPr>
      </w:pPr>
      <w:r>
        <w:rPr>
          <w:rFonts w:hint="eastAsia" w:cs="Times New Roman"/>
          <w:lang w:val="en-US" w:eastAsia="zh-CN"/>
        </w:rPr>
        <w:t>二、地块二</w:t>
      </w:r>
    </w:p>
    <w:p w14:paraId="60B9BB86">
      <w:pPr>
        <w:ind w:firstLine="480"/>
        <w:rPr>
          <w:rFonts w:hint="default" w:ascii="Times New Roman" w:hAnsi="Times New Roman" w:cs="Times New Roman"/>
        </w:rPr>
      </w:pPr>
      <w:r>
        <w:rPr>
          <w:rFonts w:hint="default" w:ascii="Times New Roman" w:hAnsi="Times New Roman" w:cs="Times New Roman"/>
        </w:rPr>
        <w:t>（1）建构筑物区：补充</w:t>
      </w:r>
      <w:r>
        <w:rPr>
          <w:rFonts w:hint="eastAsia" w:cs="Times New Roman"/>
          <w:lang w:val="en-US" w:eastAsia="zh-CN"/>
        </w:rPr>
        <w:t>施工</w:t>
      </w:r>
      <w:r>
        <w:rPr>
          <w:rFonts w:hint="default" w:ascii="Times New Roman" w:hAnsi="Times New Roman" w:cs="Times New Roman"/>
        </w:rPr>
        <w:t>期间基础开挖区域的临时苫盖，并提出水土保持管理要求。</w:t>
      </w:r>
    </w:p>
    <w:p w14:paraId="4A6F4B7C">
      <w:pPr>
        <w:ind w:firstLine="48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道路及硬化区</w:t>
      </w:r>
      <w:r>
        <w:rPr>
          <w:rFonts w:hint="default" w:ascii="Times New Roman" w:hAnsi="Times New Roman" w:cs="Times New Roman"/>
        </w:rPr>
        <w:t>：补充施工期间场区的临时苫盖、</w:t>
      </w:r>
      <w:r>
        <w:rPr>
          <w:rFonts w:hint="default" w:ascii="Times New Roman" w:hAnsi="Times New Roman" w:cs="Times New Roman"/>
          <w:lang w:eastAsia="zh-CN"/>
        </w:rPr>
        <w:t>车辆清洗</w:t>
      </w:r>
      <w:r>
        <w:rPr>
          <w:rFonts w:hint="default" w:ascii="Times New Roman" w:hAnsi="Times New Roman" w:cs="Times New Roman"/>
        </w:rPr>
        <w:t>措施</w:t>
      </w:r>
      <w:r>
        <w:rPr>
          <w:rFonts w:hint="eastAsia" w:cs="Times New Roman"/>
          <w:lang w:eastAsia="zh-CN"/>
        </w:rPr>
        <w:t>、</w:t>
      </w:r>
      <w:r>
        <w:rPr>
          <w:rFonts w:hint="eastAsia" w:cs="Times New Roman"/>
          <w:lang w:val="en-US" w:eastAsia="zh-CN"/>
        </w:rPr>
        <w:t>临时沉砂措施</w:t>
      </w:r>
      <w:r>
        <w:rPr>
          <w:rFonts w:hint="default" w:ascii="Times New Roman" w:hAnsi="Times New Roman" w:cs="Times New Roman"/>
        </w:rPr>
        <w:t>，并提出水土保持管理要求。</w:t>
      </w:r>
    </w:p>
    <w:p w14:paraId="0007D93F">
      <w:pPr>
        <w:ind w:firstLine="480"/>
        <w:rPr>
          <w:rFonts w:hint="default" w:ascii="Times New Roman" w:hAnsi="Times New Roman" w:cs="Times New Roman"/>
        </w:rPr>
      </w:pPr>
      <w:r>
        <w:rPr>
          <w:rFonts w:hint="default" w:ascii="Times New Roman" w:hAnsi="Times New Roman" w:cs="Times New Roman"/>
        </w:rPr>
        <w:t>（3）绿化区：补充绿化区的临时苫盖、</w:t>
      </w:r>
      <w:r>
        <w:rPr>
          <w:rFonts w:hint="eastAsia" w:cs="Times New Roman"/>
          <w:lang w:val="en-US" w:eastAsia="zh-CN"/>
        </w:rPr>
        <w:t>表土堆场的临时拦挡及苫盖措施</w:t>
      </w:r>
      <w:r>
        <w:rPr>
          <w:rFonts w:hint="default" w:ascii="Times New Roman" w:hAnsi="Times New Roman" w:cs="Times New Roman"/>
        </w:rPr>
        <w:t>，并提出水土保持管理要求。</w:t>
      </w:r>
    </w:p>
    <w:bookmarkEnd w:id="55"/>
    <w:p w14:paraId="5455AE41">
      <w:pPr>
        <w:pStyle w:val="3"/>
        <w:rPr>
          <w:rFonts w:hint="default" w:ascii="Times New Roman" w:hAnsi="Times New Roman" w:cs="Times New Roman"/>
        </w:rPr>
      </w:pPr>
      <w:bookmarkStart w:id="56" w:name="_Toc165223575"/>
      <w:r>
        <w:rPr>
          <w:rFonts w:hint="default" w:ascii="Times New Roman" w:hAnsi="Times New Roman" w:cs="Times New Roman"/>
        </w:rPr>
        <w:t>评价结果</w:t>
      </w:r>
      <w:bookmarkEnd w:id="56"/>
    </w:p>
    <w:p w14:paraId="43B1D948">
      <w:pPr>
        <w:adjustRightInd w:val="0"/>
        <w:snapToGrid w:val="0"/>
        <w:ind w:firstLine="480"/>
        <w:rPr>
          <w:rFonts w:hint="default" w:ascii="Times New Roman" w:hAnsi="Times New Roman" w:cs="Times New Roman"/>
        </w:rPr>
      </w:pPr>
      <w:r>
        <w:rPr>
          <w:rFonts w:hint="default" w:ascii="Times New Roman" w:hAnsi="Times New Roman" w:cs="Times New Roman"/>
        </w:rPr>
        <w:t>（1）主体工程选址（线）水土保持制约性因素分析评价结论</w:t>
      </w:r>
    </w:p>
    <w:p w14:paraId="09638478">
      <w:pPr>
        <w:adjustRightInd w:val="0"/>
        <w:snapToGrid w:val="0"/>
        <w:ind w:firstLine="480"/>
        <w:rPr>
          <w:rFonts w:hint="default" w:ascii="Times New Roman" w:hAnsi="Times New Roman" w:cs="Times New Roman"/>
        </w:rPr>
      </w:pPr>
      <w:r>
        <w:rPr>
          <w:rFonts w:hint="default" w:ascii="Times New Roman" w:hAnsi="Times New Roman" w:cs="Times New Roman"/>
        </w:rPr>
        <w:t>根据</w:t>
      </w:r>
      <w:r>
        <w:rPr>
          <w:rFonts w:hint="eastAsia" w:cs="Times New Roman"/>
          <w:lang w:eastAsia="zh-CN"/>
        </w:rPr>
        <w:t>《中华人民共和国水土保持法》</w:t>
      </w:r>
      <w:r>
        <w:rPr>
          <w:rFonts w:hint="default" w:ascii="Times New Roman" w:hAnsi="Times New Roman" w:cs="Times New Roman"/>
        </w:rPr>
        <w:t>、水保〔2007〕184号文《关于严格开发建设项目水土保持方案审查审批工作的通知》、《生产建设项目水土保持技术规范》(GB50433-2018)中关于项目建设以及主体工程设计约束性规定，工程选址符合区域总体规划，不位于水土保持敏感区域，不存在水土保持制约性因素。</w:t>
      </w:r>
    </w:p>
    <w:p w14:paraId="17572084">
      <w:pPr>
        <w:adjustRightInd w:val="0"/>
        <w:snapToGrid w:val="0"/>
        <w:ind w:firstLine="480"/>
        <w:rPr>
          <w:rFonts w:hint="default" w:ascii="Times New Roman" w:hAnsi="Times New Roman" w:cs="Times New Roman"/>
        </w:rPr>
      </w:pPr>
      <w:r>
        <w:rPr>
          <w:rFonts w:hint="default" w:ascii="Times New Roman" w:hAnsi="Times New Roman" w:cs="Times New Roman"/>
        </w:rPr>
        <w:t>（2）方案比选评价结论</w:t>
      </w:r>
    </w:p>
    <w:p w14:paraId="6B365E4E">
      <w:pPr>
        <w:adjustRightInd w:val="0"/>
        <w:snapToGrid w:val="0"/>
        <w:ind w:firstLine="480"/>
        <w:rPr>
          <w:rFonts w:hint="default" w:ascii="Times New Roman" w:hAnsi="Times New Roman" w:cs="Times New Roman"/>
        </w:rPr>
      </w:pPr>
      <w:r>
        <w:rPr>
          <w:rFonts w:hint="default" w:ascii="Times New Roman" w:hAnsi="Times New Roman" w:cs="Times New Roman"/>
        </w:rPr>
        <w:t>通过分析，从项目建设条件、社会发展等方面出发分析主体工程方案无需进行方案比选评价，且工程用地方案、规划设计方案均存在唯一性。</w:t>
      </w:r>
      <w:r>
        <w:rPr>
          <w:rFonts w:hint="default" w:ascii="Times New Roman" w:hAnsi="Times New Roman" w:cs="Times New Roman"/>
          <w:lang w:val="zh-CN"/>
        </w:rPr>
        <w:t>从水土保持角度出发，本方案不进行方案比选评价</w:t>
      </w:r>
      <w:r>
        <w:rPr>
          <w:rFonts w:hint="default" w:ascii="Times New Roman" w:hAnsi="Times New Roman" w:cs="Times New Roman"/>
        </w:rPr>
        <w:t>。</w:t>
      </w:r>
    </w:p>
    <w:p w14:paraId="4E74D4FA">
      <w:pPr>
        <w:adjustRightInd w:val="0"/>
        <w:snapToGrid w:val="0"/>
        <w:ind w:firstLine="480"/>
        <w:rPr>
          <w:rFonts w:hint="default" w:ascii="Times New Roman" w:hAnsi="Times New Roman" w:cs="Times New Roman"/>
          <w:lang w:val="zh-CN"/>
        </w:rPr>
      </w:pPr>
      <w:r>
        <w:rPr>
          <w:rFonts w:hint="default" w:ascii="Times New Roman" w:hAnsi="Times New Roman" w:cs="Times New Roman"/>
          <w:lang w:val="zh-CN"/>
        </w:rPr>
        <w:t>（3）主体工程水土保持评价结论</w:t>
      </w:r>
    </w:p>
    <w:p w14:paraId="23AADDE2">
      <w:pPr>
        <w:adjustRightInd w:val="0"/>
        <w:snapToGrid w:val="0"/>
        <w:ind w:firstLine="480"/>
        <w:rPr>
          <w:rFonts w:hint="default" w:ascii="Times New Roman" w:hAnsi="Times New Roman" w:cs="Times New Roman"/>
        </w:rPr>
      </w:pPr>
      <w:r>
        <w:rPr>
          <w:rFonts w:hint="default" w:ascii="Times New Roman" w:hAnsi="Times New Roman" w:cs="Times New Roman"/>
          <w:lang w:val="zh-CN"/>
        </w:rPr>
        <w:fldChar w:fldCharType="begin"/>
      </w:r>
      <w:r>
        <w:rPr>
          <w:rFonts w:hint="default" w:ascii="Times New Roman" w:hAnsi="Times New Roman" w:cs="Times New Roman"/>
          <w:lang w:val="zh-CN"/>
        </w:rPr>
        <w:instrText xml:space="preserve"> = 1 \* GB3 </w:instrText>
      </w:r>
      <w:r>
        <w:rPr>
          <w:rFonts w:hint="default" w:ascii="Times New Roman" w:hAnsi="Times New Roman" w:cs="Times New Roman"/>
          <w:lang w:val="zh-CN"/>
        </w:rPr>
        <w:fldChar w:fldCharType="separate"/>
      </w:r>
      <w:r>
        <w:rPr>
          <w:rFonts w:hint="default" w:ascii="Times New Roman" w:hAnsi="Times New Roman" w:cs="Times New Roman"/>
          <w:lang w:val="zh-CN"/>
        </w:rPr>
        <w:t>①</w:t>
      </w:r>
      <w:r>
        <w:rPr>
          <w:rFonts w:hint="default" w:ascii="Times New Roman" w:hAnsi="Times New Roman" w:cs="Times New Roman"/>
          <w:lang w:val="zh-CN"/>
        </w:rPr>
        <w:fldChar w:fldCharType="end"/>
      </w:r>
      <w:r>
        <w:rPr>
          <w:rFonts w:hint="default" w:ascii="Times New Roman" w:hAnsi="Times New Roman" w:cs="Times New Roman"/>
          <w:lang w:val="zh-CN"/>
        </w:rPr>
        <w:t>从工程布局来看，</w:t>
      </w:r>
      <w:r>
        <w:rPr>
          <w:rFonts w:hint="default" w:ascii="Times New Roman" w:hAnsi="Times New Roman" w:cs="Times New Roman"/>
        </w:rPr>
        <w:t>工程总体布局充分立足项目建设区实际情况进行全面考虑，布局紧凑，减少了工程占地及土石方开挖量，避免了产生严重的水土流失，因此项目区总体布局合理</w:t>
      </w:r>
      <w:r>
        <w:rPr>
          <w:rFonts w:hint="default" w:ascii="Times New Roman" w:hAnsi="Times New Roman" w:cs="Times New Roman"/>
          <w:lang w:val="zh-CN"/>
        </w:rPr>
        <w:t>，因此，工程布局合理可行</w:t>
      </w:r>
      <w:r>
        <w:rPr>
          <w:rFonts w:hint="default" w:ascii="Times New Roman" w:hAnsi="Times New Roman" w:cs="Times New Roman"/>
        </w:rPr>
        <w:t>；</w:t>
      </w:r>
    </w:p>
    <w:p w14:paraId="7900A8D7">
      <w:pPr>
        <w:adjustRightInd w:val="0"/>
        <w:snapToGrid w:val="0"/>
        <w:ind w:firstLine="48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2 \* GB3 </w:instrText>
      </w:r>
      <w:r>
        <w:rPr>
          <w:rFonts w:hint="default" w:ascii="Times New Roman" w:hAnsi="Times New Roman" w:cs="Times New Roman"/>
        </w:rPr>
        <w:fldChar w:fldCharType="separate"/>
      </w:r>
      <w:r>
        <w:rPr>
          <w:rFonts w:hint="default" w:ascii="Times New Roman" w:hAnsi="Times New Roman" w:cs="Times New Roman"/>
        </w:rPr>
        <w:t>②</w:t>
      </w:r>
      <w:r>
        <w:rPr>
          <w:rFonts w:hint="default" w:ascii="Times New Roman" w:hAnsi="Times New Roman" w:cs="Times New Roman"/>
        </w:rPr>
        <w:fldChar w:fldCharType="end"/>
      </w:r>
      <w:r>
        <w:rPr>
          <w:rFonts w:hint="default" w:ascii="Times New Roman" w:hAnsi="Times New Roman" w:cs="Times New Roman"/>
        </w:rPr>
        <w:t>工程建设占用了具有水土保持功能的部分土地，建设单位在施工期及运行期实施了各项水土保持措施，通过各项防护措施的运行，使水土流失得到有效控制，工程占地合理；</w:t>
      </w:r>
    </w:p>
    <w:p w14:paraId="53147DDD">
      <w:pPr>
        <w:adjustRightInd w:val="0"/>
        <w:snapToGrid w:val="0"/>
        <w:ind w:firstLine="48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3 \* GB3 </w:instrText>
      </w:r>
      <w:r>
        <w:rPr>
          <w:rFonts w:hint="default" w:ascii="Times New Roman" w:hAnsi="Times New Roman" w:cs="Times New Roman"/>
        </w:rPr>
        <w:fldChar w:fldCharType="separate"/>
      </w:r>
      <w:r>
        <w:rPr>
          <w:rFonts w:hint="default" w:ascii="Times New Roman" w:hAnsi="Times New Roman" w:cs="Times New Roman"/>
        </w:rPr>
        <w:t>③</w:t>
      </w:r>
      <w:r>
        <w:rPr>
          <w:rFonts w:hint="default" w:ascii="Times New Roman" w:hAnsi="Times New Roman" w:cs="Times New Roman"/>
        </w:rPr>
        <w:fldChar w:fldCharType="end"/>
      </w:r>
      <w:r>
        <w:rPr>
          <w:rFonts w:hint="default" w:ascii="Times New Roman" w:hAnsi="Times New Roman" w:cs="Times New Roman"/>
        </w:rPr>
        <w:t>工程建设土石方平衡及流向合理，对土石方进行最大程度综合利用，本工程土石方平衡合理可行；</w:t>
      </w:r>
    </w:p>
    <w:p w14:paraId="28618DC5">
      <w:pPr>
        <w:adjustRightInd w:val="0"/>
        <w:snapToGrid w:val="0"/>
        <w:ind w:firstLine="48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4 \* GB3 </w:instrText>
      </w:r>
      <w:r>
        <w:rPr>
          <w:rFonts w:hint="default" w:ascii="Times New Roman" w:hAnsi="Times New Roman" w:cs="Times New Roman"/>
        </w:rPr>
        <w:fldChar w:fldCharType="separate"/>
      </w:r>
      <w:r>
        <w:rPr>
          <w:rFonts w:hint="default" w:ascii="Times New Roman" w:hAnsi="Times New Roman" w:cs="Times New Roman"/>
        </w:rPr>
        <w:t>④</w:t>
      </w:r>
      <w:r>
        <w:rPr>
          <w:rFonts w:hint="default" w:ascii="Times New Roman" w:hAnsi="Times New Roman" w:cs="Times New Roman"/>
        </w:rPr>
        <w:fldChar w:fldCharType="end"/>
      </w:r>
      <w:r>
        <w:rPr>
          <w:rFonts w:hint="default" w:ascii="Times New Roman" w:hAnsi="Times New Roman" w:cs="Times New Roman"/>
        </w:rPr>
        <w:t>项目不涉及砂石料及取料场建设，根据项目特点，进行了施工组织设计，将施工场地设在项目区场地内，减少了地表扰动范围，施工组织设计合理；</w:t>
      </w:r>
    </w:p>
    <w:p w14:paraId="79FE5110">
      <w:pPr>
        <w:ind w:firstLine="48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5 \* GB3 </w:instrText>
      </w:r>
      <w:r>
        <w:rPr>
          <w:rFonts w:hint="default" w:ascii="Times New Roman" w:hAnsi="Times New Roman" w:cs="Times New Roman"/>
        </w:rPr>
        <w:fldChar w:fldCharType="separate"/>
      </w:r>
      <w:r>
        <w:rPr>
          <w:rFonts w:hint="default" w:ascii="Times New Roman" w:hAnsi="Times New Roman" w:cs="Times New Roman"/>
        </w:rPr>
        <w:t>⑤</w:t>
      </w:r>
      <w:r>
        <w:rPr>
          <w:rFonts w:hint="default" w:ascii="Times New Roman" w:hAnsi="Times New Roman" w:cs="Times New Roman"/>
        </w:rPr>
        <w:fldChar w:fldCharType="end"/>
      </w:r>
      <w:r>
        <w:rPr>
          <w:rFonts w:hint="default" w:ascii="Times New Roman" w:hAnsi="Times New Roman" w:cs="Times New Roman"/>
        </w:rPr>
        <w:t>根据土石方平衡情况，本项目</w:t>
      </w:r>
      <w:r>
        <w:rPr>
          <w:rFonts w:hint="eastAsia" w:cs="Times New Roman"/>
          <w:lang w:val="en-US" w:eastAsia="zh-CN"/>
        </w:rPr>
        <w:t>未</w:t>
      </w:r>
      <w:r>
        <w:rPr>
          <w:rFonts w:hint="default" w:ascii="Times New Roman" w:hAnsi="Times New Roman" w:cs="Times New Roman"/>
        </w:rPr>
        <w:t>产生废弃土石方，本项目建设不设置弃渣场</w:t>
      </w:r>
      <w:r>
        <w:rPr>
          <w:rFonts w:hint="eastAsia" w:cs="Times New Roman"/>
          <w:lang w:eastAsia="zh-CN"/>
        </w:rPr>
        <w:t>，</w:t>
      </w:r>
      <w:r>
        <w:rPr>
          <w:rFonts w:hint="eastAsia" w:cs="Times New Roman"/>
          <w:lang w:val="en-US" w:eastAsia="zh-CN"/>
        </w:rPr>
        <w:t>不涉及弃渣场选址</w:t>
      </w:r>
      <w:r>
        <w:rPr>
          <w:rFonts w:hint="default" w:ascii="Times New Roman" w:hAnsi="Times New Roman" w:cs="Times New Roman"/>
        </w:rPr>
        <w:t>。</w:t>
      </w:r>
    </w:p>
    <w:p w14:paraId="64F00A3F">
      <w:pPr>
        <w:adjustRightInd w:val="0"/>
        <w:snapToGrid w:val="0"/>
        <w:ind w:firstLine="480"/>
        <w:rPr>
          <w:rFonts w:hint="default" w:ascii="Times New Roman" w:hAnsi="Times New Roman" w:cs="Times New Roman"/>
        </w:rPr>
      </w:pPr>
      <w:r>
        <w:rPr>
          <w:rFonts w:hint="default" w:ascii="Times New Roman" w:hAnsi="Times New Roman" w:cs="Times New Roman"/>
        </w:rPr>
        <w:t>综上所述，本工程选址无限制性因素，通过对主体工程布局、工程占地、土石方平衡、施工组织、施工工艺等进行水土保持分析评价，方案认为其基本满足水土保持要求，基本合理可行。</w:t>
      </w:r>
    </w:p>
    <w:p w14:paraId="5F641651">
      <w:pPr>
        <w:pStyle w:val="3"/>
        <w:rPr>
          <w:rFonts w:hint="default" w:ascii="Times New Roman" w:hAnsi="Times New Roman" w:cs="Times New Roman"/>
        </w:rPr>
      </w:pPr>
      <w:bookmarkStart w:id="57" w:name="_Toc165223576"/>
      <w:r>
        <w:rPr>
          <w:rFonts w:hint="default" w:ascii="Times New Roman" w:hAnsi="Times New Roman" w:cs="Times New Roman"/>
        </w:rPr>
        <w:t>建议</w:t>
      </w:r>
      <w:bookmarkEnd w:id="57"/>
    </w:p>
    <w:p w14:paraId="02AF0DD0">
      <w:pPr>
        <w:adjustRightInd w:val="0"/>
        <w:snapToGrid w:val="0"/>
        <w:ind w:firstLine="480"/>
        <w:rPr>
          <w:rFonts w:hint="default" w:ascii="Times New Roman" w:hAnsi="Times New Roman" w:cs="Times New Roman"/>
        </w:rPr>
      </w:pPr>
      <w:r>
        <w:rPr>
          <w:rFonts w:hint="default" w:ascii="Times New Roman" w:hAnsi="Times New Roman" w:cs="Times New Roman"/>
        </w:rPr>
        <w:t>（1）建议设计单位借鉴良好设计方案，提高硬化面的雨水汇流综合利用，提高区域保水保土能力。</w:t>
      </w:r>
    </w:p>
    <w:p w14:paraId="4F3D2457">
      <w:pPr>
        <w:adjustRightInd w:val="0"/>
        <w:snapToGrid w:val="0"/>
        <w:ind w:firstLine="480"/>
        <w:rPr>
          <w:rFonts w:hint="default" w:ascii="Times New Roman" w:hAnsi="Times New Roman" w:cs="Times New Roman"/>
        </w:rPr>
      </w:pPr>
      <w:r>
        <w:rPr>
          <w:rFonts w:hint="default" w:ascii="Times New Roman" w:hAnsi="Times New Roman" w:cs="Times New Roman"/>
        </w:rPr>
        <w:t>（2）建设单位应加强监督管理，认真落实材料来源、土石方流向问题，与施工承包方签订管护责任书，层层落实防治责任。监理单位需对材料来源的合法性予以监督。</w:t>
      </w:r>
    </w:p>
    <w:p w14:paraId="2E463FE2">
      <w:pPr>
        <w:adjustRightInd w:val="0"/>
        <w:snapToGrid w:val="0"/>
        <w:ind w:firstLine="480"/>
        <w:rPr>
          <w:rFonts w:hint="default" w:ascii="Times New Roman" w:hAnsi="Times New Roman" w:cs="Times New Roman"/>
        </w:rPr>
      </w:pPr>
      <w:r>
        <w:rPr>
          <w:rFonts w:hint="default" w:ascii="Times New Roman" w:hAnsi="Times New Roman" w:cs="Times New Roman"/>
        </w:rPr>
        <w:t>（3）建设单位应及早选择具有监测能力的水土保持监测单位尽快进场，对项目建设过程中产生的水土流失进行监测。</w:t>
      </w:r>
    </w:p>
    <w:p w14:paraId="21F17987">
      <w:pPr>
        <w:adjustRightInd w:val="0"/>
        <w:snapToGrid w:val="0"/>
        <w:ind w:firstLine="480"/>
        <w:rPr>
          <w:rFonts w:hint="default" w:ascii="Times New Roman" w:hAnsi="Times New Roman" w:cs="Times New Roman"/>
        </w:rPr>
      </w:pPr>
      <w:r>
        <w:rPr>
          <w:rFonts w:hint="default" w:ascii="Times New Roman" w:hAnsi="Times New Roman" w:cs="Times New Roman"/>
        </w:rPr>
        <w:t>（4）建设单位应督促监理及监测单位提交监理、监测成果到当地水行政主管部门备案。</w:t>
      </w:r>
    </w:p>
    <w:p w14:paraId="1D946849">
      <w:pPr>
        <w:adjustRightInd w:val="0"/>
        <w:snapToGrid w:val="0"/>
        <w:ind w:firstLine="480"/>
        <w:rPr>
          <w:rFonts w:hint="default" w:ascii="Times New Roman" w:hAnsi="Times New Roman" w:cs="Times New Roman"/>
        </w:rPr>
      </w:pPr>
      <w:r>
        <w:rPr>
          <w:rFonts w:hint="default" w:ascii="Times New Roman" w:hAnsi="Times New Roman" w:cs="Times New Roman"/>
        </w:rPr>
        <w:t>（5）主体工程水土保持措施不完善，需补充项目建设期间的临时防护措施及植被恢复措施。</w:t>
      </w:r>
    </w:p>
    <w:p w14:paraId="1F7CF25A">
      <w:pPr>
        <w:adjustRightInd w:val="0"/>
        <w:snapToGrid w:val="0"/>
        <w:ind w:firstLine="480"/>
        <w:rPr>
          <w:rFonts w:hint="default" w:ascii="Times New Roman" w:hAnsi="Times New Roman" w:cs="Times New Roman"/>
        </w:rPr>
      </w:pPr>
      <w:r>
        <w:rPr>
          <w:rFonts w:hint="default" w:ascii="Times New Roman" w:hAnsi="Times New Roman" w:cs="Times New Roman"/>
        </w:rPr>
        <w:t>（6）项目区绿化面积较小，建议建设单位充分利用场区空地进行绿化，提高项目区绿化率。</w:t>
      </w:r>
    </w:p>
    <w:p w14:paraId="6EB17E32">
      <w:pPr>
        <w:adjustRightInd w:val="0"/>
        <w:snapToGrid w:val="0"/>
        <w:ind w:firstLine="480"/>
        <w:rPr>
          <w:rFonts w:hint="default" w:ascii="Times New Roman" w:hAnsi="Times New Roman" w:cs="Times New Roman"/>
        </w:rPr>
      </w:pPr>
    </w:p>
    <w:p w14:paraId="0EFD664F">
      <w:pPr>
        <w:adjustRightInd w:val="0"/>
        <w:snapToGrid w:val="0"/>
        <w:ind w:firstLine="480"/>
        <w:rPr>
          <w:rFonts w:hint="default" w:ascii="Times New Roman" w:hAnsi="Times New Roman" w:cs="Times New Roman"/>
        </w:rPr>
        <w:sectPr>
          <w:headerReference r:id="rId18"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9E76670">
      <w:pPr>
        <w:pStyle w:val="2"/>
        <w:pageBreakBefore/>
        <w:jc w:val="center"/>
        <w:rPr>
          <w:rFonts w:hint="default" w:ascii="Times New Roman" w:hAnsi="Times New Roman" w:cs="Times New Roman"/>
        </w:rPr>
      </w:pPr>
      <w:r>
        <w:rPr>
          <w:rFonts w:hint="default" w:ascii="Times New Roman" w:hAnsi="Times New Roman" w:cs="Times New Roman"/>
        </w:rPr>
        <w:t xml:space="preserve"> </w:t>
      </w:r>
      <w:bookmarkStart w:id="58" w:name="_Toc165223577"/>
      <w:r>
        <w:rPr>
          <w:rFonts w:hint="default" w:ascii="Times New Roman" w:hAnsi="Times New Roman" w:cs="Times New Roman"/>
        </w:rPr>
        <w:t>水土流失分析与预测</w:t>
      </w:r>
      <w:bookmarkEnd w:id="58"/>
    </w:p>
    <w:p w14:paraId="4248B8E1">
      <w:pPr>
        <w:pStyle w:val="3"/>
        <w:rPr>
          <w:rFonts w:hint="default" w:ascii="Times New Roman" w:hAnsi="Times New Roman" w:cs="Times New Roman"/>
        </w:rPr>
      </w:pPr>
      <w:bookmarkStart w:id="59" w:name="_Toc165223578"/>
      <w:r>
        <w:rPr>
          <w:rFonts w:hint="default" w:ascii="Times New Roman" w:hAnsi="Times New Roman" w:cs="Times New Roman"/>
        </w:rPr>
        <w:t>水土流失现状</w:t>
      </w:r>
      <w:bookmarkEnd w:id="59"/>
    </w:p>
    <w:p w14:paraId="580B0005">
      <w:pPr>
        <w:pStyle w:val="4"/>
        <w:rPr>
          <w:rFonts w:hint="default" w:ascii="Times New Roman" w:hAnsi="Times New Roman" w:cs="Times New Roman"/>
        </w:rPr>
      </w:pPr>
      <w:r>
        <w:rPr>
          <w:rFonts w:hint="default" w:ascii="Times New Roman" w:hAnsi="Times New Roman" w:cs="Times New Roman"/>
        </w:rPr>
        <w:t>会泽县水土流失现状</w:t>
      </w:r>
    </w:p>
    <w:p w14:paraId="52775012">
      <w:pPr>
        <w:pStyle w:val="93"/>
        <w:rPr>
          <w:rFonts w:hint="default" w:ascii="Times New Roman" w:hAnsi="Times New Roman" w:cs="Times New Roman"/>
        </w:rPr>
      </w:pPr>
      <w:bookmarkStart w:id="60" w:name="_Hlk43299034"/>
      <w:r>
        <w:rPr>
          <w:rFonts w:hint="default" w:ascii="Times New Roman" w:hAnsi="Times New Roman" w:cs="Times New Roman"/>
        </w:rPr>
        <w:t>根据《云南省水土保持公报2022年》，会泽县土地总面积为6077km</w:t>
      </w:r>
      <w:r>
        <w:rPr>
          <w:rFonts w:hint="default" w:ascii="Times New Roman" w:hAnsi="Times New Roman" w:cs="Times New Roman"/>
          <w:vertAlign w:val="superscript"/>
        </w:rPr>
        <w:t>2</w:t>
      </w:r>
      <w:r>
        <w:rPr>
          <w:rFonts w:hint="default" w:ascii="Times New Roman" w:hAnsi="Times New Roman" w:cs="Times New Roman"/>
        </w:rPr>
        <w:t>，微度流失面积4364.06km</w:t>
      </w:r>
      <w:r>
        <w:rPr>
          <w:rFonts w:hint="default" w:ascii="Times New Roman" w:hAnsi="Times New Roman" w:cs="Times New Roman"/>
          <w:vertAlign w:val="superscript"/>
        </w:rPr>
        <w:t>2</w:t>
      </w:r>
      <w:r>
        <w:rPr>
          <w:rFonts w:hint="default" w:ascii="Times New Roman" w:hAnsi="Times New Roman" w:cs="Times New Roman"/>
        </w:rPr>
        <w:t>，占土地总面积的71.81%。水土流失面积1712.94km</w:t>
      </w:r>
      <w:r>
        <w:rPr>
          <w:rFonts w:hint="default" w:ascii="Times New Roman" w:hAnsi="Times New Roman" w:cs="Times New Roman"/>
          <w:vertAlign w:val="superscript"/>
        </w:rPr>
        <w:t>2</w:t>
      </w:r>
      <w:r>
        <w:rPr>
          <w:rFonts w:hint="default" w:ascii="Times New Roman" w:hAnsi="Times New Roman" w:cs="Times New Roman"/>
        </w:rPr>
        <w:t>，占土地总面积的28.19%，其中轻度流失面积926.16km</w:t>
      </w:r>
      <w:r>
        <w:rPr>
          <w:rFonts w:hint="default" w:ascii="Times New Roman" w:hAnsi="Times New Roman" w:cs="Times New Roman"/>
          <w:vertAlign w:val="superscript"/>
        </w:rPr>
        <w:t>2</w:t>
      </w:r>
      <w:r>
        <w:rPr>
          <w:rFonts w:hint="default" w:ascii="Times New Roman" w:hAnsi="Times New Roman" w:cs="Times New Roman"/>
        </w:rPr>
        <w:t>，占流失面积的54.06%；中度流失面积497.95km</w:t>
      </w:r>
      <w:r>
        <w:rPr>
          <w:rFonts w:hint="default" w:ascii="Times New Roman" w:hAnsi="Times New Roman" w:cs="Times New Roman"/>
          <w:vertAlign w:val="superscript"/>
        </w:rPr>
        <w:t>2</w:t>
      </w:r>
      <w:r>
        <w:rPr>
          <w:rFonts w:hint="default" w:ascii="Times New Roman" w:hAnsi="Times New Roman" w:cs="Times New Roman"/>
        </w:rPr>
        <w:t>，占流失面积29.07%；强烈流失面积187.17km</w:t>
      </w:r>
      <w:r>
        <w:rPr>
          <w:rFonts w:hint="default" w:ascii="Times New Roman" w:hAnsi="Times New Roman" w:cs="Times New Roman"/>
          <w:vertAlign w:val="superscript"/>
        </w:rPr>
        <w:t>2</w:t>
      </w:r>
      <w:r>
        <w:rPr>
          <w:rFonts w:hint="default" w:ascii="Times New Roman" w:hAnsi="Times New Roman" w:cs="Times New Roman"/>
        </w:rPr>
        <w:t>，占流失面积10.93%；极强烈流失面积77.22km</w:t>
      </w:r>
      <w:r>
        <w:rPr>
          <w:rFonts w:hint="default" w:ascii="Times New Roman" w:hAnsi="Times New Roman" w:cs="Times New Roman"/>
          <w:vertAlign w:val="superscript"/>
        </w:rPr>
        <w:t>2</w:t>
      </w:r>
      <w:r>
        <w:rPr>
          <w:rFonts w:hint="default" w:ascii="Times New Roman" w:hAnsi="Times New Roman" w:cs="Times New Roman"/>
        </w:rPr>
        <w:t>，占流失面积4.51%；剧烈流失面积24.44km</w:t>
      </w:r>
      <w:r>
        <w:rPr>
          <w:rFonts w:hint="default" w:ascii="Times New Roman" w:hAnsi="Times New Roman" w:cs="Times New Roman"/>
          <w:vertAlign w:val="superscript"/>
        </w:rPr>
        <w:t>2</w:t>
      </w:r>
      <w:r>
        <w:rPr>
          <w:rFonts w:hint="default" w:ascii="Times New Roman" w:hAnsi="Times New Roman" w:cs="Times New Roman"/>
        </w:rPr>
        <w:t>，占流失面积1.43%。会泽县土壤侵蚀强度分级面积统计表详见下表。</w:t>
      </w:r>
    </w:p>
    <w:p w14:paraId="00ED65D2">
      <w:pPr>
        <w:pStyle w:val="118"/>
        <w:ind w:firstLine="0" w:firstLineChars="0"/>
        <w:jc w:val="center"/>
        <w:rPr>
          <w:rFonts w:hint="default" w:ascii="Times New Roman" w:hAnsi="Times New Roman" w:cs="Times New Roman"/>
          <w:b/>
          <w:bCs/>
        </w:rPr>
      </w:pPr>
      <w:r>
        <w:rPr>
          <w:rFonts w:hint="default" w:ascii="Times New Roman" w:hAnsi="Times New Roman" w:cs="Times New Roman"/>
          <w:b/>
          <w:bCs/>
        </w:rPr>
        <w:t>表4-1    会泽县水土流失现状    单位km²</w:t>
      </w:r>
    </w:p>
    <w:tbl>
      <w:tblPr>
        <w:tblStyle w:val="27"/>
        <w:tblW w:w="95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8"/>
        <w:gridCol w:w="600"/>
        <w:gridCol w:w="693"/>
        <w:gridCol w:w="491"/>
        <w:gridCol w:w="693"/>
        <w:gridCol w:w="489"/>
        <w:gridCol w:w="582"/>
        <w:gridCol w:w="491"/>
        <w:gridCol w:w="582"/>
        <w:gridCol w:w="491"/>
        <w:gridCol w:w="582"/>
        <w:gridCol w:w="491"/>
        <w:gridCol w:w="701"/>
        <w:gridCol w:w="615"/>
        <w:gridCol w:w="701"/>
        <w:gridCol w:w="605"/>
      </w:tblGrid>
      <w:tr w14:paraId="3802D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vMerge w:val="restart"/>
            <w:tcBorders>
              <w:top w:val="single" w:color="auto" w:sz="12" w:space="0"/>
              <w:left w:val="single" w:color="auto" w:sz="12" w:space="0"/>
              <w:bottom w:val="single" w:color="auto" w:sz="6" w:space="0"/>
              <w:right w:val="single" w:color="auto" w:sz="6" w:space="0"/>
            </w:tcBorders>
            <w:tcMar>
              <w:top w:w="0" w:type="dxa"/>
              <w:left w:w="0" w:type="dxa"/>
              <w:bottom w:w="0" w:type="dxa"/>
              <w:right w:w="0" w:type="dxa"/>
            </w:tcMar>
            <w:vAlign w:val="center"/>
          </w:tcPr>
          <w:p w14:paraId="476BBAED">
            <w:pPr>
              <w:autoSpaceDE w:val="0"/>
              <w:ind w:firstLine="0" w:firstLineChars="0"/>
              <w:jc w:val="center"/>
              <w:rPr>
                <w:rFonts w:hint="default" w:ascii="Times New Roman" w:hAnsi="Times New Roman" w:cs="Times New Roman"/>
                <w:b/>
                <w:kern w:val="0"/>
                <w:sz w:val="18"/>
                <w:szCs w:val="18"/>
              </w:rPr>
            </w:pPr>
            <w:r>
              <w:rPr>
                <w:rFonts w:hint="default" w:ascii="Times New Roman" w:hAnsi="Times New Roman" w:cs="Times New Roman"/>
                <w:b/>
                <w:sz w:val="18"/>
                <w:szCs w:val="18"/>
              </w:rPr>
              <w:t>涉及县</w:t>
            </w:r>
          </w:p>
        </w:tc>
        <w:tc>
          <w:tcPr>
            <w:tcW w:w="600"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282B56AC">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土地总</w:t>
            </w:r>
          </w:p>
          <w:p w14:paraId="6DB428BF">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1184" w:type="dxa"/>
            <w:gridSpan w:val="2"/>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14:paraId="05D4FD58">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微度侵蚀</w:t>
            </w:r>
          </w:p>
        </w:tc>
        <w:tc>
          <w:tcPr>
            <w:tcW w:w="7023" w:type="dxa"/>
            <w:gridSpan w:val="12"/>
            <w:tcBorders>
              <w:top w:val="single" w:color="auto" w:sz="12" w:space="0"/>
              <w:left w:val="single" w:color="auto" w:sz="6" w:space="0"/>
              <w:bottom w:val="single" w:color="auto" w:sz="6" w:space="0"/>
              <w:right w:val="single" w:color="auto" w:sz="12" w:space="0"/>
            </w:tcBorders>
            <w:tcMar>
              <w:top w:w="0" w:type="dxa"/>
              <w:left w:w="0" w:type="dxa"/>
              <w:bottom w:w="0" w:type="dxa"/>
              <w:right w:w="0" w:type="dxa"/>
            </w:tcMar>
            <w:vAlign w:val="center"/>
          </w:tcPr>
          <w:p w14:paraId="45E6F35C">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水土流失面积：km</w:t>
            </w:r>
            <w:r>
              <w:rPr>
                <w:rFonts w:hint="default" w:ascii="Times New Roman" w:hAnsi="Times New Roman" w:cs="Times New Roman"/>
                <w:b/>
                <w:sz w:val="18"/>
                <w:szCs w:val="18"/>
                <w:vertAlign w:val="superscript"/>
              </w:rPr>
              <w:t>2</w:t>
            </w:r>
            <w:r>
              <w:rPr>
                <w:rFonts w:hint="default" w:ascii="Times New Roman" w:hAnsi="Times New Roman" w:cs="Times New Roman"/>
                <w:b/>
                <w:sz w:val="18"/>
                <w:szCs w:val="18"/>
              </w:rPr>
              <w:t>、比例：%</w:t>
            </w:r>
          </w:p>
        </w:tc>
      </w:tr>
      <w:tr w14:paraId="064F63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vMerge w:val="continue"/>
            <w:tcBorders>
              <w:top w:val="single" w:color="auto" w:sz="12" w:space="0"/>
              <w:left w:val="single" w:color="auto" w:sz="12" w:space="0"/>
              <w:bottom w:val="single" w:color="auto" w:sz="6" w:space="0"/>
              <w:right w:val="single" w:color="auto" w:sz="6" w:space="0"/>
            </w:tcBorders>
            <w:vAlign w:val="center"/>
          </w:tcPr>
          <w:p w14:paraId="55BA4D40">
            <w:pPr>
              <w:spacing w:line="240" w:lineRule="auto"/>
              <w:ind w:firstLine="0" w:firstLineChars="0"/>
              <w:jc w:val="left"/>
              <w:rPr>
                <w:rFonts w:hint="default" w:ascii="Times New Roman" w:hAnsi="Times New Roman" w:cs="Times New Roman"/>
                <w:b/>
                <w:kern w:val="0"/>
                <w:sz w:val="18"/>
                <w:szCs w:val="18"/>
              </w:rPr>
            </w:pPr>
          </w:p>
        </w:tc>
        <w:tc>
          <w:tcPr>
            <w:tcW w:w="600" w:type="dxa"/>
            <w:vMerge w:val="continue"/>
            <w:tcBorders>
              <w:top w:val="single" w:color="auto" w:sz="12" w:space="0"/>
              <w:left w:val="single" w:color="auto" w:sz="6" w:space="0"/>
              <w:bottom w:val="single" w:color="auto" w:sz="6" w:space="0"/>
              <w:right w:val="single" w:color="auto" w:sz="6" w:space="0"/>
            </w:tcBorders>
            <w:vAlign w:val="center"/>
          </w:tcPr>
          <w:p w14:paraId="497AEEE6">
            <w:pPr>
              <w:spacing w:line="240" w:lineRule="auto"/>
              <w:ind w:firstLine="0" w:firstLineChars="0"/>
              <w:jc w:val="left"/>
              <w:rPr>
                <w:rFonts w:hint="default" w:ascii="Times New Roman" w:hAnsi="Times New Roman" w:cs="Times New Roman"/>
                <w:b/>
                <w:sz w:val="18"/>
                <w:szCs w:val="18"/>
              </w:rPr>
            </w:pPr>
          </w:p>
        </w:tc>
        <w:tc>
          <w:tcPr>
            <w:tcW w:w="693" w:type="dxa"/>
            <w:vMerge w:val="restar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A9682A0">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491" w:type="dxa"/>
            <w:vMerge w:val="restart"/>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1BFE75F5">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c>
          <w:tcPr>
            <w:tcW w:w="1182" w:type="dxa"/>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3AD601EC">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合计</w:t>
            </w:r>
          </w:p>
        </w:tc>
        <w:tc>
          <w:tcPr>
            <w:tcW w:w="1073" w:type="dxa"/>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E7DD160">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轻度</w:t>
            </w:r>
          </w:p>
        </w:tc>
        <w:tc>
          <w:tcPr>
            <w:tcW w:w="1073" w:type="dxa"/>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F02EA59">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中度</w:t>
            </w:r>
          </w:p>
        </w:tc>
        <w:tc>
          <w:tcPr>
            <w:tcW w:w="1073" w:type="dxa"/>
            <w:gridSpan w:val="2"/>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45C5062">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强烈</w:t>
            </w:r>
          </w:p>
        </w:tc>
        <w:tc>
          <w:tcPr>
            <w:tcW w:w="1316" w:type="dxa"/>
            <w:gridSpan w:val="2"/>
            <w:tcBorders>
              <w:top w:val="single" w:color="auto" w:sz="6" w:space="0"/>
              <w:left w:val="single" w:color="auto" w:sz="6" w:space="0"/>
              <w:bottom w:val="single" w:color="auto" w:sz="6" w:space="0"/>
              <w:right w:val="single" w:color="auto" w:sz="6" w:space="0"/>
            </w:tcBorders>
            <w:vAlign w:val="center"/>
          </w:tcPr>
          <w:p w14:paraId="2E0DC78B">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极强烈</w:t>
            </w:r>
          </w:p>
        </w:tc>
        <w:tc>
          <w:tcPr>
            <w:tcW w:w="1306" w:type="dxa"/>
            <w:gridSpan w:val="2"/>
            <w:tcBorders>
              <w:top w:val="single" w:color="auto" w:sz="6" w:space="0"/>
              <w:left w:val="single" w:color="auto" w:sz="6" w:space="0"/>
              <w:bottom w:val="single" w:color="auto" w:sz="6" w:space="0"/>
              <w:right w:val="single" w:color="auto" w:sz="12" w:space="0"/>
            </w:tcBorders>
            <w:vAlign w:val="center"/>
          </w:tcPr>
          <w:p w14:paraId="000C1DB1">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剧烈</w:t>
            </w:r>
          </w:p>
        </w:tc>
      </w:tr>
      <w:tr w14:paraId="1D1DD4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vMerge w:val="continue"/>
            <w:tcBorders>
              <w:top w:val="single" w:color="auto" w:sz="12" w:space="0"/>
              <w:left w:val="single" w:color="auto" w:sz="12" w:space="0"/>
              <w:bottom w:val="single" w:color="auto" w:sz="6" w:space="0"/>
              <w:right w:val="single" w:color="auto" w:sz="6" w:space="0"/>
            </w:tcBorders>
            <w:vAlign w:val="center"/>
          </w:tcPr>
          <w:p w14:paraId="45DDDD2A">
            <w:pPr>
              <w:spacing w:line="240" w:lineRule="auto"/>
              <w:ind w:firstLine="0" w:firstLineChars="0"/>
              <w:jc w:val="left"/>
              <w:rPr>
                <w:rFonts w:hint="default" w:ascii="Times New Roman" w:hAnsi="Times New Roman" w:cs="Times New Roman"/>
                <w:b/>
                <w:kern w:val="0"/>
                <w:sz w:val="18"/>
                <w:szCs w:val="18"/>
              </w:rPr>
            </w:pPr>
          </w:p>
        </w:tc>
        <w:tc>
          <w:tcPr>
            <w:tcW w:w="600" w:type="dxa"/>
            <w:vMerge w:val="continue"/>
            <w:tcBorders>
              <w:top w:val="single" w:color="auto" w:sz="12" w:space="0"/>
              <w:left w:val="single" w:color="auto" w:sz="6" w:space="0"/>
              <w:bottom w:val="single" w:color="auto" w:sz="6" w:space="0"/>
              <w:right w:val="single" w:color="auto" w:sz="6" w:space="0"/>
            </w:tcBorders>
            <w:vAlign w:val="center"/>
          </w:tcPr>
          <w:p w14:paraId="7B8D77A5">
            <w:pPr>
              <w:spacing w:line="240" w:lineRule="auto"/>
              <w:ind w:firstLine="0" w:firstLineChars="0"/>
              <w:jc w:val="left"/>
              <w:rPr>
                <w:rFonts w:hint="default" w:ascii="Times New Roman" w:hAnsi="Times New Roman" w:cs="Times New Roman"/>
                <w:b/>
                <w:sz w:val="18"/>
                <w:szCs w:val="18"/>
              </w:rPr>
            </w:pPr>
          </w:p>
        </w:tc>
        <w:tc>
          <w:tcPr>
            <w:tcW w:w="693" w:type="dxa"/>
            <w:vMerge w:val="continue"/>
            <w:tcBorders>
              <w:top w:val="single" w:color="auto" w:sz="6" w:space="0"/>
              <w:left w:val="single" w:color="auto" w:sz="6" w:space="0"/>
              <w:bottom w:val="single" w:color="auto" w:sz="6" w:space="0"/>
              <w:right w:val="single" w:color="auto" w:sz="6" w:space="0"/>
            </w:tcBorders>
            <w:vAlign w:val="center"/>
          </w:tcPr>
          <w:p w14:paraId="412DC946">
            <w:pPr>
              <w:spacing w:line="240" w:lineRule="auto"/>
              <w:ind w:firstLine="0" w:firstLineChars="0"/>
              <w:jc w:val="left"/>
              <w:rPr>
                <w:rFonts w:hint="default" w:ascii="Times New Roman" w:hAnsi="Times New Roman" w:cs="Times New Roman"/>
                <w:b/>
                <w:sz w:val="18"/>
                <w:szCs w:val="18"/>
              </w:rPr>
            </w:pPr>
          </w:p>
        </w:tc>
        <w:tc>
          <w:tcPr>
            <w:tcW w:w="491" w:type="dxa"/>
            <w:vMerge w:val="continue"/>
            <w:tcBorders>
              <w:top w:val="single" w:color="auto" w:sz="6" w:space="0"/>
              <w:left w:val="single" w:color="auto" w:sz="6" w:space="0"/>
              <w:bottom w:val="single" w:color="auto" w:sz="6" w:space="0"/>
              <w:right w:val="single" w:color="auto" w:sz="6" w:space="0"/>
            </w:tcBorders>
            <w:vAlign w:val="center"/>
          </w:tcPr>
          <w:p w14:paraId="2BB54BA6">
            <w:pPr>
              <w:spacing w:line="240" w:lineRule="auto"/>
              <w:ind w:firstLine="0" w:firstLineChars="0"/>
              <w:jc w:val="left"/>
              <w:rPr>
                <w:rFonts w:hint="default" w:ascii="Times New Roman" w:hAnsi="Times New Roman" w:cs="Times New Roman"/>
                <w:b/>
                <w:sz w:val="18"/>
                <w:szCs w:val="18"/>
              </w:rPr>
            </w:pPr>
          </w:p>
        </w:tc>
        <w:tc>
          <w:tcPr>
            <w:tcW w:w="6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6C8CB8D">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489"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4643455A">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c>
          <w:tcPr>
            <w:tcW w:w="58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759B3EF">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491"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5512908D">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c>
          <w:tcPr>
            <w:tcW w:w="58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6F2695A8">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491"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2159AD56">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c>
          <w:tcPr>
            <w:tcW w:w="58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00AA5FA5">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491"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14:paraId="797EBFC2">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c>
          <w:tcPr>
            <w:tcW w:w="701" w:type="dxa"/>
            <w:tcBorders>
              <w:top w:val="single" w:color="auto" w:sz="6" w:space="0"/>
              <w:left w:val="single" w:color="auto" w:sz="6" w:space="0"/>
              <w:bottom w:val="single" w:color="auto" w:sz="6" w:space="0"/>
              <w:right w:val="single" w:color="auto" w:sz="6" w:space="0"/>
            </w:tcBorders>
            <w:vAlign w:val="center"/>
          </w:tcPr>
          <w:p w14:paraId="7C53B766">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615" w:type="dxa"/>
            <w:tcBorders>
              <w:top w:val="single" w:color="auto" w:sz="6" w:space="0"/>
              <w:left w:val="single" w:color="auto" w:sz="6" w:space="0"/>
              <w:bottom w:val="single" w:color="auto" w:sz="6" w:space="0"/>
              <w:right w:val="single" w:color="auto" w:sz="6" w:space="0"/>
            </w:tcBorders>
            <w:vAlign w:val="center"/>
          </w:tcPr>
          <w:p w14:paraId="2F1D4C5D">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c>
          <w:tcPr>
            <w:tcW w:w="701" w:type="dxa"/>
            <w:tcBorders>
              <w:top w:val="single" w:color="auto" w:sz="6" w:space="0"/>
              <w:left w:val="single" w:color="auto" w:sz="6" w:space="0"/>
              <w:bottom w:val="single" w:color="auto" w:sz="6" w:space="0"/>
              <w:right w:val="single" w:color="auto" w:sz="6" w:space="0"/>
            </w:tcBorders>
            <w:vAlign w:val="center"/>
          </w:tcPr>
          <w:p w14:paraId="1745D798">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605" w:type="dxa"/>
            <w:tcBorders>
              <w:top w:val="single" w:color="auto" w:sz="6" w:space="0"/>
              <w:left w:val="single" w:color="auto" w:sz="6" w:space="0"/>
              <w:bottom w:val="single" w:color="auto" w:sz="6" w:space="0"/>
              <w:right w:val="single" w:color="auto" w:sz="12" w:space="0"/>
            </w:tcBorders>
            <w:vAlign w:val="center"/>
          </w:tcPr>
          <w:p w14:paraId="0EBF11D0">
            <w:pPr>
              <w:autoSpaceDE w:val="0"/>
              <w:ind w:firstLine="0" w:firstLineChars="0"/>
              <w:jc w:val="center"/>
              <w:rPr>
                <w:rFonts w:hint="default" w:ascii="Times New Roman" w:hAnsi="Times New Roman" w:cs="Times New Roman"/>
                <w:b/>
                <w:sz w:val="18"/>
                <w:szCs w:val="18"/>
              </w:rPr>
            </w:pPr>
            <w:r>
              <w:rPr>
                <w:rFonts w:hint="default" w:ascii="Times New Roman" w:hAnsi="Times New Roman" w:cs="Times New Roman"/>
                <w:b/>
                <w:sz w:val="18"/>
                <w:szCs w:val="18"/>
              </w:rPr>
              <w:t>比例</w:t>
            </w:r>
          </w:p>
        </w:tc>
      </w:tr>
      <w:tr w14:paraId="1353CF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tcBorders>
              <w:top w:val="single" w:color="auto" w:sz="6" w:space="0"/>
              <w:left w:val="single" w:color="auto" w:sz="12" w:space="0"/>
              <w:bottom w:val="single" w:color="auto" w:sz="12" w:space="0"/>
              <w:right w:val="single" w:color="auto" w:sz="6" w:space="0"/>
            </w:tcBorders>
            <w:tcMar>
              <w:top w:w="0" w:type="dxa"/>
              <w:left w:w="0" w:type="dxa"/>
              <w:bottom w:w="0" w:type="dxa"/>
              <w:right w:w="0" w:type="dxa"/>
            </w:tcMar>
            <w:vAlign w:val="center"/>
          </w:tcPr>
          <w:p w14:paraId="02792C00">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会泽县</w:t>
            </w:r>
          </w:p>
        </w:tc>
        <w:tc>
          <w:tcPr>
            <w:tcW w:w="600"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6F6A5DA0">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6077</w:t>
            </w:r>
          </w:p>
        </w:tc>
        <w:tc>
          <w:tcPr>
            <w:tcW w:w="693"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1558D6A3">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4364.06</w:t>
            </w:r>
          </w:p>
        </w:tc>
        <w:tc>
          <w:tcPr>
            <w:tcW w:w="491"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7837DB05">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71.81</w:t>
            </w:r>
          </w:p>
        </w:tc>
        <w:tc>
          <w:tcPr>
            <w:tcW w:w="693"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0867292E">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1712.94</w:t>
            </w:r>
          </w:p>
        </w:tc>
        <w:tc>
          <w:tcPr>
            <w:tcW w:w="489"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07EF9BB9">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28.19</w:t>
            </w:r>
          </w:p>
        </w:tc>
        <w:tc>
          <w:tcPr>
            <w:tcW w:w="582"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629C2C2F">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926.16</w:t>
            </w:r>
          </w:p>
        </w:tc>
        <w:tc>
          <w:tcPr>
            <w:tcW w:w="491"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2393A4AB">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54.06</w:t>
            </w:r>
          </w:p>
        </w:tc>
        <w:tc>
          <w:tcPr>
            <w:tcW w:w="582"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6046F21D">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497.95</w:t>
            </w:r>
          </w:p>
        </w:tc>
        <w:tc>
          <w:tcPr>
            <w:tcW w:w="491"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65BF1537">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29.07</w:t>
            </w:r>
          </w:p>
        </w:tc>
        <w:tc>
          <w:tcPr>
            <w:tcW w:w="582"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3546B77E">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187.17</w:t>
            </w:r>
          </w:p>
        </w:tc>
        <w:tc>
          <w:tcPr>
            <w:tcW w:w="491" w:type="dxa"/>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14:paraId="3EC6731B">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10.93</w:t>
            </w:r>
          </w:p>
        </w:tc>
        <w:tc>
          <w:tcPr>
            <w:tcW w:w="701" w:type="dxa"/>
            <w:tcBorders>
              <w:top w:val="single" w:color="auto" w:sz="6" w:space="0"/>
              <w:left w:val="single" w:color="auto" w:sz="6" w:space="0"/>
              <w:bottom w:val="single" w:color="auto" w:sz="12" w:space="0"/>
              <w:right w:val="single" w:color="auto" w:sz="6" w:space="0"/>
            </w:tcBorders>
            <w:vAlign w:val="center"/>
          </w:tcPr>
          <w:p w14:paraId="724E7E13">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77.22</w:t>
            </w:r>
          </w:p>
        </w:tc>
        <w:tc>
          <w:tcPr>
            <w:tcW w:w="615" w:type="dxa"/>
            <w:tcBorders>
              <w:top w:val="single" w:color="auto" w:sz="6" w:space="0"/>
              <w:left w:val="single" w:color="auto" w:sz="6" w:space="0"/>
              <w:bottom w:val="single" w:color="auto" w:sz="12" w:space="0"/>
              <w:right w:val="single" w:color="auto" w:sz="6" w:space="0"/>
            </w:tcBorders>
            <w:vAlign w:val="center"/>
          </w:tcPr>
          <w:p w14:paraId="7E4FB98C">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4.51</w:t>
            </w:r>
          </w:p>
        </w:tc>
        <w:tc>
          <w:tcPr>
            <w:tcW w:w="701" w:type="dxa"/>
            <w:tcBorders>
              <w:top w:val="single" w:color="auto" w:sz="6" w:space="0"/>
              <w:left w:val="single" w:color="auto" w:sz="6" w:space="0"/>
              <w:bottom w:val="single" w:color="auto" w:sz="12" w:space="0"/>
              <w:right w:val="single" w:color="auto" w:sz="6" w:space="0"/>
            </w:tcBorders>
            <w:vAlign w:val="center"/>
          </w:tcPr>
          <w:p w14:paraId="42641B6B">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24.44</w:t>
            </w:r>
          </w:p>
        </w:tc>
        <w:tc>
          <w:tcPr>
            <w:tcW w:w="605" w:type="dxa"/>
            <w:tcBorders>
              <w:top w:val="single" w:color="auto" w:sz="6" w:space="0"/>
              <w:left w:val="single" w:color="auto" w:sz="6" w:space="0"/>
              <w:bottom w:val="single" w:color="auto" w:sz="12" w:space="0"/>
              <w:right w:val="single" w:color="auto" w:sz="12" w:space="0"/>
            </w:tcBorders>
            <w:vAlign w:val="center"/>
          </w:tcPr>
          <w:p w14:paraId="39A1A345">
            <w:pPr>
              <w:autoSpaceDE w:val="0"/>
              <w:ind w:firstLine="0" w:firstLineChars="0"/>
              <w:jc w:val="center"/>
              <w:rPr>
                <w:rFonts w:hint="default" w:ascii="Times New Roman" w:hAnsi="Times New Roman" w:cs="Times New Roman"/>
                <w:bCs/>
                <w:sz w:val="18"/>
                <w:szCs w:val="18"/>
              </w:rPr>
            </w:pPr>
            <w:r>
              <w:rPr>
                <w:rFonts w:hint="default" w:ascii="Times New Roman" w:hAnsi="Times New Roman" w:cs="Times New Roman"/>
                <w:bCs/>
                <w:sz w:val="18"/>
                <w:szCs w:val="18"/>
              </w:rPr>
              <w:t>1.43</w:t>
            </w:r>
          </w:p>
        </w:tc>
      </w:tr>
      <w:bookmarkEnd w:id="60"/>
    </w:tbl>
    <w:p w14:paraId="75C3092C">
      <w:pPr>
        <w:pStyle w:val="4"/>
        <w:rPr>
          <w:rFonts w:hint="default" w:ascii="Times New Roman" w:hAnsi="Times New Roman" w:cs="Times New Roman"/>
        </w:rPr>
      </w:pPr>
      <w:r>
        <w:rPr>
          <w:rFonts w:hint="default" w:ascii="Times New Roman" w:hAnsi="Times New Roman" w:cs="Times New Roman"/>
        </w:rPr>
        <w:t>项目区水土流失现状</w:t>
      </w:r>
    </w:p>
    <w:p w14:paraId="6684F000">
      <w:pPr>
        <w:ind w:firstLine="480"/>
        <w:rPr>
          <w:rFonts w:hint="default" w:ascii="Times New Roman" w:hAnsi="Times New Roman" w:cs="Times New Roman"/>
        </w:rPr>
      </w:pPr>
      <w:r>
        <w:rPr>
          <w:rFonts w:hint="default" w:ascii="Times New Roman" w:hAnsi="Times New Roman" w:cs="Times New Roman"/>
        </w:rPr>
        <w:t>根据水利部办公厅印发《全国水土保持规划国家级水土流失重点预防区和重点治理区复核划分成果》的通知（办水保〔2013〕188号）、《云南省水利厅关于划分省级水土流失重点预防区和重点治理区的公告》（云南省水利厅公告第49号）和《曲靖市水土保持规划》（2019-2030年），项目所在地会泽县</w:t>
      </w:r>
      <w:r>
        <w:rPr>
          <w:rFonts w:hint="eastAsia" w:cs="Times New Roman"/>
          <w:lang w:val="en-US" w:eastAsia="zh-CN"/>
        </w:rPr>
        <w:t>待补镇属于</w:t>
      </w:r>
      <w:r>
        <w:rPr>
          <w:rFonts w:hint="default" w:ascii="Times New Roman" w:hAnsi="Times New Roman" w:cs="Times New Roman"/>
          <w:lang w:val="en-US" w:eastAsia="zh-CN"/>
        </w:rPr>
        <w:t>金沙江下游国家级水土流失重点治理区</w:t>
      </w:r>
      <w:r>
        <w:rPr>
          <w:rFonts w:hint="eastAsia" w:cs="Times New Roman"/>
          <w:lang w:eastAsia="zh-CN"/>
        </w:rPr>
        <w:t>，</w:t>
      </w:r>
      <w:r>
        <w:rPr>
          <w:rFonts w:hint="default" w:ascii="Times New Roman" w:hAnsi="Times New Roman" w:cs="Times New Roman"/>
        </w:rPr>
        <w:t>依据《生产建设项目水土流失防治标准》（GB/T50434-2018）相关规定，水土流失防治标准按西南岩溶区建设类一级标准执行。</w:t>
      </w:r>
    </w:p>
    <w:p w14:paraId="41314F83">
      <w:pPr>
        <w:pStyle w:val="93"/>
        <w:rPr>
          <w:rFonts w:hint="default" w:ascii="Times New Roman" w:hAnsi="Times New Roman" w:cs="Times New Roman"/>
        </w:rPr>
      </w:pPr>
      <w:r>
        <w:rPr>
          <w:rFonts w:hint="default" w:ascii="Times New Roman" w:hAnsi="Times New Roman" w:cs="Times New Roman"/>
        </w:rPr>
        <w:t>据《土壤侵蚀分类分级标准》（SL190-2007），项目区属以水力侵蚀为主的西南岩溶区，土壤容许流失量为500t/km</w:t>
      </w:r>
      <w:r>
        <w:rPr>
          <w:rFonts w:hint="default" w:ascii="Times New Roman" w:hAnsi="Times New Roman" w:cs="Times New Roman"/>
          <w:vertAlign w:val="superscript"/>
        </w:rPr>
        <w:t>2</w:t>
      </w:r>
      <w:r>
        <w:rPr>
          <w:rFonts w:hint="default" w:ascii="Times New Roman" w:hAnsi="Times New Roman" w:cs="Times New Roman"/>
        </w:rPr>
        <w:t>·a。</w:t>
      </w:r>
    </w:p>
    <w:p w14:paraId="53F6CAD6">
      <w:pPr>
        <w:pStyle w:val="93"/>
        <w:rPr>
          <w:rFonts w:hint="eastAsia" w:ascii="Times New Roman" w:hAnsi="Times New Roman" w:eastAsia="仿宋_GB2312" w:cs="Times New Roman"/>
          <w:lang w:val="en-US" w:eastAsia="zh-CN"/>
        </w:rPr>
      </w:pPr>
      <w:r>
        <w:rPr>
          <w:rFonts w:hint="default" w:ascii="Times New Roman" w:hAnsi="Times New Roman" w:cs="Times New Roman"/>
        </w:rPr>
        <w:t>根据现场调查结合查阅资料，项目区占地类型为建设用地，原地貌为</w:t>
      </w:r>
      <w:r>
        <w:rPr>
          <w:rFonts w:hint="eastAsia" w:cs="Times New Roman"/>
          <w:lang w:val="en-US" w:eastAsia="zh-CN"/>
        </w:rPr>
        <w:t>草地</w:t>
      </w:r>
      <w:r>
        <w:rPr>
          <w:rFonts w:hint="default" w:ascii="Times New Roman" w:hAnsi="Times New Roman" w:cs="Times New Roman"/>
        </w:rPr>
        <w:t>、构筑物、硬化地表，根据现场踏勘，方案介入是2024年4月，</w:t>
      </w:r>
      <w:r>
        <w:rPr>
          <w:rFonts w:hint="eastAsia" w:cs="Times New Roman"/>
          <w:lang w:val="en-US" w:eastAsia="zh-CN"/>
        </w:rPr>
        <w:t>方案介入时，地块一已完成西南侧原建筑拆除，还未对场地进行清表及场平工作，未扰动部分场地为草坪覆盖，建构筑物、</w:t>
      </w:r>
      <w:r>
        <w:rPr>
          <w:rFonts w:hint="default" w:ascii="Times New Roman" w:hAnsi="Times New Roman" w:cs="Times New Roman"/>
        </w:rPr>
        <w:t>场地硬化和绿化还未实施</w:t>
      </w:r>
      <w:r>
        <w:rPr>
          <w:rFonts w:hint="eastAsia" w:cs="Times New Roman"/>
          <w:lang w:val="en-US" w:eastAsia="zh-CN"/>
        </w:rPr>
        <w:t>，现状</w:t>
      </w:r>
      <w:r>
        <w:rPr>
          <w:rFonts w:hint="default" w:ascii="Times New Roman" w:hAnsi="Times New Roman" w:cs="Times New Roman"/>
        </w:rPr>
        <w:t>水土流失总体呈</w:t>
      </w:r>
      <w:r>
        <w:rPr>
          <w:rFonts w:hint="eastAsia" w:cs="Times New Roman"/>
          <w:lang w:val="en-US" w:eastAsia="zh-CN"/>
        </w:rPr>
        <w:t>微</w:t>
      </w:r>
      <w:r>
        <w:rPr>
          <w:rFonts w:hint="default" w:ascii="Times New Roman" w:hAnsi="Times New Roman" w:cs="Times New Roman"/>
        </w:rPr>
        <w:t>度；</w:t>
      </w:r>
      <w:r>
        <w:rPr>
          <w:rFonts w:hint="eastAsia" w:cs="Times New Roman"/>
          <w:lang w:val="en-US" w:eastAsia="zh-CN"/>
        </w:rPr>
        <w:t>方案介入时，地块二已完成场平工作，目前正在进行建构筑物基础施工，</w:t>
      </w:r>
      <w:r>
        <w:rPr>
          <w:rFonts w:hint="default" w:ascii="Times New Roman" w:hAnsi="Times New Roman" w:cs="Times New Roman"/>
        </w:rPr>
        <w:t>场地硬化和绿化还未实施</w:t>
      </w:r>
      <w:r>
        <w:rPr>
          <w:rFonts w:hint="eastAsia" w:cs="Times New Roman"/>
          <w:lang w:val="en-US" w:eastAsia="zh-CN"/>
        </w:rPr>
        <w:t>。项目区内施工场地及临时堆土裸露，未实施水保措施。</w:t>
      </w:r>
      <w:r>
        <w:rPr>
          <w:rFonts w:hint="default" w:ascii="Times New Roman" w:hAnsi="Times New Roman" w:cs="Times New Roman"/>
        </w:rPr>
        <w:t>水土流失总体呈强度</w:t>
      </w:r>
      <w:r>
        <w:rPr>
          <w:rFonts w:hint="eastAsia" w:cs="Times New Roman"/>
          <w:lang w:eastAsia="zh-CN"/>
        </w:rPr>
        <w:t>。</w:t>
      </w:r>
    </w:p>
    <w:p w14:paraId="266EDEA0">
      <w:pPr>
        <w:pStyle w:val="3"/>
        <w:rPr>
          <w:rFonts w:hint="default" w:ascii="Times New Roman" w:hAnsi="Times New Roman" w:cs="Times New Roman"/>
        </w:rPr>
      </w:pPr>
      <w:bookmarkStart w:id="61" w:name="_Toc165223579"/>
      <w:r>
        <w:rPr>
          <w:rFonts w:hint="default" w:ascii="Times New Roman" w:hAnsi="Times New Roman" w:cs="Times New Roman"/>
        </w:rPr>
        <w:t>水土流失影响因素分析</w:t>
      </w:r>
      <w:bookmarkEnd w:id="61"/>
    </w:p>
    <w:p w14:paraId="64685E2F">
      <w:pPr>
        <w:pStyle w:val="4"/>
        <w:rPr>
          <w:rFonts w:hint="default" w:ascii="Times New Roman" w:hAnsi="Times New Roman" w:cs="Times New Roman"/>
        </w:rPr>
      </w:pPr>
      <w:r>
        <w:rPr>
          <w:rFonts w:hint="default" w:ascii="Times New Roman" w:hAnsi="Times New Roman" w:cs="Times New Roman"/>
        </w:rPr>
        <w:t>扰动地表面积分析</w:t>
      </w:r>
    </w:p>
    <w:p w14:paraId="703EFC2C">
      <w:pPr>
        <w:ind w:firstLine="480"/>
        <w:rPr>
          <w:rFonts w:hint="default" w:ascii="Times New Roman" w:hAnsi="Times New Roman" w:cs="Times New Roman"/>
        </w:rPr>
      </w:pPr>
      <w:r>
        <w:rPr>
          <w:rFonts w:hint="default" w:ascii="Times New Roman" w:hAnsi="Times New Roman" w:cs="Times New Roman"/>
        </w:rPr>
        <w:t>工程建设扰动原地貌、损坏土地和植被情况，根据主体工程设计资料，结合实地查勘和图面量测、数据统计相结合的方法进行测算。经统计，本项目扰动地表面积为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，具体情况详见表4-2。</w:t>
      </w:r>
    </w:p>
    <w:p w14:paraId="6F0FB6D3">
      <w:pPr>
        <w:pStyle w:val="83"/>
        <w:jc w:val="left"/>
        <w:rPr>
          <w:rFonts w:hint="default" w:ascii="Times New Roman" w:hAnsi="Times New Roman" w:eastAsia="仿宋_GB2312" w:cs="Times New Roman"/>
          <w:b/>
          <w:bCs w:val="0"/>
          <w:kern w:val="0"/>
          <w:szCs w:val="24"/>
          <w:lang w:bidi="en-US"/>
        </w:rPr>
      </w:pPr>
      <w:r>
        <w:rPr>
          <w:rFonts w:hint="default" w:ascii="Times New Roman" w:hAnsi="Times New Roman" w:eastAsia="仿宋_GB2312" w:cs="Times New Roman"/>
          <w:b/>
          <w:bCs w:val="0"/>
          <w:kern w:val="0"/>
          <w:szCs w:val="24"/>
          <w:lang w:bidi="en-US"/>
        </w:rPr>
        <w:t>表4-2                      扰动原地貌、损坏土地面积统计表</w:t>
      </w:r>
    </w:p>
    <w:tbl>
      <w:tblPr>
        <w:tblStyle w:val="27"/>
        <w:tblW w:w="9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64"/>
        <w:gridCol w:w="2018"/>
        <w:gridCol w:w="2537"/>
        <w:gridCol w:w="1815"/>
        <w:gridCol w:w="1546"/>
      </w:tblGrid>
      <w:tr w14:paraId="70028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restart"/>
            <w:tcBorders>
              <w:top w:val="single" w:color="000000" w:sz="12"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39C4E6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w:t>
            </w:r>
          </w:p>
        </w:tc>
        <w:tc>
          <w:tcPr>
            <w:tcW w:w="2018" w:type="dxa"/>
            <w:vMerge w:val="restart"/>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E36C53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项目分区</w:t>
            </w:r>
          </w:p>
        </w:tc>
        <w:tc>
          <w:tcPr>
            <w:tcW w:w="2537" w:type="dxa"/>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B560FE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占地类型及数量（hm</w:t>
            </w:r>
            <w:r>
              <w:rPr>
                <w:rFonts w:hint="eastAsia" w:ascii="Times New Roman" w:hAnsi="Times New Roman" w:cs="Times New Roman"/>
                <w:color w:val="000000"/>
                <w:kern w:val="0"/>
                <w:sz w:val="21"/>
                <w:szCs w:val="21"/>
                <w:vertAlign w:val="superscript"/>
                <w:lang w:val="en-US" w:eastAsia="zh-CN"/>
              </w:rPr>
              <w:t>2</w:t>
            </w:r>
            <w:r>
              <w:rPr>
                <w:rFonts w:hint="eastAsia" w:ascii="Times New Roman" w:hAnsi="Times New Roman" w:cs="Times New Roman"/>
                <w:color w:val="000000"/>
                <w:kern w:val="0"/>
                <w:sz w:val="21"/>
                <w:szCs w:val="21"/>
                <w:lang w:val="en-US" w:eastAsia="zh-CN"/>
              </w:rPr>
              <w:t>）</w:t>
            </w:r>
          </w:p>
        </w:tc>
        <w:tc>
          <w:tcPr>
            <w:tcW w:w="1815" w:type="dxa"/>
            <w:vMerge w:val="restart"/>
            <w:tcBorders>
              <w:top w:val="single" w:color="000000" w:sz="12"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326277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占地面积（hm</w:t>
            </w:r>
            <w:r>
              <w:rPr>
                <w:rFonts w:hint="eastAsia" w:ascii="Times New Roman" w:hAnsi="Times New Roman" w:cs="Times New Roman"/>
                <w:color w:val="000000"/>
                <w:kern w:val="0"/>
                <w:sz w:val="21"/>
                <w:szCs w:val="21"/>
                <w:vertAlign w:val="superscript"/>
                <w:lang w:val="en-US" w:eastAsia="zh-CN"/>
              </w:rPr>
              <w:t>2</w:t>
            </w:r>
            <w:r>
              <w:rPr>
                <w:rFonts w:hint="eastAsia" w:ascii="Times New Roman" w:hAnsi="Times New Roman" w:cs="Times New Roman"/>
                <w:color w:val="000000"/>
                <w:kern w:val="0"/>
                <w:sz w:val="21"/>
                <w:szCs w:val="21"/>
                <w:lang w:val="en-US" w:eastAsia="zh-CN"/>
              </w:rPr>
              <w:t>）</w:t>
            </w:r>
          </w:p>
        </w:tc>
        <w:tc>
          <w:tcPr>
            <w:tcW w:w="1546" w:type="dxa"/>
            <w:vMerge w:val="restart"/>
            <w:tcBorders>
              <w:top w:val="single" w:color="000000" w:sz="12"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C956A2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占地性质</w:t>
            </w:r>
          </w:p>
        </w:tc>
      </w:tr>
      <w:tr w14:paraId="4815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10E9646">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2B1DE2F">
            <w:pPr>
              <w:spacing w:line="240" w:lineRule="auto"/>
              <w:ind w:firstLine="0" w:firstLineChars="0"/>
              <w:jc w:val="center"/>
              <w:rPr>
                <w:rFonts w:hint="eastAsia" w:ascii="Times New Roman" w:hAnsi="Times New Roman" w:cs="Times New Roman"/>
                <w:color w:val="000000"/>
                <w:kern w:val="0"/>
                <w:sz w:val="21"/>
                <w:szCs w:val="21"/>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EDCE22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建设用地</w:t>
            </w: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6016F436">
            <w:pPr>
              <w:spacing w:line="240" w:lineRule="auto"/>
              <w:ind w:firstLine="0" w:firstLineChars="0"/>
              <w:jc w:val="center"/>
              <w:rPr>
                <w:rFonts w:hint="eastAsia" w:ascii="Times New Roman" w:hAnsi="Times New Roman" w:cs="Times New Roman"/>
                <w:color w:val="000000"/>
                <w:kern w:val="0"/>
                <w:sz w:val="21"/>
                <w:szCs w:val="21"/>
              </w:rPr>
            </w:pPr>
          </w:p>
        </w:tc>
        <w:tc>
          <w:tcPr>
            <w:tcW w:w="1546" w:type="dxa"/>
            <w:vMerge w:val="continue"/>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C8925A5">
            <w:pPr>
              <w:spacing w:line="240" w:lineRule="auto"/>
              <w:ind w:firstLine="0" w:firstLineChars="0"/>
              <w:jc w:val="center"/>
              <w:rPr>
                <w:rFonts w:hint="eastAsia" w:ascii="Times New Roman" w:hAnsi="Times New Roman" w:cs="Times New Roman"/>
                <w:color w:val="000000"/>
                <w:kern w:val="0"/>
                <w:sz w:val="21"/>
                <w:szCs w:val="21"/>
              </w:rPr>
            </w:pPr>
          </w:p>
        </w:tc>
      </w:tr>
      <w:tr w14:paraId="33FD1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8343AA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地块一</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99FDCB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FC13DE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0.30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3BF8C8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0.30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A575B2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7B38D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2636556">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927BE26">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178407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507090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0.21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EAA229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0A61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04F7C10">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6656CCB">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F4AB72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0.09</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D7251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0.09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7A115D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79BA6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124BE3F">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A2D018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79FD5C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0.60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F3CE5F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0.60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CC8DCBF">
            <w:pPr>
              <w:spacing w:line="240" w:lineRule="auto"/>
              <w:ind w:firstLine="0" w:firstLineChars="0"/>
              <w:jc w:val="center"/>
              <w:rPr>
                <w:rFonts w:hint="eastAsia" w:ascii="Times New Roman" w:hAnsi="Times New Roman" w:cs="Times New Roman"/>
                <w:color w:val="000000"/>
                <w:kern w:val="0"/>
                <w:sz w:val="21"/>
                <w:szCs w:val="21"/>
              </w:rPr>
            </w:pPr>
          </w:p>
        </w:tc>
      </w:tr>
      <w:tr w14:paraId="35FFF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2E8483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地块二</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09E808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931737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0.57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59B13F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0.57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70DB48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06F60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4E01D73">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F6AB1EB">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FD7DA3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CB8410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0.20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FA918F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00191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41D35C6">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37F860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D0E162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0.14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0F479A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0.14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7E4C165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3B41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1EFDF2B">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C6D7CF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C78D3E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0.91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BB4C52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0.91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1C1ADD7">
            <w:pPr>
              <w:spacing w:line="240" w:lineRule="auto"/>
              <w:ind w:firstLine="0" w:firstLineChars="0"/>
              <w:jc w:val="center"/>
              <w:rPr>
                <w:rFonts w:hint="eastAsia" w:ascii="Times New Roman" w:hAnsi="Times New Roman" w:cs="Times New Roman"/>
                <w:color w:val="000000"/>
                <w:kern w:val="0"/>
                <w:sz w:val="21"/>
                <w:szCs w:val="21"/>
              </w:rPr>
            </w:pPr>
          </w:p>
        </w:tc>
      </w:tr>
      <w:tr w14:paraId="7844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jc w:val="center"/>
        </w:trPr>
        <w:tc>
          <w:tcPr>
            <w:tcW w:w="3482" w:type="dxa"/>
            <w:gridSpan w:val="2"/>
            <w:tcBorders>
              <w:top w:val="single" w:color="000000" w:sz="4" w:space="0"/>
              <w:left w:val="single" w:color="000000" w:sz="12"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02FF307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合计</w:t>
            </w:r>
          </w:p>
        </w:tc>
        <w:tc>
          <w:tcPr>
            <w:tcW w:w="2537"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09DAC28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1.51</w:t>
            </w:r>
          </w:p>
        </w:tc>
        <w:tc>
          <w:tcPr>
            <w:tcW w:w="1815"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68FEE9B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1.51</w:t>
            </w:r>
          </w:p>
        </w:tc>
        <w:tc>
          <w:tcPr>
            <w:tcW w:w="1546" w:type="dxa"/>
            <w:tcBorders>
              <w:top w:val="single" w:color="000000" w:sz="4" w:space="0"/>
              <w:left w:val="single" w:color="000000" w:sz="4" w:space="0"/>
              <w:bottom w:val="single" w:color="000000" w:sz="12" w:space="0"/>
              <w:right w:val="single" w:color="000000" w:sz="12" w:space="0"/>
            </w:tcBorders>
            <w:shd w:val="clear" w:color="auto" w:fill="auto"/>
            <w:noWrap/>
            <w:tcMar>
              <w:top w:w="0" w:type="dxa"/>
              <w:left w:w="0" w:type="dxa"/>
              <w:bottom w:w="0" w:type="dxa"/>
              <w:right w:w="0" w:type="dxa"/>
            </w:tcMar>
            <w:vAlign w:val="center"/>
          </w:tcPr>
          <w:p w14:paraId="4EDBD890">
            <w:pPr>
              <w:spacing w:line="240" w:lineRule="auto"/>
              <w:ind w:firstLine="0" w:firstLineChars="0"/>
              <w:jc w:val="center"/>
              <w:rPr>
                <w:rFonts w:hint="eastAsia" w:ascii="Times New Roman" w:hAnsi="Times New Roman" w:cs="Times New Roman"/>
                <w:color w:val="000000"/>
                <w:kern w:val="0"/>
                <w:sz w:val="21"/>
                <w:szCs w:val="21"/>
              </w:rPr>
            </w:pPr>
          </w:p>
        </w:tc>
      </w:tr>
    </w:tbl>
    <w:p w14:paraId="52A1DDCF">
      <w:pPr>
        <w:pStyle w:val="4"/>
        <w:rPr>
          <w:rFonts w:hint="default" w:ascii="Times New Roman" w:hAnsi="Times New Roman" w:cs="Times New Roman"/>
        </w:rPr>
      </w:pPr>
      <w:r>
        <w:rPr>
          <w:rFonts w:hint="default" w:ascii="Times New Roman" w:hAnsi="Times New Roman" w:cs="Times New Roman"/>
        </w:rPr>
        <w:t>损毁植被面积分析</w:t>
      </w:r>
    </w:p>
    <w:p w14:paraId="51B35104">
      <w:pPr>
        <w:ind w:firstLine="480"/>
        <w:rPr>
          <w:rFonts w:hint="default" w:ascii="Times New Roman" w:hAnsi="Times New Roman" w:cs="Times New Roman"/>
        </w:rPr>
      </w:pPr>
      <w:r>
        <w:rPr>
          <w:rFonts w:hint="default" w:ascii="Times New Roman" w:hAnsi="Times New Roman" w:cs="Times New Roman"/>
        </w:rPr>
        <w:t>本项目原地貌占地类型中损毁植被主要为建设用地中的绿地，损毁植被面积为</w:t>
      </w:r>
      <w:r>
        <w:rPr>
          <w:rFonts w:hint="eastAsia" w:cs="Times New Roman"/>
          <w:lang w:val="en-US" w:eastAsia="zh-CN"/>
        </w:rPr>
        <w:t>1.28</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0E41A5AC">
      <w:pPr>
        <w:pStyle w:val="4"/>
        <w:rPr>
          <w:rFonts w:hint="default" w:ascii="Times New Roman" w:hAnsi="Times New Roman" w:cs="Times New Roman"/>
        </w:rPr>
      </w:pPr>
      <w:r>
        <w:rPr>
          <w:rFonts w:hint="default" w:ascii="Times New Roman" w:hAnsi="Times New Roman" w:cs="Times New Roman"/>
        </w:rPr>
        <w:t>废弃土（石、渣、灰、矸石、尾矿）量分析</w:t>
      </w:r>
    </w:p>
    <w:p w14:paraId="46489F81">
      <w:pPr>
        <w:ind w:firstLine="480"/>
        <w:rPr>
          <w:rFonts w:hint="default" w:ascii="Times New Roman" w:hAnsi="Times New Roman" w:cs="Times New Roman"/>
        </w:rPr>
      </w:pPr>
      <w:r>
        <w:rPr>
          <w:rFonts w:hint="default" w:ascii="Times New Roman" w:hAnsi="Times New Roman" w:cs="Times New Roman"/>
        </w:rPr>
        <w:t>项目共开挖土石方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（其中表土剥离</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，建筑垃圾</w:t>
      </w:r>
      <w:r>
        <w:rPr>
          <w:rFonts w:hint="eastAsia" w:cs="Times New Roman"/>
          <w:lang w:val="en-US" w:eastAsia="zh-CN"/>
        </w:rPr>
        <w:t>204.60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，场地平整</w:t>
      </w:r>
      <w:r>
        <w:rPr>
          <w:rFonts w:hint="eastAsia" w:cs="Times New Roman"/>
          <w:lang w:val="en-US" w:eastAsia="zh-CN"/>
        </w:rPr>
        <w:t>3171.00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，基础开挖</w:t>
      </w:r>
      <w:r>
        <w:rPr>
          <w:rFonts w:hint="eastAsia" w:cs="Times New Roman"/>
          <w:lang w:val="en-US" w:eastAsia="zh-CN"/>
        </w:rPr>
        <w:t>4750.00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），回填土石方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（其中绿化覆土</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，一般回填</w:t>
      </w:r>
      <w:r>
        <w:rPr>
          <w:rFonts w:hint="eastAsia" w:cs="Times New Roman"/>
          <w:lang w:val="en-US" w:eastAsia="zh-CN"/>
        </w:rPr>
        <w:t>8125.60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），项目区内调运土石方</w:t>
      </w:r>
      <w:r>
        <w:rPr>
          <w:rFonts w:hint="eastAsia" w:cs="Times New Roman"/>
          <w:lang w:val="en-US" w:eastAsia="zh-CN"/>
        </w:rPr>
        <w:t>4329.60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w:t>
      </w:r>
      <w:r>
        <w:rPr>
          <w:rFonts w:hint="eastAsia" w:cs="Times New Roman"/>
          <w:color w:val="auto"/>
          <w:lang w:val="en-US" w:eastAsia="zh-CN"/>
        </w:rPr>
        <w:t>不</w:t>
      </w:r>
      <w:r>
        <w:rPr>
          <w:rFonts w:hint="default" w:ascii="Times New Roman" w:hAnsi="Times New Roman" w:cs="Times New Roman"/>
          <w:color w:val="auto"/>
        </w:rPr>
        <w:t>产生永久弃方。</w:t>
      </w:r>
    </w:p>
    <w:p w14:paraId="482FF8B6">
      <w:pPr>
        <w:pStyle w:val="3"/>
        <w:rPr>
          <w:rFonts w:hint="default" w:ascii="Times New Roman" w:hAnsi="Times New Roman" w:cs="Times New Roman"/>
        </w:rPr>
      </w:pPr>
      <w:bookmarkStart w:id="62" w:name="_Toc165223580"/>
      <w:r>
        <w:rPr>
          <w:rFonts w:hint="default" w:ascii="Times New Roman" w:hAnsi="Times New Roman" w:cs="Times New Roman"/>
        </w:rPr>
        <w:t>水土流失量预测</w:t>
      </w:r>
      <w:bookmarkEnd w:id="62"/>
    </w:p>
    <w:p w14:paraId="42754D81">
      <w:pPr>
        <w:pStyle w:val="4"/>
        <w:rPr>
          <w:rFonts w:hint="default" w:ascii="Times New Roman" w:hAnsi="Times New Roman" w:cs="Times New Roman"/>
        </w:rPr>
      </w:pPr>
      <w:r>
        <w:rPr>
          <w:rFonts w:hint="default" w:ascii="Times New Roman" w:hAnsi="Times New Roman" w:cs="Times New Roman"/>
        </w:rPr>
        <w:t>预测单元</w:t>
      </w:r>
    </w:p>
    <w:p w14:paraId="4C49A882">
      <w:pPr>
        <w:ind w:firstLine="480"/>
        <w:rPr>
          <w:rFonts w:hint="default" w:ascii="Times New Roman" w:hAnsi="Times New Roman" w:cs="Times New Roman"/>
          <w:kern w:val="0"/>
          <w:szCs w:val="20"/>
        </w:rPr>
      </w:pPr>
      <w:r>
        <w:rPr>
          <w:rFonts w:hint="default" w:ascii="Times New Roman" w:hAnsi="Times New Roman" w:cs="Times New Roman"/>
          <w:kern w:val="0"/>
          <w:szCs w:val="20"/>
        </w:rPr>
        <w:t>根据工程总体布局、施工工艺及运行特点，结合工程区现状的实际情况，在分析可能造成水土流失的特点及危害的基础上，确定水土流失预测单元。</w:t>
      </w:r>
    </w:p>
    <w:p w14:paraId="4C36FDA1">
      <w:pPr>
        <w:ind w:firstLine="480"/>
        <w:jc w:val="left"/>
        <w:rPr>
          <w:rFonts w:hint="default" w:ascii="Times New Roman" w:hAnsi="Times New Roman" w:cs="Times New Roman"/>
          <w:kern w:val="0"/>
          <w:szCs w:val="20"/>
        </w:rPr>
      </w:pPr>
      <w:r>
        <w:rPr>
          <w:rFonts w:hint="default" w:ascii="Times New Roman" w:hAnsi="Times New Roman" w:cs="Times New Roman"/>
          <w:kern w:val="0"/>
          <w:szCs w:val="20"/>
        </w:rPr>
        <w:t>水土流失预测范围为项目建设区域，预测单元详见表4-4。</w:t>
      </w:r>
    </w:p>
    <w:p w14:paraId="0D50866E">
      <w:pPr>
        <w:rPr>
          <w:rFonts w:hint="default" w:ascii="Times New Roman" w:hAnsi="Times New Roman" w:cs="Times New Roman"/>
          <w:kern w:val="0"/>
          <w:szCs w:val="20"/>
        </w:rPr>
      </w:pPr>
      <w:r>
        <w:rPr>
          <w:rFonts w:hint="default" w:ascii="Times New Roman" w:hAnsi="Times New Roman" w:cs="Times New Roman"/>
          <w:kern w:val="0"/>
          <w:szCs w:val="20"/>
        </w:rPr>
        <w:br w:type="page"/>
      </w:r>
    </w:p>
    <w:p w14:paraId="366C71BF">
      <w:pPr>
        <w:pStyle w:val="83"/>
        <w:jc w:val="left"/>
        <w:rPr>
          <w:rFonts w:hint="default" w:ascii="Times New Roman" w:hAnsi="Times New Roman" w:eastAsia="仿宋_GB2312" w:cs="Times New Roman"/>
          <w:b/>
          <w:bCs w:val="0"/>
          <w:kern w:val="0"/>
          <w:szCs w:val="24"/>
          <w:vertAlign w:val="superscript"/>
          <w:lang w:bidi="en-US"/>
        </w:rPr>
      </w:pPr>
      <w:r>
        <w:rPr>
          <w:rFonts w:hint="default" w:ascii="Times New Roman" w:hAnsi="Times New Roman" w:eastAsia="仿宋_GB2312" w:cs="Times New Roman"/>
          <w:b/>
          <w:bCs w:val="0"/>
          <w:kern w:val="0"/>
          <w:szCs w:val="24"/>
          <w:lang w:bidi="en-US"/>
        </w:rPr>
        <w:t>表4-4               项目区水土流失预测单元及单元面积统计表          单位：hm</w:t>
      </w:r>
      <w:r>
        <w:rPr>
          <w:rFonts w:hint="default" w:ascii="Times New Roman" w:hAnsi="Times New Roman" w:eastAsia="仿宋_GB2312" w:cs="Times New Roman"/>
          <w:b/>
          <w:bCs w:val="0"/>
          <w:kern w:val="0"/>
          <w:szCs w:val="24"/>
          <w:vertAlign w:val="superscript"/>
          <w:lang w:bidi="en-US"/>
        </w:rPr>
        <w:t>2</w:t>
      </w:r>
    </w:p>
    <w:tbl>
      <w:tblPr>
        <w:tblStyle w:val="27"/>
        <w:tblW w:w="956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821"/>
        <w:gridCol w:w="3188"/>
        <w:gridCol w:w="1824"/>
        <w:gridCol w:w="2733"/>
      </w:tblGrid>
      <w:tr w14:paraId="70BD50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821" w:type="dxa"/>
            <w:vMerge w:val="restart"/>
            <w:tcBorders>
              <w:tl2br w:val="nil"/>
              <w:tr2bl w:val="nil"/>
            </w:tcBorders>
            <w:shd w:val="clear" w:color="auto" w:fill="auto"/>
            <w:noWrap/>
            <w:vAlign w:val="center"/>
          </w:tcPr>
          <w:p w14:paraId="5691A2A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w:t>
            </w:r>
          </w:p>
        </w:tc>
        <w:tc>
          <w:tcPr>
            <w:tcW w:w="3188" w:type="dxa"/>
            <w:vMerge w:val="restart"/>
            <w:tcBorders>
              <w:tl2br w:val="nil"/>
              <w:tr2bl w:val="nil"/>
            </w:tcBorders>
            <w:shd w:val="clear" w:color="auto" w:fill="auto"/>
            <w:noWrap/>
            <w:vAlign w:val="center"/>
          </w:tcPr>
          <w:p w14:paraId="36F39EA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项目分区</w:t>
            </w:r>
          </w:p>
        </w:tc>
        <w:tc>
          <w:tcPr>
            <w:tcW w:w="4557" w:type="dxa"/>
            <w:gridSpan w:val="2"/>
            <w:tcBorders>
              <w:tl2br w:val="nil"/>
              <w:tr2bl w:val="nil"/>
            </w:tcBorders>
            <w:shd w:val="clear" w:color="auto" w:fill="auto"/>
            <w:noWrap/>
            <w:vAlign w:val="center"/>
          </w:tcPr>
          <w:p w14:paraId="7ABC90BF">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预测面积（hm2）</w:t>
            </w:r>
          </w:p>
        </w:tc>
      </w:tr>
      <w:tr w14:paraId="13286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66276DA5">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vMerge w:val="continue"/>
            <w:tcBorders>
              <w:tl2br w:val="nil"/>
              <w:tr2bl w:val="nil"/>
            </w:tcBorders>
            <w:shd w:val="clear" w:color="auto" w:fill="auto"/>
            <w:noWrap/>
            <w:vAlign w:val="center"/>
          </w:tcPr>
          <w:p w14:paraId="030AEB3A">
            <w:pPr>
              <w:spacing w:line="240" w:lineRule="auto"/>
              <w:ind w:firstLine="0" w:firstLineChars="0"/>
              <w:jc w:val="center"/>
              <w:rPr>
                <w:rFonts w:hint="eastAsia" w:ascii="Times New Roman" w:hAnsi="Times New Roman" w:cs="Times New Roman"/>
                <w:color w:val="000000"/>
                <w:kern w:val="0"/>
                <w:sz w:val="21"/>
                <w:szCs w:val="21"/>
              </w:rPr>
            </w:pPr>
          </w:p>
        </w:tc>
        <w:tc>
          <w:tcPr>
            <w:tcW w:w="1824" w:type="dxa"/>
            <w:tcBorders>
              <w:tl2br w:val="nil"/>
              <w:tr2bl w:val="nil"/>
            </w:tcBorders>
            <w:shd w:val="clear" w:color="auto" w:fill="auto"/>
            <w:noWrap/>
            <w:vAlign w:val="center"/>
          </w:tcPr>
          <w:p w14:paraId="173F9CC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施工期</w:t>
            </w:r>
          </w:p>
        </w:tc>
        <w:tc>
          <w:tcPr>
            <w:tcW w:w="2733" w:type="dxa"/>
            <w:tcBorders>
              <w:tl2br w:val="nil"/>
              <w:tr2bl w:val="nil"/>
            </w:tcBorders>
            <w:shd w:val="clear" w:color="auto" w:fill="auto"/>
            <w:noWrap/>
            <w:vAlign w:val="center"/>
          </w:tcPr>
          <w:p w14:paraId="0CE36F5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自然恢复期</w:t>
            </w:r>
          </w:p>
        </w:tc>
      </w:tr>
      <w:tr w14:paraId="27D54C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restart"/>
            <w:tcBorders>
              <w:tl2br w:val="nil"/>
              <w:tr2bl w:val="nil"/>
            </w:tcBorders>
            <w:shd w:val="clear" w:color="auto" w:fill="auto"/>
            <w:noWrap/>
            <w:vAlign w:val="center"/>
          </w:tcPr>
          <w:p w14:paraId="17F66CF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地块一</w:t>
            </w:r>
          </w:p>
        </w:tc>
        <w:tc>
          <w:tcPr>
            <w:tcW w:w="3188" w:type="dxa"/>
            <w:tcBorders>
              <w:tl2br w:val="nil"/>
              <w:tr2bl w:val="nil"/>
            </w:tcBorders>
            <w:shd w:val="clear" w:color="auto" w:fill="auto"/>
            <w:noWrap/>
            <w:vAlign w:val="center"/>
          </w:tcPr>
          <w:p w14:paraId="6B0C7CA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1824" w:type="dxa"/>
            <w:tcBorders>
              <w:tl2br w:val="nil"/>
              <w:tr2bl w:val="nil"/>
            </w:tcBorders>
            <w:shd w:val="clear" w:color="auto" w:fill="auto"/>
            <w:noWrap/>
            <w:vAlign w:val="center"/>
          </w:tcPr>
          <w:p w14:paraId="1C139C5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0.30 </w:t>
            </w:r>
          </w:p>
        </w:tc>
        <w:tc>
          <w:tcPr>
            <w:tcW w:w="2733" w:type="dxa"/>
            <w:tcBorders>
              <w:tl2br w:val="nil"/>
              <w:tr2bl w:val="nil"/>
            </w:tcBorders>
            <w:shd w:val="clear" w:color="auto" w:fill="auto"/>
            <w:noWrap/>
            <w:vAlign w:val="center"/>
          </w:tcPr>
          <w:p w14:paraId="10B8A050">
            <w:pPr>
              <w:spacing w:line="240" w:lineRule="auto"/>
              <w:ind w:firstLine="0" w:firstLineChars="0"/>
              <w:jc w:val="center"/>
              <w:rPr>
                <w:rFonts w:hint="eastAsia" w:ascii="Times New Roman" w:hAnsi="Times New Roman" w:cs="Times New Roman"/>
                <w:color w:val="000000"/>
                <w:kern w:val="0"/>
                <w:sz w:val="21"/>
                <w:szCs w:val="21"/>
              </w:rPr>
            </w:pPr>
          </w:p>
        </w:tc>
      </w:tr>
      <w:tr w14:paraId="1B6A9A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471D4563">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tcBorders>
              <w:tl2br w:val="nil"/>
              <w:tr2bl w:val="nil"/>
            </w:tcBorders>
            <w:shd w:val="clear" w:color="auto" w:fill="auto"/>
            <w:noWrap/>
            <w:vAlign w:val="center"/>
          </w:tcPr>
          <w:p w14:paraId="57D4CB6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1824" w:type="dxa"/>
            <w:tcBorders>
              <w:tl2br w:val="nil"/>
              <w:tr2bl w:val="nil"/>
            </w:tcBorders>
            <w:shd w:val="clear" w:color="auto" w:fill="auto"/>
            <w:noWrap/>
            <w:vAlign w:val="center"/>
          </w:tcPr>
          <w:p w14:paraId="04245AC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0.21 </w:t>
            </w:r>
          </w:p>
        </w:tc>
        <w:tc>
          <w:tcPr>
            <w:tcW w:w="2733" w:type="dxa"/>
            <w:tcBorders>
              <w:tl2br w:val="nil"/>
              <w:tr2bl w:val="nil"/>
            </w:tcBorders>
            <w:shd w:val="clear" w:color="auto" w:fill="auto"/>
            <w:noWrap/>
            <w:vAlign w:val="center"/>
          </w:tcPr>
          <w:p w14:paraId="78A7E8EA">
            <w:pPr>
              <w:spacing w:line="240" w:lineRule="auto"/>
              <w:ind w:firstLine="0" w:firstLineChars="0"/>
              <w:jc w:val="center"/>
              <w:rPr>
                <w:rFonts w:hint="eastAsia" w:ascii="Times New Roman" w:hAnsi="Times New Roman" w:cs="Times New Roman"/>
                <w:color w:val="000000"/>
                <w:kern w:val="0"/>
                <w:sz w:val="21"/>
                <w:szCs w:val="21"/>
              </w:rPr>
            </w:pPr>
          </w:p>
        </w:tc>
      </w:tr>
      <w:tr w14:paraId="7FE86A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399D0C65">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tcBorders>
              <w:tl2br w:val="nil"/>
              <w:tr2bl w:val="nil"/>
            </w:tcBorders>
            <w:shd w:val="clear" w:color="auto" w:fill="auto"/>
            <w:noWrap/>
            <w:vAlign w:val="center"/>
          </w:tcPr>
          <w:p w14:paraId="1A791BC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1824" w:type="dxa"/>
            <w:tcBorders>
              <w:tl2br w:val="nil"/>
              <w:tr2bl w:val="nil"/>
            </w:tcBorders>
            <w:shd w:val="clear" w:color="auto" w:fill="auto"/>
            <w:noWrap/>
            <w:vAlign w:val="center"/>
          </w:tcPr>
          <w:p w14:paraId="4C494D7B">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0.09 </w:t>
            </w:r>
          </w:p>
        </w:tc>
        <w:tc>
          <w:tcPr>
            <w:tcW w:w="2733" w:type="dxa"/>
            <w:tcBorders>
              <w:tl2br w:val="nil"/>
              <w:tr2bl w:val="nil"/>
            </w:tcBorders>
            <w:shd w:val="clear" w:color="auto" w:fill="auto"/>
            <w:noWrap/>
            <w:vAlign w:val="center"/>
          </w:tcPr>
          <w:p w14:paraId="47FC9C49">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0.09 </w:t>
            </w:r>
          </w:p>
        </w:tc>
      </w:tr>
      <w:tr w14:paraId="2F7C4E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24EF104E">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tcBorders>
              <w:tl2br w:val="nil"/>
              <w:tr2bl w:val="nil"/>
            </w:tcBorders>
            <w:shd w:val="clear" w:color="auto" w:fill="auto"/>
            <w:noWrap/>
            <w:vAlign w:val="center"/>
          </w:tcPr>
          <w:p w14:paraId="105FFEA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1824" w:type="dxa"/>
            <w:tcBorders>
              <w:tl2br w:val="nil"/>
              <w:tr2bl w:val="nil"/>
            </w:tcBorders>
            <w:shd w:val="clear" w:color="auto" w:fill="auto"/>
            <w:noWrap/>
            <w:vAlign w:val="center"/>
          </w:tcPr>
          <w:p w14:paraId="19E957D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0.60 </w:t>
            </w:r>
          </w:p>
        </w:tc>
        <w:tc>
          <w:tcPr>
            <w:tcW w:w="2733" w:type="dxa"/>
            <w:tcBorders>
              <w:tl2br w:val="nil"/>
              <w:tr2bl w:val="nil"/>
            </w:tcBorders>
            <w:shd w:val="clear" w:color="auto" w:fill="auto"/>
            <w:noWrap/>
            <w:vAlign w:val="center"/>
          </w:tcPr>
          <w:p w14:paraId="5E46A38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0.09</w:t>
            </w:r>
          </w:p>
        </w:tc>
      </w:tr>
      <w:tr w14:paraId="1F6F0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821" w:type="dxa"/>
            <w:vMerge w:val="restart"/>
            <w:tcBorders>
              <w:tl2br w:val="nil"/>
              <w:tr2bl w:val="nil"/>
            </w:tcBorders>
            <w:shd w:val="clear" w:color="auto" w:fill="auto"/>
            <w:noWrap/>
            <w:vAlign w:val="center"/>
          </w:tcPr>
          <w:p w14:paraId="5292AB2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地块二</w:t>
            </w:r>
          </w:p>
        </w:tc>
        <w:tc>
          <w:tcPr>
            <w:tcW w:w="3188" w:type="dxa"/>
            <w:tcBorders>
              <w:tl2br w:val="nil"/>
              <w:tr2bl w:val="nil"/>
            </w:tcBorders>
            <w:shd w:val="clear" w:color="auto" w:fill="auto"/>
            <w:noWrap/>
            <w:vAlign w:val="center"/>
          </w:tcPr>
          <w:p w14:paraId="04B2F40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1824" w:type="dxa"/>
            <w:tcBorders>
              <w:tl2br w:val="nil"/>
              <w:tr2bl w:val="nil"/>
            </w:tcBorders>
            <w:shd w:val="clear" w:color="auto" w:fill="auto"/>
            <w:noWrap/>
            <w:vAlign w:val="center"/>
          </w:tcPr>
          <w:p w14:paraId="4C52B1E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0.57 </w:t>
            </w:r>
          </w:p>
        </w:tc>
        <w:tc>
          <w:tcPr>
            <w:tcW w:w="2733" w:type="dxa"/>
            <w:tcBorders>
              <w:tl2br w:val="nil"/>
              <w:tr2bl w:val="nil"/>
            </w:tcBorders>
            <w:shd w:val="clear" w:color="auto" w:fill="auto"/>
            <w:noWrap/>
            <w:vAlign w:val="center"/>
          </w:tcPr>
          <w:p w14:paraId="0D6EB672">
            <w:pPr>
              <w:spacing w:line="240" w:lineRule="auto"/>
              <w:ind w:firstLine="0" w:firstLineChars="0"/>
              <w:jc w:val="center"/>
              <w:rPr>
                <w:rFonts w:hint="eastAsia" w:ascii="Times New Roman" w:hAnsi="Times New Roman" w:cs="Times New Roman"/>
                <w:color w:val="000000"/>
                <w:kern w:val="0"/>
                <w:sz w:val="21"/>
                <w:szCs w:val="21"/>
              </w:rPr>
            </w:pPr>
          </w:p>
        </w:tc>
      </w:tr>
      <w:tr w14:paraId="48F18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1B9CD13B">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tcBorders>
              <w:tl2br w:val="nil"/>
              <w:tr2bl w:val="nil"/>
            </w:tcBorders>
            <w:shd w:val="clear" w:color="auto" w:fill="auto"/>
            <w:noWrap/>
            <w:vAlign w:val="center"/>
          </w:tcPr>
          <w:p w14:paraId="4AED74E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1824" w:type="dxa"/>
            <w:tcBorders>
              <w:tl2br w:val="nil"/>
              <w:tr2bl w:val="nil"/>
            </w:tcBorders>
            <w:shd w:val="clear" w:color="auto" w:fill="auto"/>
            <w:noWrap/>
            <w:vAlign w:val="center"/>
          </w:tcPr>
          <w:p w14:paraId="3FA3D5B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0.20 </w:t>
            </w:r>
          </w:p>
        </w:tc>
        <w:tc>
          <w:tcPr>
            <w:tcW w:w="2733" w:type="dxa"/>
            <w:tcBorders>
              <w:tl2br w:val="nil"/>
              <w:tr2bl w:val="nil"/>
            </w:tcBorders>
            <w:shd w:val="clear" w:color="auto" w:fill="auto"/>
            <w:noWrap/>
            <w:vAlign w:val="center"/>
          </w:tcPr>
          <w:p w14:paraId="1BEB53DB">
            <w:pPr>
              <w:spacing w:line="240" w:lineRule="auto"/>
              <w:ind w:firstLine="0" w:firstLineChars="0"/>
              <w:jc w:val="center"/>
              <w:rPr>
                <w:rFonts w:hint="eastAsia" w:ascii="Times New Roman" w:hAnsi="Times New Roman" w:cs="Times New Roman"/>
                <w:color w:val="000000"/>
                <w:kern w:val="0"/>
                <w:sz w:val="21"/>
                <w:szCs w:val="21"/>
              </w:rPr>
            </w:pPr>
          </w:p>
        </w:tc>
      </w:tr>
      <w:tr w14:paraId="032893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287F88DC">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tcBorders>
              <w:tl2br w:val="nil"/>
              <w:tr2bl w:val="nil"/>
            </w:tcBorders>
            <w:shd w:val="clear" w:color="auto" w:fill="auto"/>
            <w:noWrap/>
            <w:vAlign w:val="center"/>
          </w:tcPr>
          <w:p w14:paraId="03DF321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1824" w:type="dxa"/>
            <w:tcBorders>
              <w:tl2br w:val="nil"/>
              <w:tr2bl w:val="nil"/>
            </w:tcBorders>
            <w:shd w:val="clear" w:color="auto" w:fill="auto"/>
            <w:noWrap/>
            <w:vAlign w:val="center"/>
          </w:tcPr>
          <w:p w14:paraId="645AB44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0.14 </w:t>
            </w:r>
          </w:p>
        </w:tc>
        <w:tc>
          <w:tcPr>
            <w:tcW w:w="2733" w:type="dxa"/>
            <w:tcBorders>
              <w:tl2br w:val="nil"/>
              <w:tr2bl w:val="nil"/>
            </w:tcBorders>
            <w:shd w:val="clear" w:color="auto" w:fill="auto"/>
            <w:noWrap/>
            <w:vAlign w:val="center"/>
          </w:tcPr>
          <w:p w14:paraId="13E2FE5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0.14</w:t>
            </w:r>
          </w:p>
        </w:tc>
      </w:tr>
      <w:tr w14:paraId="358D76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821" w:type="dxa"/>
            <w:vMerge w:val="continue"/>
            <w:tcBorders>
              <w:tl2br w:val="nil"/>
              <w:tr2bl w:val="nil"/>
            </w:tcBorders>
            <w:shd w:val="clear" w:color="auto" w:fill="auto"/>
            <w:noWrap/>
            <w:vAlign w:val="center"/>
          </w:tcPr>
          <w:p w14:paraId="1AE984C8">
            <w:pPr>
              <w:spacing w:line="240" w:lineRule="auto"/>
              <w:ind w:firstLine="0" w:firstLineChars="0"/>
              <w:jc w:val="center"/>
              <w:rPr>
                <w:rFonts w:hint="eastAsia" w:ascii="Times New Roman" w:hAnsi="Times New Roman" w:cs="Times New Roman"/>
                <w:color w:val="000000"/>
                <w:kern w:val="0"/>
                <w:sz w:val="21"/>
                <w:szCs w:val="21"/>
              </w:rPr>
            </w:pPr>
          </w:p>
        </w:tc>
        <w:tc>
          <w:tcPr>
            <w:tcW w:w="3188" w:type="dxa"/>
            <w:tcBorders>
              <w:tl2br w:val="nil"/>
              <w:tr2bl w:val="nil"/>
            </w:tcBorders>
            <w:shd w:val="clear" w:color="auto" w:fill="auto"/>
            <w:noWrap/>
            <w:vAlign w:val="center"/>
          </w:tcPr>
          <w:p w14:paraId="3B530D3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1824" w:type="dxa"/>
            <w:tcBorders>
              <w:tl2br w:val="nil"/>
              <w:tr2bl w:val="nil"/>
            </w:tcBorders>
            <w:shd w:val="clear" w:color="auto" w:fill="auto"/>
            <w:noWrap/>
            <w:vAlign w:val="center"/>
          </w:tcPr>
          <w:p w14:paraId="6881A06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0.91 </w:t>
            </w:r>
          </w:p>
        </w:tc>
        <w:tc>
          <w:tcPr>
            <w:tcW w:w="2733" w:type="dxa"/>
            <w:tcBorders>
              <w:tl2br w:val="nil"/>
              <w:tr2bl w:val="nil"/>
            </w:tcBorders>
            <w:shd w:val="clear" w:color="auto" w:fill="auto"/>
            <w:noWrap/>
            <w:vAlign w:val="center"/>
          </w:tcPr>
          <w:p w14:paraId="724925F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0.14</w:t>
            </w:r>
          </w:p>
        </w:tc>
      </w:tr>
      <w:tr w14:paraId="561C97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009" w:type="dxa"/>
            <w:gridSpan w:val="2"/>
            <w:tcBorders>
              <w:tl2br w:val="nil"/>
              <w:tr2bl w:val="nil"/>
            </w:tcBorders>
            <w:shd w:val="clear" w:color="auto" w:fill="auto"/>
            <w:noWrap/>
            <w:vAlign w:val="center"/>
          </w:tcPr>
          <w:p w14:paraId="68EC012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合计</w:t>
            </w:r>
          </w:p>
        </w:tc>
        <w:tc>
          <w:tcPr>
            <w:tcW w:w="1824" w:type="dxa"/>
            <w:tcBorders>
              <w:tl2br w:val="nil"/>
              <w:tr2bl w:val="nil"/>
            </w:tcBorders>
            <w:shd w:val="clear" w:color="auto" w:fill="auto"/>
            <w:noWrap/>
            <w:vAlign w:val="center"/>
          </w:tcPr>
          <w:p w14:paraId="6C6656F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1.51 </w:t>
            </w:r>
          </w:p>
        </w:tc>
        <w:tc>
          <w:tcPr>
            <w:tcW w:w="2733" w:type="dxa"/>
            <w:tcBorders>
              <w:tl2br w:val="nil"/>
              <w:tr2bl w:val="nil"/>
            </w:tcBorders>
            <w:shd w:val="clear" w:color="auto" w:fill="auto"/>
            <w:noWrap/>
            <w:vAlign w:val="center"/>
          </w:tcPr>
          <w:p w14:paraId="487B2ED6">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0.23</w:t>
            </w:r>
          </w:p>
        </w:tc>
      </w:tr>
    </w:tbl>
    <w:p w14:paraId="08FEE400">
      <w:pPr>
        <w:pStyle w:val="4"/>
        <w:rPr>
          <w:rFonts w:hint="default" w:ascii="Times New Roman" w:hAnsi="Times New Roman" w:cs="Times New Roman"/>
        </w:rPr>
      </w:pPr>
      <w:r>
        <w:rPr>
          <w:rFonts w:hint="default" w:ascii="Times New Roman" w:hAnsi="Times New Roman" w:cs="Times New Roman"/>
        </w:rPr>
        <w:t>预测时段</w:t>
      </w:r>
    </w:p>
    <w:p w14:paraId="227201B6">
      <w:pPr>
        <w:ind w:firstLine="480"/>
        <w:rPr>
          <w:rFonts w:hint="default" w:ascii="Times New Roman" w:hAnsi="Times New Roman" w:cs="Times New Roman"/>
        </w:rPr>
      </w:pPr>
      <w:r>
        <w:rPr>
          <w:rFonts w:hint="default" w:ascii="Times New Roman" w:hAnsi="Times New Roman" w:cs="Times New Roman"/>
        </w:rPr>
        <w:t>水土流失预测从施工期开始至自然恢复期结束，分为施工期、自然恢复期。施工前期由于大面积开挖和回填等建设活动，使原地貌地表裸露，土壤结构遭到破坏，将造成大量的水土流失。施工后期土方工程施工结束后，水土流失逐渐减少。进入自然恢复期后，随着主体工程中具有水土保持功能的措施发挥作用和植被的逐渐恢复，水土流失在一定范围内将得到控制。</w:t>
      </w:r>
    </w:p>
    <w:p w14:paraId="07CFA3CE">
      <w:pPr>
        <w:ind w:firstLine="480"/>
        <w:rPr>
          <w:rFonts w:hint="default" w:ascii="Times New Roman" w:hAnsi="Times New Roman" w:cs="Times New Roman"/>
        </w:rPr>
      </w:pPr>
      <w:r>
        <w:rPr>
          <w:rFonts w:hint="default" w:ascii="Times New Roman" w:hAnsi="Times New Roman" w:cs="Times New Roman"/>
        </w:rPr>
        <w:t>预测过程中各个预测分区的预测时段根据主体工程施工进度安排和土壤侵蚀时段情况，以最不利的时段进行预测，超过雨季长度按照全年计算，涉及雨季但未超过雨季长度按其占雨季时间（5～10月的6个月）的比例计算。各不同预测分区由于其施工时段有所区别，其水土流失预测时段也有所不同。</w:t>
      </w:r>
    </w:p>
    <w:p w14:paraId="21D901DE">
      <w:pPr>
        <w:ind w:firstLine="480"/>
        <w:rPr>
          <w:rFonts w:hint="default" w:ascii="Times New Roman" w:hAnsi="Times New Roman" w:cs="Times New Roman"/>
        </w:rPr>
      </w:pPr>
      <w:r>
        <w:rPr>
          <w:rFonts w:hint="default" w:ascii="Times New Roman" w:hAnsi="Times New Roman" w:cs="Times New Roman"/>
        </w:rPr>
        <w:t>（1）施工期</w:t>
      </w:r>
    </w:p>
    <w:p w14:paraId="323F7A96">
      <w:pPr>
        <w:ind w:firstLine="480"/>
        <w:rPr>
          <w:rFonts w:hint="default" w:ascii="Times New Roman" w:hAnsi="Times New Roman" w:cs="Times New Roman"/>
        </w:rPr>
      </w:pPr>
      <w:r>
        <w:rPr>
          <w:rFonts w:hint="default" w:ascii="Times New Roman" w:hAnsi="Times New Roman" w:cs="Times New Roman"/>
        </w:rPr>
        <w:t>根据施工计划安排，本项目已于</w:t>
      </w:r>
      <w:r>
        <w:rPr>
          <w:rFonts w:hint="eastAsia" w:cs="Times New Roman"/>
          <w:lang w:eastAsia="zh-CN"/>
        </w:rPr>
        <w:t>2024年4月</w:t>
      </w:r>
      <w:r>
        <w:rPr>
          <w:rFonts w:hint="default" w:ascii="Times New Roman" w:hAnsi="Times New Roman" w:cs="Times New Roman"/>
        </w:rPr>
        <w:t>开工建设，预计于</w:t>
      </w:r>
      <w:r>
        <w:rPr>
          <w:rFonts w:hint="eastAsia" w:cs="Times New Roman"/>
          <w:lang w:eastAsia="zh-CN"/>
        </w:rPr>
        <w:t>2025年6月</w:t>
      </w:r>
      <w:r>
        <w:rPr>
          <w:rFonts w:hint="default" w:ascii="Times New Roman" w:hAnsi="Times New Roman" w:cs="Times New Roman"/>
        </w:rPr>
        <w:t>底完工。本方案预测施工时段为2024年</w:t>
      </w:r>
      <w:r>
        <w:rPr>
          <w:rFonts w:hint="eastAsia" w:cs="Times New Roman"/>
          <w:lang w:val="en-US" w:eastAsia="zh-CN"/>
        </w:rPr>
        <w:t>8</w:t>
      </w:r>
      <w:r>
        <w:rPr>
          <w:rFonts w:hint="default" w:ascii="Times New Roman" w:hAnsi="Times New Roman" w:cs="Times New Roman"/>
        </w:rPr>
        <w:t>月~</w:t>
      </w:r>
      <w:r>
        <w:rPr>
          <w:rFonts w:hint="eastAsia" w:cs="Times New Roman"/>
          <w:lang w:eastAsia="zh-CN"/>
        </w:rPr>
        <w:t>2025年6月</w:t>
      </w:r>
      <w:r>
        <w:rPr>
          <w:rFonts w:hint="default" w:ascii="Times New Roman" w:hAnsi="Times New Roman" w:cs="Times New Roman"/>
        </w:rPr>
        <w:t>，根据施工计划安排，后续施工期经历</w:t>
      </w:r>
      <w:r>
        <w:rPr>
          <w:rFonts w:hint="eastAsia" w:cs="Times New Roman"/>
          <w:lang w:val="en-US" w:eastAsia="zh-CN"/>
        </w:rPr>
        <w:t>5个月</w:t>
      </w:r>
      <w:r>
        <w:rPr>
          <w:rFonts w:hint="default" w:ascii="Times New Roman" w:hAnsi="Times New Roman" w:cs="Times New Roman"/>
        </w:rPr>
        <w:t>的雨季，预测时间为</w:t>
      </w:r>
      <w:r>
        <w:rPr>
          <w:rFonts w:hint="eastAsia" w:cs="Times New Roman"/>
          <w:lang w:val="en-US" w:eastAsia="zh-CN"/>
        </w:rPr>
        <w:t>0.83</w:t>
      </w:r>
      <w:r>
        <w:rPr>
          <w:rFonts w:hint="default" w:ascii="Times New Roman" w:hAnsi="Times New Roman" w:cs="Times New Roman"/>
        </w:rPr>
        <w:t>a。</w:t>
      </w:r>
    </w:p>
    <w:p w14:paraId="2DEC338F">
      <w:pPr>
        <w:pStyle w:val="93"/>
        <w:rPr>
          <w:rFonts w:hint="default" w:ascii="Times New Roman" w:hAnsi="Times New Roman" w:cs="Times New Roman"/>
        </w:rPr>
      </w:pPr>
      <w:r>
        <w:rPr>
          <w:rFonts w:hint="default" w:ascii="Times New Roman" w:hAnsi="Times New Roman" w:cs="Times New Roman"/>
        </w:rPr>
        <w:t>（2）自然恢复期</w:t>
      </w:r>
    </w:p>
    <w:p w14:paraId="2C8E5F15">
      <w:pPr>
        <w:pStyle w:val="93"/>
        <w:rPr>
          <w:rFonts w:hint="default" w:ascii="Times New Roman" w:hAnsi="Times New Roman" w:eastAsia="宋体" w:cs="Times New Roman"/>
          <w:sz w:val="21"/>
          <w:szCs w:val="21"/>
        </w:rPr>
      </w:pPr>
      <w:r>
        <w:rPr>
          <w:rFonts w:hint="default" w:ascii="Times New Roman" w:hAnsi="Times New Roman" w:cs="Times New Roman"/>
        </w:rPr>
        <w:t>自然恢复期为施工扰动结束后，不采取水土保持措施的情况下，土壤侵蚀强度自然恢复到扰动前土壤侵蚀强度所需要的时间；一般情况下湿润区取2年，半湿润区取3年，干旱半干旱区取5年。项目区所在地会泽县多年平均降水量789.4mm，属于半湿润区，因此自然恢复期取3.0a（即202</w:t>
      </w:r>
      <w:r>
        <w:rPr>
          <w:rFonts w:hint="eastAsia" w:cs="Times New Roman"/>
          <w:lang w:val="en-US" w:eastAsia="zh-CN"/>
        </w:rPr>
        <w:t>5</w:t>
      </w:r>
      <w:r>
        <w:rPr>
          <w:rFonts w:hint="default" w:ascii="Times New Roman" w:hAnsi="Times New Roman" w:cs="Times New Roman"/>
        </w:rPr>
        <w:t>年</w:t>
      </w:r>
      <w:r>
        <w:rPr>
          <w:rFonts w:hint="eastAsia" w:cs="Times New Roman"/>
          <w:lang w:val="en-US" w:eastAsia="zh-CN"/>
        </w:rPr>
        <w:t>7</w:t>
      </w:r>
      <w:r>
        <w:rPr>
          <w:rFonts w:hint="default" w:ascii="Times New Roman" w:hAnsi="Times New Roman" w:cs="Times New Roman"/>
        </w:rPr>
        <w:t>月~202</w:t>
      </w:r>
      <w:r>
        <w:rPr>
          <w:rFonts w:hint="eastAsia" w:cs="Times New Roman"/>
          <w:lang w:val="en-US" w:eastAsia="zh-CN"/>
        </w:rPr>
        <w:t>8</w:t>
      </w:r>
      <w:r>
        <w:rPr>
          <w:rFonts w:hint="default" w:ascii="Times New Roman" w:hAnsi="Times New Roman" w:cs="Times New Roman"/>
        </w:rPr>
        <w:t>年</w:t>
      </w:r>
      <w:r>
        <w:rPr>
          <w:rFonts w:hint="eastAsia" w:cs="Times New Roman"/>
          <w:lang w:val="en-US" w:eastAsia="zh-CN"/>
        </w:rPr>
        <w:t>6</w:t>
      </w:r>
      <w:r>
        <w:rPr>
          <w:rFonts w:hint="default" w:ascii="Times New Roman" w:hAnsi="Times New Roman" w:cs="Times New Roman"/>
        </w:rPr>
        <w:t>月）。</w:t>
      </w:r>
    </w:p>
    <w:p w14:paraId="1D5A9EBE">
      <w:pPr>
        <w:ind w:firstLine="480"/>
        <w:rPr>
          <w:rFonts w:hint="default" w:ascii="Times New Roman" w:hAnsi="Times New Roman" w:cs="Times New Roman"/>
        </w:rPr>
      </w:pPr>
      <w:r>
        <w:rPr>
          <w:rFonts w:hint="default" w:ascii="Times New Roman" w:hAnsi="Times New Roman" w:cs="Times New Roman"/>
        </w:rPr>
        <w:t>本项目水土流失预测时段详见表4-5。</w:t>
      </w:r>
    </w:p>
    <w:p w14:paraId="190CA329">
      <w:pPr>
        <w:rPr>
          <w:rFonts w:hint="default" w:ascii="Times New Roman" w:hAnsi="Times New Roman" w:eastAsia="仿宋_GB2312" w:cs="Times New Roman"/>
          <w:b/>
          <w:bCs w:val="0"/>
          <w:kern w:val="0"/>
          <w:szCs w:val="24"/>
          <w:lang w:bidi="en-US"/>
        </w:rPr>
      </w:pPr>
      <w:r>
        <w:rPr>
          <w:rFonts w:hint="default" w:ascii="Times New Roman" w:hAnsi="Times New Roman" w:eastAsia="仿宋_GB2312" w:cs="Times New Roman"/>
          <w:b/>
          <w:bCs w:val="0"/>
          <w:kern w:val="0"/>
          <w:szCs w:val="24"/>
          <w:lang w:bidi="en-US"/>
        </w:rPr>
        <w:br w:type="page"/>
      </w:r>
    </w:p>
    <w:p w14:paraId="34EBC464">
      <w:pPr>
        <w:pStyle w:val="83"/>
        <w:jc w:val="left"/>
        <w:rPr>
          <w:rFonts w:hint="default" w:ascii="Times New Roman" w:hAnsi="Times New Roman" w:eastAsia="仿宋_GB2312" w:cs="Times New Roman"/>
          <w:b/>
          <w:bCs w:val="0"/>
          <w:kern w:val="0"/>
          <w:szCs w:val="24"/>
          <w:lang w:bidi="en-US"/>
        </w:rPr>
      </w:pPr>
      <w:r>
        <w:rPr>
          <w:rFonts w:hint="default" w:ascii="Times New Roman" w:hAnsi="Times New Roman" w:eastAsia="仿宋_GB2312" w:cs="Times New Roman"/>
          <w:b/>
          <w:bCs w:val="0"/>
          <w:kern w:val="0"/>
          <w:szCs w:val="24"/>
          <w:lang w:bidi="en-US"/>
        </w:rPr>
        <w:t>表4-5                          水土流失预测时段一览表</w:t>
      </w:r>
    </w:p>
    <w:tbl>
      <w:tblPr>
        <w:tblStyle w:val="27"/>
        <w:tblW w:w="93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2"/>
        <w:gridCol w:w="1963"/>
        <w:gridCol w:w="1993"/>
        <w:gridCol w:w="2551"/>
        <w:gridCol w:w="1753"/>
      </w:tblGrid>
      <w:tr w14:paraId="6AD5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restart"/>
            <w:tcBorders>
              <w:top w:val="single" w:color="000000" w:sz="12"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4E26597">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地块</w:t>
            </w:r>
          </w:p>
        </w:tc>
        <w:tc>
          <w:tcPr>
            <w:tcW w:w="1963" w:type="dxa"/>
            <w:vMerge w:val="restart"/>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ED6185A">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项目分区</w:t>
            </w:r>
          </w:p>
        </w:tc>
        <w:tc>
          <w:tcPr>
            <w:tcW w:w="6297" w:type="dxa"/>
            <w:gridSpan w:val="3"/>
            <w:tcBorders>
              <w:top w:val="single" w:color="000000" w:sz="12"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3B68A778">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预测时段（a）</w:t>
            </w:r>
          </w:p>
        </w:tc>
      </w:tr>
      <w:tr w14:paraId="0BE31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3844A95">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6C581DB">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93"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E268E2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施工期（</w:t>
            </w:r>
            <w:r>
              <w:rPr>
                <w:rFonts w:hint="default" w:ascii="Times New Roman" w:hAnsi="Times New Roman" w:cs="Times New Roman"/>
                <w:kern w:val="0"/>
                <w:sz w:val="21"/>
                <w:szCs w:val="21"/>
                <w:lang w:val="en-US" w:eastAsia="zh-CN" w:bidi="ar"/>
              </w:rPr>
              <w:t>T1</w:t>
            </w:r>
            <w:r>
              <w:rPr>
                <w:rFonts w:hint="eastAsia" w:ascii="Times New Roman" w:hAnsi="Times New Roman" w:cs="Times New Roman"/>
                <w:kern w:val="0"/>
                <w:sz w:val="21"/>
                <w:szCs w:val="21"/>
                <w:lang w:val="en-US" w:eastAsia="zh-CN" w:bidi="ar"/>
              </w:rPr>
              <w:t>）</w:t>
            </w:r>
          </w:p>
        </w:tc>
        <w:tc>
          <w:tcPr>
            <w:tcW w:w="2551" w:type="dxa"/>
            <w:vMerge w:val="restart"/>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41C02F90">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自然恢复期（</w:t>
            </w:r>
            <w:r>
              <w:rPr>
                <w:rFonts w:hint="default" w:ascii="Times New Roman" w:hAnsi="Times New Roman" w:cs="Times New Roman"/>
                <w:kern w:val="0"/>
                <w:sz w:val="21"/>
                <w:szCs w:val="21"/>
                <w:lang w:val="en-US" w:eastAsia="zh-CN" w:bidi="ar"/>
              </w:rPr>
              <w:t>T2</w:t>
            </w:r>
            <w:r>
              <w:rPr>
                <w:rFonts w:hint="eastAsia" w:ascii="Times New Roman" w:hAnsi="Times New Roman" w:cs="Times New Roman"/>
                <w:kern w:val="0"/>
                <w:sz w:val="21"/>
                <w:szCs w:val="21"/>
                <w:lang w:val="en-US" w:eastAsia="zh-CN" w:bidi="ar"/>
              </w:rPr>
              <w:t>）</w:t>
            </w:r>
          </w:p>
        </w:tc>
        <w:tc>
          <w:tcPr>
            <w:tcW w:w="1753" w:type="dxa"/>
            <w:tcBorders>
              <w:top w:val="single" w:color="000000" w:sz="4" w:space="0"/>
              <w:left w:val="single" w:color="000000" w:sz="4" w:space="0"/>
              <w:bottom w:val="single" w:color="000000" w:sz="4" w:space="0"/>
              <w:right w:val="single" w:color="000000" w:sz="12" w:space="0"/>
            </w:tcBorders>
            <w:shd w:val="clear" w:color="auto" w:fill="auto"/>
            <w:tcMar>
              <w:top w:w="0" w:type="dxa"/>
              <w:left w:w="0" w:type="dxa"/>
              <w:bottom w:w="0" w:type="dxa"/>
              <w:right w:w="0" w:type="dxa"/>
            </w:tcMar>
            <w:vAlign w:val="center"/>
          </w:tcPr>
          <w:p w14:paraId="415B0942">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合计</w:t>
            </w:r>
          </w:p>
        </w:tc>
      </w:tr>
      <w:tr w14:paraId="0D540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C5C0361">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6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21D8556">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93"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2C4CF9E">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551"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5B4A1F38">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753" w:type="dxa"/>
            <w:tcBorders>
              <w:top w:val="single" w:color="000000" w:sz="4" w:space="0"/>
              <w:left w:val="single" w:color="000000" w:sz="4" w:space="0"/>
              <w:bottom w:val="single" w:color="000000" w:sz="4" w:space="0"/>
              <w:right w:val="single" w:color="000000" w:sz="12" w:space="0"/>
            </w:tcBorders>
            <w:shd w:val="clear" w:color="auto" w:fill="auto"/>
            <w:tcMar>
              <w:top w:w="0" w:type="dxa"/>
              <w:left w:w="0" w:type="dxa"/>
              <w:bottom w:w="0" w:type="dxa"/>
              <w:right w:w="0" w:type="dxa"/>
            </w:tcMar>
            <w:vAlign w:val="center"/>
          </w:tcPr>
          <w:p w14:paraId="0A60AECD">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w:t>
            </w:r>
            <w:r>
              <w:rPr>
                <w:rFonts w:hint="default" w:ascii="Times New Roman" w:hAnsi="Times New Roman" w:cs="Times New Roman"/>
                <w:kern w:val="0"/>
                <w:sz w:val="21"/>
                <w:szCs w:val="21"/>
                <w:lang w:val="en-US" w:eastAsia="zh-CN" w:bidi="ar"/>
              </w:rPr>
              <w:t>T1</w:t>
            </w:r>
            <w:r>
              <w:rPr>
                <w:rFonts w:hint="eastAsia" w:ascii="Times New Roman" w:hAnsi="Times New Roman" w:cs="Times New Roman"/>
                <w:kern w:val="0"/>
                <w:sz w:val="21"/>
                <w:szCs w:val="21"/>
                <w:lang w:val="en-US" w:eastAsia="zh-CN" w:bidi="ar"/>
              </w:rPr>
              <w:t>＋</w:t>
            </w:r>
            <w:r>
              <w:rPr>
                <w:rFonts w:hint="default" w:ascii="Times New Roman" w:hAnsi="Times New Roman" w:cs="Times New Roman"/>
                <w:kern w:val="0"/>
                <w:sz w:val="21"/>
                <w:szCs w:val="21"/>
                <w:lang w:val="en-US" w:eastAsia="zh-CN" w:bidi="ar"/>
              </w:rPr>
              <w:t>T2</w:t>
            </w:r>
            <w:r>
              <w:rPr>
                <w:rFonts w:hint="eastAsia" w:ascii="Times New Roman" w:hAnsi="Times New Roman" w:cs="Times New Roman"/>
                <w:kern w:val="0"/>
                <w:sz w:val="21"/>
                <w:szCs w:val="21"/>
                <w:lang w:val="en-US" w:eastAsia="zh-CN" w:bidi="ar"/>
              </w:rPr>
              <w:t>）</w:t>
            </w:r>
          </w:p>
        </w:tc>
      </w:tr>
      <w:tr w14:paraId="01EF2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4A34714">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地块一</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C0068E1">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建构筑物区</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BF7811D">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c>
          <w:tcPr>
            <w:tcW w:w="255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3859E0A">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753"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8A47AC3">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r>
      <w:tr w14:paraId="531E6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A49EE99">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35180C7">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道路及硬化区</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3DF9049">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c>
          <w:tcPr>
            <w:tcW w:w="255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35BD207">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753"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5C644375">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r>
      <w:tr w14:paraId="23DE3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001F832">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5439CD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绿化区</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E84D08C">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c>
          <w:tcPr>
            <w:tcW w:w="255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873B11A">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3.0 </w:t>
            </w:r>
          </w:p>
        </w:tc>
        <w:tc>
          <w:tcPr>
            <w:tcW w:w="1753"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4941271D">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3.83 </w:t>
            </w:r>
          </w:p>
        </w:tc>
      </w:tr>
      <w:tr w14:paraId="6B6B6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1122"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062F0BC">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地块二</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3FCA150">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建构筑物区</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CE3277B">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c>
          <w:tcPr>
            <w:tcW w:w="255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AB1C93E">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753"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4D53C13">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r>
      <w:tr w14:paraId="4C379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A907E20">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E18F697">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道路及硬化区</w:t>
            </w:r>
          </w:p>
        </w:tc>
        <w:tc>
          <w:tcPr>
            <w:tcW w:w="1993"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3AAE021">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c>
          <w:tcPr>
            <w:tcW w:w="2551"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7C3AF88">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753"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6208C9C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r>
      <w:tr w14:paraId="70641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122" w:type="dxa"/>
            <w:vMerge w:val="continue"/>
            <w:tcBorders>
              <w:top w:val="single" w:color="000000" w:sz="4" w:space="0"/>
              <w:left w:val="single" w:color="000000" w:sz="12"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65E36A71">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1963"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6D95DE9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绿化区</w:t>
            </w:r>
          </w:p>
        </w:tc>
        <w:tc>
          <w:tcPr>
            <w:tcW w:w="1993"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30CF6283">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0.83 </w:t>
            </w:r>
          </w:p>
        </w:tc>
        <w:tc>
          <w:tcPr>
            <w:tcW w:w="2551"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10EEB8EE">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3.0 </w:t>
            </w:r>
          </w:p>
        </w:tc>
        <w:tc>
          <w:tcPr>
            <w:tcW w:w="1753" w:type="dxa"/>
            <w:tcBorders>
              <w:top w:val="single" w:color="000000" w:sz="4" w:space="0"/>
              <w:left w:val="single" w:color="000000" w:sz="4" w:space="0"/>
              <w:bottom w:val="single" w:color="000000" w:sz="12" w:space="0"/>
              <w:right w:val="single" w:color="000000" w:sz="12" w:space="0"/>
            </w:tcBorders>
            <w:shd w:val="clear" w:color="auto" w:fill="auto"/>
            <w:noWrap/>
            <w:tcMar>
              <w:top w:w="0" w:type="dxa"/>
              <w:left w:w="0" w:type="dxa"/>
              <w:bottom w:w="0" w:type="dxa"/>
              <w:right w:w="0" w:type="dxa"/>
            </w:tcMar>
            <w:vAlign w:val="center"/>
          </w:tcPr>
          <w:p w14:paraId="4C3EFBF5">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 xml:space="preserve">3.83 </w:t>
            </w:r>
          </w:p>
        </w:tc>
      </w:tr>
    </w:tbl>
    <w:p w14:paraId="2479183B">
      <w:pPr>
        <w:pStyle w:val="4"/>
        <w:rPr>
          <w:rFonts w:hint="default" w:ascii="Times New Roman" w:hAnsi="Times New Roman" w:cs="Times New Roman"/>
        </w:rPr>
      </w:pPr>
      <w:r>
        <w:rPr>
          <w:rFonts w:hint="default" w:ascii="Times New Roman" w:hAnsi="Times New Roman" w:cs="Times New Roman"/>
        </w:rPr>
        <w:t>土壤侵蚀模数</w:t>
      </w:r>
    </w:p>
    <w:p w14:paraId="79A1E971">
      <w:pPr>
        <w:pStyle w:val="5"/>
        <w:rPr>
          <w:rFonts w:hint="default" w:ascii="Times New Roman" w:hAnsi="Times New Roman" w:cs="Times New Roman"/>
        </w:rPr>
      </w:pPr>
      <w:r>
        <w:rPr>
          <w:rFonts w:hint="default" w:ascii="Times New Roman" w:hAnsi="Times New Roman" w:cs="Times New Roman"/>
        </w:rPr>
        <w:t>原生土壤侵蚀模数取值</w:t>
      </w:r>
    </w:p>
    <w:p w14:paraId="4D835631">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项目区原始占地为建设用地，结合项目区地形地貌及土地利用方式，本方案水土流失预测中，各土地类型原生土壤侵蚀模数取值依照《云南省水土流失调查成果公告（2022年）》，结合实地踏勘综合分析后进行取值。原生土壤侵蚀模数取值情况详见表4-6。</w:t>
      </w:r>
    </w:p>
    <w:p w14:paraId="4EF8BF5D">
      <w:pPr>
        <w:pStyle w:val="83"/>
        <w:jc w:val="left"/>
        <w:rPr>
          <w:rFonts w:hint="default" w:ascii="Times New Roman" w:hAnsi="Times New Roman" w:eastAsia="仿宋_GB2312" w:cs="Times New Roman"/>
          <w:b/>
          <w:bCs w:val="0"/>
          <w:kern w:val="0"/>
          <w:szCs w:val="24"/>
          <w:lang w:bidi="en-US"/>
        </w:rPr>
      </w:pPr>
      <w:r>
        <w:rPr>
          <w:rFonts w:hint="default" w:ascii="Times New Roman" w:hAnsi="Times New Roman" w:eastAsia="仿宋_GB2312" w:cs="Times New Roman"/>
          <w:b/>
          <w:bCs w:val="0"/>
          <w:kern w:val="0"/>
          <w:szCs w:val="24"/>
          <w:lang w:bidi="en-US"/>
        </w:rPr>
        <w:t>表4-6                          原始土壤侵蚀模数取值</w:t>
      </w:r>
    </w:p>
    <w:tbl>
      <w:tblPr>
        <w:tblStyle w:val="27"/>
        <w:tblW w:w="957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6"/>
        <w:gridCol w:w="1056"/>
        <w:gridCol w:w="4942"/>
        <w:gridCol w:w="1698"/>
        <w:gridCol w:w="1238"/>
      </w:tblGrid>
      <w:tr w14:paraId="1A6145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636" w:type="dxa"/>
            <w:shd w:val="clear" w:color="auto" w:fill="auto"/>
            <w:noWrap/>
            <w:vAlign w:val="center"/>
          </w:tcPr>
          <w:p w14:paraId="0B723E32">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序号</w:t>
            </w:r>
          </w:p>
        </w:tc>
        <w:tc>
          <w:tcPr>
            <w:tcW w:w="1056" w:type="dxa"/>
            <w:shd w:val="clear" w:color="auto" w:fill="auto"/>
            <w:noWrap/>
            <w:vAlign w:val="center"/>
          </w:tcPr>
          <w:p w14:paraId="77B4D1EC">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占地类型</w:t>
            </w:r>
          </w:p>
        </w:tc>
        <w:tc>
          <w:tcPr>
            <w:tcW w:w="4942" w:type="dxa"/>
            <w:shd w:val="clear" w:color="auto" w:fill="auto"/>
            <w:noWrap/>
            <w:vAlign w:val="center"/>
          </w:tcPr>
          <w:p w14:paraId="7AB8FFD7">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自然因素</w:t>
            </w:r>
          </w:p>
        </w:tc>
        <w:tc>
          <w:tcPr>
            <w:tcW w:w="1698" w:type="dxa"/>
            <w:shd w:val="clear" w:color="auto" w:fill="auto"/>
            <w:vAlign w:val="center"/>
          </w:tcPr>
          <w:p w14:paraId="4E2ECAA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原生土壤侵蚀模数t/km</w:t>
            </w:r>
            <w:r>
              <w:rPr>
                <w:rFonts w:hint="default" w:ascii="Times New Roman" w:hAnsi="Times New Roman" w:cs="Times New Roman"/>
                <w:color w:val="000000"/>
                <w:kern w:val="0"/>
                <w:sz w:val="21"/>
                <w:szCs w:val="21"/>
                <w:vertAlign w:val="superscript"/>
              </w:rPr>
              <w:t>2</w:t>
            </w:r>
            <w:r>
              <w:rPr>
                <w:rFonts w:hint="default" w:ascii="Times New Roman" w:hAnsi="Times New Roman" w:cs="Times New Roman"/>
                <w:color w:val="000000"/>
                <w:kern w:val="0"/>
                <w:sz w:val="21"/>
                <w:szCs w:val="21"/>
              </w:rPr>
              <w:t>.a</w:t>
            </w:r>
          </w:p>
        </w:tc>
        <w:tc>
          <w:tcPr>
            <w:tcW w:w="1238" w:type="dxa"/>
            <w:shd w:val="clear" w:color="auto" w:fill="auto"/>
            <w:vAlign w:val="center"/>
          </w:tcPr>
          <w:p w14:paraId="76934D42">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侵蚀强度</w:t>
            </w:r>
          </w:p>
        </w:tc>
      </w:tr>
      <w:tr w14:paraId="66ECBE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0" w:hRule="atLeast"/>
        </w:trPr>
        <w:tc>
          <w:tcPr>
            <w:tcW w:w="636" w:type="dxa"/>
            <w:shd w:val="clear" w:color="auto" w:fill="auto"/>
            <w:noWrap/>
            <w:vAlign w:val="center"/>
          </w:tcPr>
          <w:p w14:paraId="3BAF835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c>
          <w:tcPr>
            <w:tcW w:w="1056" w:type="dxa"/>
            <w:shd w:val="clear" w:color="auto" w:fill="auto"/>
            <w:noWrap/>
            <w:vAlign w:val="center"/>
          </w:tcPr>
          <w:p w14:paraId="36F5CA2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建设用地</w:t>
            </w:r>
          </w:p>
        </w:tc>
        <w:tc>
          <w:tcPr>
            <w:tcW w:w="4942" w:type="dxa"/>
            <w:shd w:val="clear" w:color="auto" w:fill="auto"/>
            <w:noWrap/>
            <w:vAlign w:val="center"/>
          </w:tcPr>
          <w:p w14:paraId="6C9D1AC3">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原建设用地为构筑物、草地覆盖</w:t>
            </w:r>
          </w:p>
        </w:tc>
        <w:tc>
          <w:tcPr>
            <w:tcW w:w="1698" w:type="dxa"/>
            <w:shd w:val="clear" w:color="auto" w:fill="auto"/>
            <w:vAlign w:val="center"/>
          </w:tcPr>
          <w:p w14:paraId="49F1BE8A">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450</w:t>
            </w:r>
          </w:p>
        </w:tc>
        <w:tc>
          <w:tcPr>
            <w:tcW w:w="1238" w:type="dxa"/>
            <w:shd w:val="clear" w:color="auto" w:fill="auto"/>
            <w:vAlign w:val="center"/>
          </w:tcPr>
          <w:p w14:paraId="03308CD6">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微度侵蚀</w:t>
            </w:r>
          </w:p>
        </w:tc>
      </w:tr>
    </w:tbl>
    <w:p w14:paraId="14C153ED">
      <w:pPr>
        <w:adjustRightInd w:val="0"/>
        <w:snapToGrid w:val="0"/>
        <w:spacing w:before="156" w:beforeLines="50"/>
        <w:ind w:firstLine="480"/>
        <w:rPr>
          <w:rFonts w:hint="default" w:ascii="Times New Roman" w:hAnsi="Times New Roman" w:cs="Times New Roman"/>
          <w:kern w:val="0"/>
        </w:rPr>
      </w:pPr>
      <w:r>
        <w:rPr>
          <w:rFonts w:hint="default" w:ascii="Times New Roman" w:hAnsi="Times New Roman" w:cs="Times New Roman"/>
          <w:kern w:val="0"/>
        </w:rPr>
        <w:t>结合项目区原生占地情况确定其平均侵蚀模数为450t/km</w:t>
      </w:r>
      <w:r>
        <w:rPr>
          <w:rFonts w:hint="default" w:ascii="Times New Roman" w:hAnsi="Times New Roman" w:cs="Times New Roman"/>
          <w:kern w:val="0"/>
          <w:vertAlign w:val="superscript"/>
        </w:rPr>
        <w:t>2</w:t>
      </w:r>
      <w:r>
        <w:rPr>
          <w:rFonts w:hint="default" w:ascii="Times New Roman" w:hAnsi="Times New Roman" w:cs="Times New Roman"/>
          <w:kern w:val="0"/>
        </w:rPr>
        <w:t>·a。具体详见表4-7。</w:t>
      </w:r>
    </w:p>
    <w:p w14:paraId="17522CCD">
      <w:pPr>
        <w:pStyle w:val="83"/>
        <w:jc w:val="left"/>
        <w:rPr>
          <w:rFonts w:hint="default" w:ascii="Times New Roman" w:hAnsi="Times New Roman" w:eastAsia="仿宋_GB2312" w:cs="Times New Roman"/>
          <w:b/>
          <w:bCs w:val="0"/>
          <w:kern w:val="0"/>
          <w:szCs w:val="24"/>
          <w:lang w:bidi="en-US"/>
        </w:rPr>
      </w:pPr>
      <w:r>
        <w:rPr>
          <w:rFonts w:hint="default" w:ascii="Times New Roman" w:hAnsi="Times New Roman" w:eastAsia="仿宋_GB2312" w:cs="Times New Roman"/>
          <w:b/>
          <w:bCs w:val="0"/>
          <w:kern w:val="0"/>
          <w:szCs w:val="24"/>
          <w:lang w:bidi="en-US"/>
        </w:rPr>
        <w:t>表4-7            建设区域地表各预测分区原生土壤侵蚀模数统计</w:t>
      </w:r>
    </w:p>
    <w:tbl>
      <w:tblPr>
        <w:tblStyle w:val="27"/>
        <w:tblW w:w="93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88"/>
        <w:gridCol w:w="2217"/>
        <w:gridCol w:w="1730"/>
        <w:gridCol w:w="1248"/>
        <w:gridCol w:w="2697"/>
      </w:tblGrid>
      <w:tr w14:paraId="67315E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restart"/>
            <w:tcBorders>
              <w:tl2br w:val="nil"/>
              <w:tr2bl w:val="nil"/>
            </w:tcBorders>
            <w:shd w:val="clear" w:color="auto" w:fill="auto"/>
            <w:noWrap/>
            <w:vAlign w:val="center"/>
          </w:tcPr>
          <w:p w14:paraId="3C4180A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2217" w:type="dxa"/>
            <w:vMerge w:val="restart"/>
            <w:tcBorders>
              <w:tl2br w:val="nil"/>
              <w:tr2bl w:val="nil"/>
            </w:tcBorders>
            <w:shd w:val="clear" w:color="auto" w:fill="auto"/>
            <w:noWrap/>
            <w:vAlign w:val="center"/>
          </w:tcPr>
          <w:p w14:paraId="1332573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项目分区</w:t>
            </w:r>
          </w:p>
        </w:tc>
        <w:tc>
          <w:tcPr>
            <w:tcW w:w="2978" w:type="dxa"/>
            <w:gridSpan w:val="2"/>
            <w:tcBorders>
              <w:tl2br w:val="nil"/>
              <w:tr2bl w:val="nil"/>
            </w:tcBorders>
            <w:shd w:val="clear" w:color="auto" w:fill="auto"/>
            <w:noWrap/>
            <w:vAlign w:val="center"/>
          </w:tcPr>
          <w:p w14:paraId="4408BD8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预测面积（hm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2697" w:type="dxa"/>
            <w:vMerge w:val="restart"/>
            <w:tcBorders>
              <w:tl2br w:val="nil"/>
              <w:tr2bl w:val="nil"/>
            </w:tcBorders>
            <w:shd w:val="clear" w:color="auto" w:fill="auto"/>
            <w:vAlign w:val="center"/>
          </w:tcPr>
          <w:p w14:paraId="30F8F3A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原生土壤侵蚀模数</w:t>
            </w:r>
            <w:r>
              <w:rPr>
                <w:rFonts w:hint="default" w:ascii="Times New Roman" w:hAnsi="Times New Roman" w:eastAsia="仿宋_GB2312" w:cs="Times New Roman"/>
                <w:i w:val="0"/>
                <w:iCs w:val="0"/>
                <w:color w:val="000000"/>
                <w:kern w:val="0"/>
                <w:sz w:val="21"/>
                <w:szCs w:val="21"/>
                <w:u w:val="none"/>
                <w:lang w:val="en-US" w:eastAsia="zh-CN" w:bidi="ar"/>
              </w:rPr>
              <w:br w:type="textWrapping"/>
            </w:r>
            <w:r>
              <w:rPr>
                <w:rFonts w:hint="default" w:ascii="Times New Roman" w:hAnsi="Times New Roman" w:eastAsia="仿宋_GB2312" w:cs="Times New Roman"/>
                <w:i w:val="0"/>
                <w:iCs w:val="0"/>
                <w:color w:val="000000"/>
                <w:kern w:val="0"/>
                <w:sz w:val="21"/>
                <w:szCs w:val="21"/>
                <w:u w:val="none"/>
                <w:lang w:val="en-US" w:eastAsia="zh-CN" w:bidi="ar"/>
              </w:rPr>
              <w:t>t/km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.a</w:t>
            </w:r>
          </w:p>
        </w:tc>
      </w:tr>
      <w:tr w14:paraId="46CA54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28291746">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vMerge w:val="continue"/>
            <w:tcBorders>
              <w:tl2br w:val="nil"/>
              <w:tr2bl w:val="nil"/>
            </w:tcBorders>
            <w:shd w:val="clear" w:color="auto" w:fill="auto"/>
            <w:noWrap/>
            <w:vAlign w:val="center"/>
          </w:tcPr>
          <w:p w14:paraId="44322C53">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30" w:type="dxa"/>
            <w:tcBorders>
              <w:tl2br w:val="nil"/>
              <w:tr2bl w:val="nil"/>
            </w:tcBorders>
            <w:shd w:val="clear" w:color="auto" w:fill="auto"/>
            <w:noWrap/>
            <w:vAlign w:val="center"/>
          </w:tcPr>
          <w:p w14:paraId="1C4F635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建设用地</w:t>
            </w:r>
          </w:p>
        </w:tc>
        <w:tc>
          <w:tcPr>
            <w:tcW w:w="1248" w:type="dxa"/>
            <w:tcBorders>
              <w:tl2br w:val="nil"/>
              <w:tr2bl w:val="nil"/>
            </w:tcBorders>
            <w:shd w:val="clear" w:color="auto" w:fill="auto"/>
            <w:noWrap/>
            <w:vAlign w:val="center"/>
          </w:tcPr>
          <w:p w14:paraId="23CE6F8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697" w:type="dxa"/>
            <w:vMerge w:val="continue"/>
            <w:tcBorders>
              <w:tl2br w:val="nil"/>
              <w:tr2bl w:val="nil"/>
            </w:tcBorders>
            <w:shd w:val="clear" w:color="auto" w:fill="auto"/>
            <w:vAlign w:val="center"/>
          </w:tcPr>
          <w:p w14:paraId="5DF09398">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65306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restart"/>
            <w:tcBorders>
              <w:tl2br w:val="nil"/>
              <w:tr2bl w:val="nil"/>
            </w:tcBorders>
            <w:shd w:val="clear" w:color="auto" w:fill="auto"/>
            <w:noWrap/>
            <w:vAlign w:val="center"/>
          </w:tcPr>
          <w:p w14:paraId="3A701C5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2217" w:type="dxa"/>
            <w:tcBorders>
              <w:tl2br w:val="nil"/>
              <w:tr2bl w:val="nil"/>
            </w:tcBorders>
            <w:shd w:val="clear" w:color="auto" w:fill="auto"/>
            <w:noWrap/>
            <w:vAlign w:val="center"/>
          </w:tcPr>
          <w:p w14:paraId="7F653B1F">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730" w:type="dxa"/>
            <w:tcBorders>
              <w:tl2br w:val="nil"/>
              <w:tr2bl w:val="nil"/>
            </w:tcBorders>
            <w:shd w:val="clear" w:color="auto" w:fill="auto"/>
            <w:noWrap/>
            <w:vAlign w:val="center"/>
          </w:tcPr>
          <w:p w14:paraId="0DA02C7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0.30</w:t>
            </w:r>
          </w:p>
        </w:tc>
        <w:tc>
          <w:tcPr>
            <w:tcW w:w="1248" w:type="dxa"/>
            <w:tcBorders>
              <w:tl2br w:val="nil"/>
              <w:tr2bl w:val="nil"/>
            </w:tcBorders>
            <w:shd w:val="clear" w:color="auto" w:fill="auto"/>
            <w:noWrap/>
            <w:vAlign w:val="center"/>
          </w:tcPr>
          <w:p w14:paraId="0BCE9EFC">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2697" w:type="dxa"/>
            <w:tcBorders>
              <w:tl2br w:val="nil"/>
              <w:tr2bl w:val="nil"/>
            </w:tcBorders>
            <w:shd w:val="clear" w:color="auto" w:fill="auto"/>
            <w:noWrap/>
            <w:vAlign w:val="center"/>
          </w:tcPr>
          <w:p w14:paraId="73533B9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664990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627DC59A">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tcBorders>
              <w:tl2br w:val="nil"/>
              <w:tr2bl w:val="nil"/>
            </w:tcBorders>
            <w:shd w:val="clear" w:color="auto" w:fill="auto"/>
            <w:noWrap/>
            <w:vAlign w:val="center"/>
          </w:tcPr>
          <w:p w14:paraId="76131103">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730" w:type="dxa"/>
            <w:tcBorders>
              <w:tl2br w:val="nil"/>
              <w:tr2bl w:val="nil"/>
            </w:tcBorders>
            <w:shd w:val="clear" w:color="auto" w:fill="auto"/>
            <w:noWrap/>
            <w:vAlign w:val="center"/>
          </w:tcPr>
          <w:p w14:paraId="2010ADD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0.21</w:t>
            </w:r>
          </w:p>
        </w:tc>
        <w:tc>
          <w:tcPr>
            <w:tcW w:w="1248" w:type="dxa"/>
            <w:tcBorders>
              <w:tl2br w:val="nil"/>
              <w:tr2bl w:val="nil"/>
            </w:tcBorders>
            <w:shd w:val="clear" w:color="auto" w:fill="auto"/>
            <w:noWrap/>
            <w:vAlign w:val="center"/>
          </w:tcPr>
          <w:p w14:paraId="050A1A7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2697" w:type="dxa"/>
            <w:tcBorders>
              <w:tl2br w:val="nil"/>
              <w:tr2bl w:val="nil"/>
            </w:tcBorders>
            <w:shd w:val="clear" w:color="auto" w:fill="auto"/>
            <w:noWrap/>
            <w:vAlign w:val="center"/>
          </w:tcPr>
          <w:p w14:paraId="4AA4EFE6">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352FCA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7C26AE1F">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tcBorders>
              <w:tl2br w:val="nil"/>
              <w:tr2bl w:val="nil"/>
            </w:tcBorders>
            <w:shd w:val="clear" w:color="auto" w:fill="auto"/>
            <w:noWrap/>
            <w:vAlign w:val="center"/>
          </w:tcPr>
          <w:p w14:paraId="084964F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730" w:type="dxa"/>
            <w:tcBorders>
              <w:tl2br w:val="nil"/>
              <w:tr2bl w:val="nil"/>
            </w:tcBorders>
            <w:shd w:val="clear" w:color="auto" w:fill="auto"/>
            <w:noWrap/>
            <w:vAlign w:val="center"/>
          </w:tcPr>
          <w:p w14:paraId="213A6CE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0.09</w:t>
            </w:r>
          </w:p>
        </w:tc>
        <w:tc>
          <w:tcPr>
            <w:tcW w:w="1248" w:type="dxa"/>
            <w:tcBorders>
              <w:tl2br w:val="nil"/>
              <w:tr2bl w:val="nil"/>
            </w:tcBorders>
            <w:shd w:val="clear" w:color="auto" w:fill="auto"/>
            <w:noWrap/>
            <w:vAlign w:val="center"/>
          </w:tcPr>
          <w:p w14:paraId="14AD6A8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2697" w:type="dxa"/>
            <w:tcBorders>
              <w:tl2br w:val="nil"/>
              <w:tr2bl w:val="nil"/>
            </w:tcBorders>
            <w:shd w:val="clear" w:color="auto" w:fill="auto"/>
            <w:noWrap/>
            <w:vAlign w:val="center"/>
          </w:tcPr>
          <w:p w14:paraId="50F38EE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5FAFA6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3514BD7B">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tcBorders>
              <w:tl2br w:val="nil"/>
              <w:tr2bl w:val="nil"/>
            </w:tcBorders>
            <w:shd w:val="clear" w:color="auto" w:fill="auto"/>
            <w:noWrap/>
            <w:vAlign w:val="center"/>
          </w:tcPr>
          <w:p w14:paraId="6ED2AE2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730" w:type="dxa"/>
            <w:tcBorders>
              <w:tl2br w:val="nil"/>
              <w:tr2bl w:val="nil"/>
            </w:tcBorders>
            <w:shd w:val="clear" w:color="auto" w:fill="auto"/>
            <w:noWrap/>
            <w:vAlign w:val="center"/>
          </w:tcPr>
          <w:p w14:paraId="7AEAF7D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0.60</w:t>
            </w:r>
          </w:p>
        </w:tc>
        <w:tc>
          <w:tcPr>
            <w:tcW w:w="1248" w:type="dxa"/>
            <w:tcBorders>
              <w:tl2br w:val="nil"/>
              <w:tr2bl w:val="nil"/>
            </w:tcBorders>
            <w:shd w:val="clear" w:color="auto" w:fill="auto"/>
            <w:noWrap/>
            <w:vAlign w:val="center"/>
          </w:tcPr>
          <w:p w14:paraId="17A94B67">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0.60 </w:t>
            </w:r>
          </w:p>
        </w:tc>
        <w:tc>
          <w:tcPr>
            <w:tcW w:w="2697" w:type="dxa"/>
            <w:tcBorders>
              <w:tl2br w:val="nil"/>
              <w:tr2bl w:val="nil"/>
            </w:tcBorders>
            <w:shd w:val="clear" w:color="auto" w:fill="auto"/>
            <w:noWrap/>
            <w:vAlign w:val="center"/>
          </w:tcPr>
          <w:p w14:paraId="42A55EB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6D49E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restart"/>
            <w:tcBorders>
              <w:tl2br w:val="nil"/>
              <w:tr2bl w:val="nil"/>
            </w:tcBorders>
            <w:shd w:val="clear" w:color="auto" w:fill="auto"/>
            <w:noWrap/>
            <w:vAlign w:val="center"/>
          </w:tcPr>
          <w:p w14:paraId="7FBF9F84">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2217" w:type="dxa"/>
            <w:tcBorders>
              <w:tl2br w:val="nil"/>
              <w:tr2bl w:val="nil"/>
            </w:tcBorders>
            <w:shd w:val="clear" w:color="auto" w:fill="auto"/>
            <w:noWrap/>
            <w:vAlign w:val="center"/>
          </w:tcPr>
          <w:p w14:paraId="68DB9D58">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730" w:type="dxa"/>
            <w:tcBorders>
              <w:tl2br w:val="nil"/>
              <w:tr2bl w:val="nil"/>
            </w:tcBorders>
            <w:shd w:val="clear" w:color="auto" w:fill="auto"/>
            <w:noWrap/>
            <w:vAlign w:val="center"/>
          </w:tcPr>
          <w:p w14:paraId="52CDF00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0.57</w:t>
            </w:r>
          </w:p>
        </w:tc>
        <w:tc>
          <w:tcPr>
            <w:tcW w:w="1248" w:type="dxa"/>
            <w:tcBorders>
              <w:tl2br w:val="nil"/>
              <w:tr2bl w:val="nil"/>
            </w:tcBorders>
            <w:shd w:val="clear" w:color="auto" w:fill="auto"/>
            <w:noWrap/>
            <w:vAlign w:val="center"/>
          </w:tcPr>
          <w:p w14:paraId="194F6D2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2697" w:type="dxa"/>
            <w:tcBorders>
              <w:tl2br w:val="nil"/>
              <w:tr2bl w:val="nil"/>
            </w:tcBorders>
            <w:shd w:val="clear" w:color="auto" w:fill="auto"/>
            <w:noWrap/>
            <w:vAlign w:val="center"/>
          </w:tcPr>
          <w:p w14:paraId="5934E5C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11CFDD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4F030C24">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tcBorders>
              <w:tl2br w:val="nil"/>
              <w:tr2bl w:val="nil"/>
            </w:tcBorders>
            <w:shd w:val="clear" w:color="auto" w:fill="auto"/>
            <w:noWrap/>
            <w:vAlign w:val="center"/>
          </w:tcPr>
          <w:p w14:paraId="7B6C12F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730" w:type="dxa"/>
            <w:tcBorders>
              <w:tl2br w:val="nil"/>
              <w:tr2bl w:val="nil"/>
            </w:tcBorders>
            <w:shd w:val="clear" w:color="auto" w:fill="auto"/>
            <w:noWrap/>
            <w:vAlign w:val="center"/>
          </w:tcPr>
          <w:p w14:paraId="5E019FD2">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0.20</w:t>
            </w:r>
          </w:p>
        </w:tc>
        <w:tc>
          <w:tcPr>
            <w:tcW w:w="1248" w:type="dxa"/>
            <w:tcBorders>
              <w:tl2br w:val="nil"/>
              <w:tr2bl w:val="nil"/>
            </w:tcBorders>
            <w:shd w:val="clear" w:color="auto" w:fill="auto"/>
            <w:noWrap/>
            <w:vAlign w:val="center"/>
          </w:tcPr>
          <w:p w14:paraId="0646158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2697" w:type="dxa"/>
            <w:tcBorders>
              <w:tl2br w:val="nil"/>
              <w:tr2bl w:val="nil"/>
            </w:tcBorders>
            <w:shd w:val="clear" w:color="auto" w:fill="auto"/>
            <w:noWrap/>
            <w:vAlign w:val="center"/>
          </w:tcPr>
          <w:p w14:paraId="1206E5AD">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1AE068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172169F5">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tcBorders>
              <w:tl2br w:val="nil"/>
              <w:tr2bl w:val="nil"/>
            </w:tcBorders>
            <w:shd w:val="clear" w:color="auto" w:fill="auto"/>
            <w:noWrap/>
            <w:vAlign w:val="center"/>
          </w:tcPr>
          <w:p w14:paraId="7369EB1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730" w:type="dxa"/>
            <w:tcBorders>
              <w:tl2br w:val="nil"/>
              <w:tr2bl w:val="nil"/>
            </w:tcBorders>
            <w:shd w:val="clear" w:color="auto" w:fill="auto"/>
            <w:noWrap/>
            <w:vAlign w:val="center"/>
          </w:tcPr>
          <w:p w14:paraId="16706D59">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0.14</w:t>
            </w:r>
          </w:p>
        </w:tc>
        <w:tc>
          <w:tcPr>
            <w:tcW w:w="1248" w:type="dxa"/>
            <w:tcBorders>
              <w:tl2br w:val="nil"/>
              <w:tr2bl w:val="nil"/>
            </w:tcBorders>
            <w:shd w:val="clear" w:color="auto" w:fill="auto"/>
            <w:noWrap/>
            <w:vAlign w:val="center"/>
          </w:tcPr>
          <w:p w14:paraId="7FB148D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2697" w:type="dxa"/>
            <w:tcBorders>
              <w:tl2br w:val="nil"/>
              <w:tr2bl w:val="nil"/>
            </w:tcBorders>
            <w:shd w:val="clear" w:color="auto" w:fill="auto"/>
            <w:noWrap/>
            <w:vAlign w:val="center"/>
          </w:tcPr>
          <w:p w14:paraId="20E54121">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479F62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488" w:type="dxa"/>
            <w:vMerge w:val="continue"/>
            <w:tcBorders>
              <w:tl2br w:val="nil"/>
              <w:tr2bl w:val="nil"/>
            </w:tcBorders>
            <w:shd w:val="clear" w:color="auto" w:fill="auto"/>
            <w:noWrap/>
            <w:vAlign w:val="center"/>
          </w:tcPr>
          <w:p w14:paraId="65CCCC88">
            <w:pPr>
              <w:keepNext w:val="0"/>
              <w:keepLines w:val="0"/>
              <w:pageBreakBefore w:val="0"/>
              <w:widowControl/>
              <w:kinsoku/>
              <w:wordWrap/>
              <w:overflowPunct/>
              <w:topLinePunct w:val="0"/>
              <w:autoSpaceDE/>
              <w:autoSpaceDN/>
              <w:bidi w:val="0"/>
              <w:adjustRightInd/>
              <w:snapToGrid/>
              <w:spacing w:line="36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17" w:type="dxa"/>
            <w:tcBorders>
              <w:tl2br w:val="nil"/>
              <w:tr2bl w:val="nil"/>
            </w:tcBorders>
            <w:shd w:val="clear" w:color="auto" w:fill="auto"/>
            <w:noWrap/>
            <w:vAlign w:val="center"/>
          </w:tcPr>
          <w:p w14:paraId="10441E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730" w:type="dxa"/>
            <w:tcBorders>
              <w:tl2br w:val="nil"/>
              <w:tr2bl w:val="nil"/>
            </w:tcBorders>
            <w:shd w:val="clear" w:color="auto" w:fill="auto"/>
            <w:noWrap/>
            <w:vAlign w:val="center"/>
          </w:tcPr>
          <w:p w14:paraId="5555D82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0.91</w:t>
            </w:r>
          </w:p>
        </w:tc>
        <w:tc>
          <w:tcPr>
            <w:tcW w:w="1248" w:type="dxa"/>
            <w:tcBorders>
              <w:tl2br w:val="nil"/>
              <w:tr2bl w:val="nil"/>
            </w:tcBorders>
            <w:shd w:val="clear" w:color="auto" w:fill="auto"/>
            <w:noWrap/>
            <w:vAlign w:val="center"/>
          </w:tcPr>
          <w:p w14:paraId="2721ABDA">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0.91 </w:t>
            </w:r>
          </w:p>
        </w:tc>
        <w:tc>
          <w:tcPr>
            <w:tcW w:w="2697" w:type="dxa"/>
            <w:tcBorders>
              <w:tl2br w:val="nil"/>
              <w:tr2bl w:val="nil"/>
            </w:tcBorders>
            <w:shd w:val="clear" w:color="auto" w:fill="auto"/>
            <w:noWrap/>
            <w:vAlign w:val="center"/>
          </w:tcPr>
          <w:p w14:paraId="172AA8C5">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r w14:paraId="187A9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3705" w:type="dxa"/>
            <w:gridSpan w:val="2"/>
            <w:tcBorders>
              <w:tl2br w:val="nil"/>
              <w:tr2bl w:val="nil"/>
            </w:tcBorders>
            <w:shd w:val="clear" w:color="auto" w:fill="auto"/>
            <w:noWrap/>
            <w:vAlign w:val="center"/>
          </w:tcPr>
          <w:p w14:paraId="659E595B">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730" w:type="dxa"/>
            <w:tcBorders>
              <w:tl2br w:val="nil"/>
              <w:tr2bl w:val="nil"/>
            </w:tcBorders>
            <w:shd w:val="clear" w:color="auto" w:fill="auto"/>
            <w:noWrap/>
            <w:vAlign w:val="center"/>
          </w:tcPr>
          <w:p w14:paraId="3823443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1.51</w:t>
            </w:r>
          </w:p>
        </w:tc>
        <w:tc>
          <w:tcPr>
            <w:tcW w:w="1248" w:type="dxa"/>
            <w:tcBorders>
              <w:tl2br w:val="nil"/>
              <w:tr2bl w:val="nil"/>
            </w:tcBorders>
            <w:shd w:val="clear" w:color="auto" w:fill="auto"/>
            <w:noWrap/>
            <w:vAlign w:val="center"/>
          </w:tcPr>
          <w:p w14:paraId="037C4E00">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c>
          <w:tcPr>
            <w:tcW w:w="2697" w:type="dxa"/>
            <w:tcBorders>
              <w:tl2br w:val="nil"/>
              <w:tr2bl w:val="nil"/>
            </w:tcBorders>
            <w:shd w:val="clear" w:color="auto" w:fill="auto"/>
            <w:noWrap/>
            <w:vAlign w:val="center"/>
          </w:tcPr>
          <w:p w14:paraId="2EBA430E">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r>
    </w:tbl>
    <w:p w14:paraId="491CA560">
      <w:pPr>
        <w:pStyle w:val="5"/>
        <w:rPr>
          <w:rFonts w:hint="default" w:ascii="Times New Roman" w:hAnsi="Times New Roman" w:cs="Times New Roman"/>
        </w:rPr>
      </w:pPr>
      <w:bookmarkStart w:id="63" w:name="_Hlk82424701"/>
      <w:r>
        <w:rPr>
          <w:rFonts w:hint="default" w:ascii="Times New Roman" w:hAnsi="Times New Roman" w:cs="Times New Roman"/>
        </w:rPr>
        <w:t>扰动后各预测分区土壤侵蚀模数取值</w:t>
      </w:r>
    </w:p>
    <w:bookmarkEnd w:id="63"/>
    <w:p w14:paraId="05563C7B">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根据本工程地形、地貌、降雨、土壤等水土流失影响因子的特性及预测对象受扰动情况，结合当地有关部门及专家的经验值，按水土流失最不利条件来取最大土壤侵蚀模数，最后确定扰动后的土壤侵蚀模数。</w:t>
      </w:r>
    </w:p>
    <w:p w14:paraId="2B991CC7">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扰动后各预测分区的土壤侵蚀模数取值见表4-8。</w:t>
      </w:r>
    </w:p>
    <w:p w14:paraId="06F4D839">
      <w:pPr>
        <w:pStyle w:val="83"/>
        <w:jc w:val="left"/>
        <w:rPr>
          <w:rFonts w:hint="default" w:ascii="Times New Roman" w:hAnsi="Times New Roman" w:eastAsia="仿宋_GB2312" w:cs="Times New Roman"/>
          <w:b/>
          <w:bCs w:val="0"/>
          <w:kern w:val="0"/>
          <w:szCs w:val="24"/>
          <w:lang w:bidi="en-US"/>
        </w:rPr>
      </w:pPr>
      <w:r>
        <w:rPr>
          <w:rFonts w:hint="default" w:ascii="Times New Roman" w:hAnsi="Times New Roman" w:eastAsia="仿宋_GB2312" w:cs="Times New Roman"/>
          <w:b/>
          <w:bCs w:val="0"/>
          <w:kern w:val="0"/>
          <w:szCs w:val="24"/>
          <w:lang w:bidi="en-US"/>
        </w:rPr>
        <w:t>表4-8                  施工扰动后各区土壤侵蚀模数取值表</w:t>
      </w:r>
    </w:p>
    <w:tbl>
      <w:tblPr>
        <w:tblStyle w:val="27"/>
        <w:tblW w:w="93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2057"/>
        <w:gridCol w:w="2592"/>
        <w:gridCol w:w="3421"/>
      </w:tblGrid>
      <w:tr w14:paraId="532561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restart"/>
            <w:tcBorders>
              <w:tl2br w:val="nil"/>
              <w:tr2bl w:val="nil"/>
            </w:tcBorders>
            <w:shd w:val="clear" w:color="auto" w:fill="auto"/>
            <w:noWrap/>
            <w:vAlign w:val="center"/>
          </w:tcPr>
          <w:p w14:paraId="2842665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地块</w:t>
            </w:r>
          </w:p>
        </w:tc>
        <w:tc>
          <w:tcPr>
            <w:tcW w:w="2057" w:type="dxa"/>
            <w:vMerge w:val="restart"/>
            <w:tcBorders>
              <w:tl2br w:val="nil"/>
              <w:tr2bl w:val="nil"/>
            </w:tcBorders>
            <w:shd w:val="clear" w:color="auto" w:fill="auto"/>
            <w:noWrap/>
            <w:vAlign w:val="center"/>
          </w:tcPr>
          <w:p w14:paraId="6FB1506B">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项目分区</w:t>
            </w:r>
          </w:p>
        </w:tc>
        <w:tc>
          <w:tcPr>
            <w:tcW w:w="6013" w:type="dxa"/>
            <w:gridSpan w:val="2"/>
            <w:tcBorders>
              <w:tl2br w:val="nil"/>
              <w:tr2bl w:val="nil"/>
            </w:tcBorders>
            <w:shd w:val="clear" w:color="auto" w:fill="auto"/>
            <w:noWrap/>
            <w:vAlign w:val="center"/>
          </w:tcPr>
          <w:p w14:paraId="1197A50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工程建设扰动后土壤侵蚀模数（t/km</w:t>
            </w:r>
            <w:r>
              <w:rPr>
                <w:rFonts w:hint="eastAsia" w:ascii="Times New Roman" w:hAnsi="Times New Roman" w:cs="Times New Roman"/>
                <w:kern w:val="0"/>
                <w:sz w:val="21"/>
                <w:szCs w:val="21"/>
                <w:vertAlign w:val="superscript"/>
                <w:lang w:val="en-US" w:eastAsia="zh-CN" w:bidi="ar"/>
              </w:rPr>
              <w:t>2</w:t>
            </w:r>
            <w:r>
              <w:rPr>
                <w:rFonts w:hint="eastAsia" w:ascii="Times New Roman" w:hAnsi="Times New Roman" w:cs="Times New Roman"/>
                <w:kern w:val="0"/>
                <w:sz w:val="21"/>
                <w:szCs w:val="21"/>
                <w:lang w:val="en-US" w:eastAsia="zh-CN" w:bidi="ar"/>
              </w:rPr>
              <w:t>.a）</w:t>
            </w:r>
          </w:p>
        </w:tc>
      </w:tr>
      <w:tr w14:paraId="4EFC22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3A3062D9">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vMerge w:val="continue"/>
            <w:tcBorders>
              <w:tl2br w:val="nil"/>
              <w:tr2bl w:val="nil"/>
            </w:tcBorders>
            <w:shd w:val="clear" w:color="auto" w:fill="auto"/>
            <w:noWrap/>
            <w:vAlign w:val="center"/>
          </w:tcPr>
          <w:p w14:paraId="7C5BCDD7">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592" w:type="dxa"/>
            <w:tcBorders>
              <w:tl2br w:val="nil"/>
              <w:tr2bl w:val="nil"/>
            </w:tcBorders>
            <w:shd w:val="clear" w:color="auto" w:fill="auto"/>
            <w:noWrap/>
            <w:vAlign w:val="center"/>
          </w:tcPr>
          <w:p w14:paraId="2935A53F">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施工期</w:t>
            </w:r>
          </w:p>
        </w:tc>
        <w:tc>
          <w:tcPr>
            <w:tcW w:w="3421" w:type="dxa"/>
            <w:tcBorders>
              <w:tl2br w:val="nil"/>
              <w:tr2bl w:val="nil"/>
            </w:tcBorders>
            <w:shd w:val="clear" w:color="auto" w:fill="auto"/>
            <w:noWrap/>
            <w:vAlign w:val="center"/>
          </w:tcPr>
          <w:p w14:paraId="30A69F5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自然恢复期</w:t>
            </w:r>
          </w:p>
        </w:tc>
      </w:tr>
      <w:tr w14:paraId="5D20CE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restart"/>
            <w:tcBorders>
              <w:tl2br w:val="nil"/>
              <w:tr2bl w:val="nil"/>
            </w:tcBorders>
            <w:shd w:val="clear" w:color="auto" w:fill="auto"/>
            <w:noWrap/>
            <w:vAlign w:val="center"/>
          </w:tcPr>
          <w:p w14:paraId="5D64A3C4">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地块一</w:t>
            </w:r>
          </w:p>
        </w:tc>
        <w:tc>
          <w:tcPr>
            <w:tcW w:w="2057" w:type="dxa"/>
            <w:tcBorders>
              <w:tl2br w:val="nil"/>
              <w:tr2bl w:val="nil"/>
            </w:tcBorders>
            <w:shd w:val="clear" w:color="auto" w:fill="auto"/>
            <w:noWrap/>
            <w:vAlign w:val="center"/>
          </w:tcPr>
          <w:p w14:paraId="54E4A47C">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建构筑物区</w:t>
            </w:r>
          </w:p>
        </w:tc>
        <w:tc>
          <w:tcPr>
            <w:tcW w:w="2592" w:type="dxa"/>
            <w:tcBorders>
              <w:tl2br w:val="nil"/>
              <w:tr2bl w:val="nil"/>
            </w:tcBorders>
            <w:shd w:val="clear" w:color="auto" w:fill="auto"/>
            <w:noWrap/>
            <w:vAlign w:val="center"/>
          </w:tcPr>
          <w:p w14:paraId="5BF48F2A">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6000</w:t>
            </w:r>
          </w:p>
        </w:tc>
        <w:tc>
          <w:tcPr>
            <w:tcW w:w="3421" w:type="dxa"/>
            <w:tcBorders>
              <w:tl2br w:val="nil"/>
              <w:tr2bl w:val="nil"/>
            </w:tcBorders>
            <w:shd w:val="clear" w:color="auto" w:fill="auto"/>
            <w:noWrap/>
            <w:vAlign w:val="center"/>
          </w:tcPr>
          <w:p w14:paraId="11F5B523">
            <w:pPr>
              <w:spacing w:line="240" w:lineRule="auto"/>
              <w:ind w:firstLine="0" w:firstLineChars="0"/>
              <w:jc w:val="center"/>
              <w:textAlignment w:val="center"/>
              <w:rPr>
                <w:rFonts w:hint="eastAsia" w:ascii="Times New Roman" w:hAnsi="Times New Roman" w:cs="Times New Roman"/>
                <w:kern w:val="0"/>
                <w:sz w:val="21"/>
                <w:szCs w:val="21"/>
                <w:lang w:bidi="ar"/>
              </w:rPr>
            </w:pPr>
          </w:p>
        </w:tc>
      </w:tr>
      <w:tr w14:paraId="0FEF4F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0139DDA5">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tcBorders>
              <w:tl2br w:val="nil"/>
              <w:tr2bl w:val="nil"/>
            </w:tcBorders>
            <w:shd w:val="clear" w:color="auto" w:fill="auto"/>
            <w:noWrap/>
            <w:vAlign w:val="center"/>
          </w:tcPr>
          <w:p w14:paraId="4FBAAA33">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道路及硬化区</w:t>
            </w:r>
          </w:p>
        </w:tc>
        <w:tc>
          <w:tcPr>
            <w:tcW w:w="2592" w:type="dxa"/>
            <w:tcBorders>
              <w:tl2br w:val="nil"/>
              <w:tr2bl w:val="nil"/>
            </w:tcBorders>
            <w:shd w:val="clear" w:color="auto" w:fill="auto"/>
            <w:noWrap/>
            <w:vAlign w:val="center"/>
          </w:tcPr>
          <w:p w14:paraId="17AA554A">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5500</w:t>
            </w:r>
          </w:p>
        </w:tc>
        <w:tc>
          <w:tcPr>
            <w:tcW w:w="3421" w:type="dxa"/>
            <w:tcBorders>
              <w:tl2br w:val="nil"/>
              <w:tr2bl w:val="nil"/>
            </w:tcBorders>
            <w:shd w:val="clear" w:color="auto" w:fill="auto"/>
            <w:noWrap/>
            <w:vAlign w:val="center"/>
          </w:tcPr>
          <w:p w14:paraId="4AB0A590">
            <w:pPr>
              <w:spacing w:line="240" w:lineRule="auto"/>
              <w:ind w:firstLine="0" w:firstLineChars="0"/>
              <w:jc w:val="center"/>
              <w:textAlignment w:val="center"/>
              <w:rPr>
                <w:rFonts w:hint="eastAsia" w:ascii="Times New Roman" w:hAnsi="Times New Roman" w:cs="Times New Roman"/>
                <w:kern w:val="0"/>
                <w:sz w:val="21"/>
                <w:szCs w:val="21"/>
                <w:lang w:bidi="ar"/>
              </w:rPr>
            </w:pPr>
          </w:p>
        </w:tc>
      </w:tr>
      <w:tr w14:paraId="6C8381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19480234">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tcBorders>
              <w:tl2br w:val="nil"/>
              <w:tr2bl w:val="nil"/>
            </w:tcBorders>
            <w:shd w:val="clear" w:color="auto" w:fill="auto"/>
            <w:noWrap/>
            <w:vAlign w:val="center"/>
          </w:tcPr>
          <w:p w14:paraId="3FB92D9C">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绿化区</w:t>
            </w:r>
          </w:p>
        </w:tc>
        <w:tc>
          <w:tcPr>
            <w:tcW w:w="2592" w:type="dxa"/>
            <w:tcBorders>
              <w:tl2br w:val="nil"/>
              <w:tr2bl w:val="nil"/>
            </w:tcBorders>
            <w:shd w:val="clear" w:color="auto" w:fill="auto"/>
            <w:noWrap/>
            <w:vAlign w:val="center"/>
          </w:tcPr>
          <w:p w14:paraId="192AA4A8">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5500</w:t>
            </w:r>
          </w:p>
        </w:tc>
        <w:tc>
          <w:tcPr>
            <w:tcW w:w="3421" w:type="dxa"/>
            <w:tcBorders>
              <w:tl2br w:val="nil"/>
              <w:tr2bl w:val="nil"/>
            </w:tcBorders>
            <w:shd w:val="clear" w:color="auto" w:fill="auto"/>
            <w:noWrap/>
            <w:vAlign w:val="center"/>
          </w:tcPr>
          <w:p w14:paraId="46554578">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600</w:t>
            </w:r>
          </w:p>
        </w:tc>
      </w:tr>
      <w:tr w14:paraId="61647B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139A6EC5">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tcBorders>
              <w:tl2br w:val="nil"/>
              <w:tr2bl w:val="nil"/>
            </w:tcBorders>
            <w:shd w:val="clear" w:color="auto" w:fill="auto"/>
            <w:noWrap/>
            <w:vAlign w:val="center"/>
          </w:tcPr>
          <w:p w14:paraId="28FDC9A3">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小计</w:t>
            </w:r>
          </w:p>
        </w:tc>
        <w:tc>
          <w:tcPr>
            <w:tcW w:w="2592" w:type="dxa"/>
            <w:tcBorders>
              <w:tl2br w:val="nil"/>
              <w:tr2bl w:val="nil"/>
            </w:tcBorders>
            <w:shd w:val="clear" w:color="auto" w:fill="auto"/>
            <w:noWrap/>
            <w:vAlign w:val="center"/>
          </w:tcPr>
          <w:p w14:paraId="3D007AAB">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3421" w:type="dxa"/>
            <w:tcBorders>
              <w:tl2br w:val="nil"/>
              <w:tr2bl w:val="nil"/>
            </w:tcBorders>
            <w:shd w:val="clear" w:color="auto" w:fill="auto"/>
            <w:noWrap/>
            <w:vAlign w:val="center"/>
          </w:tcPr>
          <w:p w14:paraId="216D72D1">
            <w:pPr>
              <w:spacing w:line="240" w:lineRule="auto"/>
              <w:ind w:firstLine="0" w:firstLineChars="0"/>
              <w:jc w:val="center"/>
              <w:textAlignment w:val="center"/>
              <w:rPr>
                <w:rFonts w:hint="eastAsia" w:ascii="Times New Roman" w:hAnsi="Times New Roman" w:cs="Times New Roman"/>
                <w:kern w:val="0"/>
                <w:sz w:val="21"/>
                <w:szCs w:val="21"/>
                <w:lang w:bidi="ar"/>
              </w:rPr>
            </w:pPr>
          </w:p>
        </w:tc>
      </w:tr>
      <w:tr w14:paraId="13E17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restart"/>
            <w:tcBorders>
              <w:tl2br w:val="nil"/>
              <w:tr2bl w:val="nil"/>
            </w:tcBorders>
            <w:shd w:val="clear" w:color="auto" w:fill="auto"/>
            <w:noWrap/>
            <w:vAlign w:val="center"/>
          </w:tcPr>
          <w:p w14:paraId="10395153">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地块二</w:t>
            </w:r>
          </w:p>
        </w:tc>
        <w:tc>
          <w:tcPr>
            <w:tcW w:w="2057" w:type="dxa"/>
            <w:tcBorders>
              <w:tl2br w:val="nil"/>
              <w:tr2bl w:val="nil"/>
            </w:tcBorders>
            <w:shd w:val="clear" w:color="auto" w:fill="auto"/>
            <w:noWrap/>
            <w:vAlign w:val="center"/>
          </w:tcPr>
          <w:p w14:paraId="3871E4F5">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建构筑物区</w:t>
            </w:r>
          </w:p>
        </w:tc>
        <w:tc>
          <w:tcPr>
            <w:tcW w:w="2592" w:type="dxa"/>
            <w:tcBorders>
              <w:tl2br w:val="nil"/>
              <w:tr2bl w:val="nil"/>
            </w:tcBorders>
            <w:shd w:val="clear" w:color="auto" w:fill="auto"/>
            <w:noWrap/>
            <w:vAlign w:val="center"/>
          </w:tcPr>
          <w:p w14:paraId="17D701C6">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6000</w:t>
            </w:r>
          </w:p>
        </w:tc>
        <w:tc>
          <w:tcPr>
            <w:tcW w:w="3421" w:type="dxa"/>
            <w:tcBorders>
              <w:tl2br w:val="nil"/>
              <w:tr2bl w:val="nil"/>
            </w:tcBorders>
            <w:shd w:val="clear" w:color="auto" w:fill="auto"/>
            <w:noWrap/>
            <w:vAlign w:val="center"/>
          </w:tcPr>
          <w:p w14:paraId="095A59C4">
            <w:pPr>
              <w:spacing w:line="240" w:lineRule="auto"/>
              <w:ind w:firstLine="0" w:firstLineChars="0"/>
              <w:jc w:val="center"/>
              <w:textAlignment w:val="center"/>
              <w:rPr>
                <w:rFonts w:hint="eastAsia" w:ascii="Times New Roman" w:hAnsi="Times New Roman" w:cs="Times New Roman"/>
                <w:kern w:val="0"/>
                <w:sz w:val="21"/>
                <w:szCs w:val="21"/>
                <w:lang w:bidi="ar"/>
              </w:rPr>
            </w:pPr>
          </w:p>
        </w:tc>
      </w:tr>
      <w:tr w14:paraId="6CB16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7612554D">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tcBorders>
              <w:tl2br w:val="nil"/>
              <w:tr2bl w:val="nil"/>
            </w:tcBorders>
            <w:shd w:val="clear" w:color="auto" w:fill="auto"/>
            <w:noWrap/>
            <w:vAlign w:val="center"/>
          </w:tcPr>
          <w:p w14:paraId="0F0166E8">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道路及硬化区</w:t>
            </w:r>
          </w:p>
        </w:tc>
        <w:tc>
          <w:tcPr>
            <w:tcW w:w="2592" w:type="dxa"/>
            <w:tcBorders>
              <w:tl2br w:val="nil"/>
              <w:tr2bl w:val="nil"/>
            </w:tcBorders>
            <w:shd w:val="clear" w:color="auto" w:fill="auto"/>
            <w:noWrap/>
            <w:vAlign w:val="center"/>
          </w:tcPr>
          <w:p w14:paraId="42159FC0">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5500</w:t>
            </w:r>
          </w:p>
        </w:tc>
        <w:tc>
          <w:tcPr>
            <w:tcW w:w="3421" w:type="dxa"/>
            <w:tcBorders>
              <w:tl2br w:val="nil"/>
              <w:tr2bl w:val="nil"/>
            </w:tcBorders>
            <w:shd w:val="clear" w:color="auto" w:fill="auto"/>
            <w:noWrap/>
            <w:vAlign w:val="center"/>
          </w:tcPr>
          <w:p w14:paraId="11E1EA00">
            <w:pPr>
              <w:spacing w:line="240" w:lineRule="auto"/>
              <w:ind w:firstLine="0" w:firstLineChars="0"/>
              <w:jc w:val="center"/>
              <w:textAlignment w:val="center"/>
              <w:rPr>
                <w:rFonts w:hint="eastAsia" w:ascii="Times New Roman" w:hAnsi="Times New Roman" w:cs="Times New Roman"/>
                <w:kern w:val="0"/>
                <w:sz w:val="21"/>
                <w:szCs w:val="21"/>
                <w:lang w:bidi="ar"/>
              </w:rPr>
            </w:pPr>
          </w:p>
        </w:tc>
      </w:tr>
      <w:tr w14:paraId="044B4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7CE53ADB">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tcBorders>
              <w:tl2br w:val="nil"/>
              <w:tr2bl w:val="nil"/>
            </w:tcBorders>
            <w:shd w:val="clear" w:color="auto" w:fill="auto"/>
            <w:noWrap/>
            <w:vAlign w:val="center"/>
          </w:tcPr>
          <w:p w14:paraId="55EA1690">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绿化区</w:t>
            </w:r>
          </w:p>
        </w:tc>
        <w:tc>
          <w:tcPr>
            <w:tcW w:w="2592" w:type="dxa"/>
            <w:tcBorders>
              <w:tl2br w:val="nil"/>
              <w:tr2bl w:val="nil"/>
            </w:tcBorders>
            <w:shd w:val="clear" w:color="auto" w:fill="auto"/>
            <w:noWrap/>
            <w:vAlign w:val="center"/>
          </w:tcPr>
          <w:p w14:paraId="4CE49CF1">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5500</w:t>
            </w:r>
          </w:p>
        </w:tc>
        <w:tc>
          <w:tcPr>
            <w:tcW w:w="3421" w:type="dxa"/>
            <w:tcBorders>
              <w:tl2br w:val="nil"/>
              <w:tr2bl w:val="nil"/>
            </w:tcBorders>
            <w:shd w:val="clear" w:color="auto" w:fill="auto"/>
            <w:noWrap/>
            <w:vAlign w:val="center"/>
          </w:tcPr>
          <w:p w14:paraId="6AC76E52">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600</w:t>
            </w:r>
          </w:p>
        </w:tc>
      </w:tr>
      <w:tr w14:paraId="1128BD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312" w:type="dxa"/>
            <w:vMerge w:val="continue"/>
            <w:tcBorders>
              <w:tl2br w:val="nil"/>
              <w:tr2bl w:val="nil"/>
            </w:tcBorders>
            <w:shd w:val="clear" w:color="auto" w:fill="auto"/>
            <w:noWrap/>
            <w:vAlign w:val="center"/>
          </w:tcPr>
          <w:p w14:paraId="4ED19F0A">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2057" w:type="dxa"/>
            <w:tcBorders>
              <w:tl2br w:val="nil"/>
              <w:tr2bl w:val="nil"/>
            </w:tcBorders>
            <w:shd w:val="clear" w:color="auto" w:fill="auto"/>
            <w:noWrap/>
            <w:vAlign w:val="center"/>
          </w:tcPr>
          <w:p w14:paraId="65B27717">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小计</w:t>
            </w:r>
          </w:p>
        </w:tc>
        <w:tc>
          <w:tcPr>
            <w:tcW w:w="2592" w:type="dxa"/>
            <w:tcBorders>
              <w:tl2br w:val="nil"/>
              <w:tr2bl w:val="nil"/>
            </w:tcBorders>
            <w:shd w:val="clear" w:color="auto" w:fill="auto"/>
            <w:noWrap/>
            <w:vAlign w:val="center"/>
          </w:tcPr>
          <w:p w14:paraId="1B836B91">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3421" w:type="dxa"/>
            <w:tcBorders>
              <w:tl2br w:val="nil"/>
              <w:tr2bl w:val="nil"/>
            </w:tcBorders>
            <w:shd w:val="clear" w:color="auto" w:fill="auto"/>
            <w:noWrap/>
            <w:vAlign w:val="center"/>
          </w:tcPr>
          <w:p w14:paraId="31375544">
            <w:pPr>
              <w:spacing w:line="240" w:lineRule="auto"/>
              <w:ind w:firstLine="0" w:firstLineChars="0"/>
              <w:jc w:val="center"/>
              <w:textAlignment w:val="center"/>
              <w:rPr>
                <w:rFonts w:hint="eastAsia" w:ascii="Times New Roman" w:hAnsi="Times New Roman" w:cs="Times New Roman"/>
                <w:kern w:val="0"/>
                <w:sz w:val="21"/>
                <w:szCs w:val="21"/>
                <w:lang w:bidi="ar"/>
              </w:rPr>
            </w:pPr>
          </w:p>
        </w:tc>
      </w:tr>
      <w:tr w14:paraId="58B31F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369" w:type="dxa"/>
            <w:gridSpan w:val="2"/>
            <w:tcBorders>
              <w:tl2br w:val="nil"/>
              <w:tr2bl w:val="nil"/>
            </w:tcBorders>
            <w:shd w:val="clear" w:color="auto" w:fill="auto"/>
            <w:noWrap/>
            <w:vAlign w:val="center"/>
          </w:tcPr>
          <w:p w14:paraId="3D74040A">
            <w:pPr>
              <w:spacing w:line="240" w:lineRule="auto"/>
              <w:ind w:firstLine="0" w:firstLineChars="0"/>
              <w:jc w:val="center"/>
              <w:textAlignment w:val="center"/>
              <w:rPr>
                <w:rFonts w:hint="eastAsia" w:ascii="Times New Roman" w:hAnsi="Times New Roman" w:cs="Times New Roman"/>
                <w:kern w:val="0"/>
                <w:sz w:val="21"/>
                <w:szCs w:val="21"/>
                <w:lang w:bidi="ar"/>
              </w:rPr>
            </w:pPr>
            <w:r>
              <w:rPr>
                <w:rFonts w:hint="eastAsia" w:ascii="Times New Roman" w:hAnsi="Times New Roman" w:cs="Times New Roman"/>
                <w:kern w:val="0"/>
                <w:sz w:val="21"/>
                <w:szCs w:val="21"/>
                <w:lang w:val="en-US" w:eastAsia="zh-CN" w:bidi="ar"/>
              </w:rPr>
              <w:t>合计</w:t>
            </w:r>
          </w:p>
        </w:tc>
        <w:tc>
          <w:tcPr>
            <w:tcW w:w="2592" w:type="dxa"/>
            <w:tcBorders>
              <w:tl2br w:val="nil"/>
              <w:tr2bl w:val="nil"/>
            </w:tcBorders>
            <w:shd w:val="clear" w:color="auto" w:fill="auto"/>
            <w:noWrap/>
            <w:vAlign w:val="center"/>
          </w:tcPr>
          <w:p w14:paraId="386DAD91">
            <w:pPr>
              <w:spacing w:line="240" w:lineRule="auto"/>
              <w:ind w:firstLine="0" w:firstLineChars="0"/>
              <w:jc w:val="center"/>
              <w:textAlignment w:val="center"/>
              <w:rPr>
                <w:rFonts w:hint="eastAsia" w:ascii="Times New Roman" w:hAnsi="Times New Roman" w:cs="Times New Roman"/>
                <w:kern w:val="0"/>
                <w:sz w:val="21"/>
                <w:szCs w:val="21"/>
                <w:lang w:bidi="ar"/>
              </w:rPr>
            </w:pPr>
          </w:p>
        </w:tc>
        <w:tc>
          <w:tcPr>
            <w:tcW w:w="3421" w:type="dxa"/>
            <w:tcBorders>
              <w:tl2br w:val="nil"/>
              <w:tr2bl w:val="nil"/>
            </w:tcBorders>
            <w:shd w:val="clear" w:color="auto" w:fill="auto"/>
            <w:noWrap/>
            <w:vAlign w:val="center"/>
          </w:tcPr>
          <w:p w14:paraId="4BDDD752">
            <w:pPr>
              <w:spacing w:line="240" w:lineRule="auto"/>
              <w:ind w:firstLine="0" w:firstLineChars="0"/>
              <w:jc w:val="center"/>
              <w:textAlignment w:val="center"/>
              <w:rPr>
                <w:rFonts w:hint="eastAsia" w:ascii="Times New Roman" w:hAnsi="Times New Roman" w:cs="Times New Roman"/>
                <w:kern w:val="0"/>
                <w:sz w:val="21"/>
                <w:szCs w:val="21"/>
                <w:lang w:bidi="ar"/>
              </w:rPr>
            </w:pPr>
          </w:p>
        </w:tc>
      </w:tr>
    </w:tbl>
    <w:p w14:paraId="54EF5E53">
      <w:pPr>
        <w:pStyle w:val="4"/>
        <w:rPr>
          <w:rFonts w:hint="default" w:ascii="Times New Roman" w:hAnsi="Times New Roman" w:cs="Times New Roman"/>
        </w:rPr>
      </w:pPr>
      <w:r>
        <w:rPr>
          <w:rFonts w:hint="default" w:ascii="Times New Roman" w:hAnsi="Times New Roman" w:cs="Times New Roman"/>
        </w:rPr>
        <w:t>预测结果</w:t>
      </w:r>
    </w:p>
    <w:p w14:paraId="14AFE39C">
      <w:pPr>
        <w:pStyle w:val="5"/>
        <w:rPr>
          <w:rFonts w:hint="default" w:ascii="Times New Roman" w:hAnsi="Times New Roman" w:cs="Times New Roman"/>
          <w:lang w:val="zh-CN"/>
        </w:rPr>
      </w:pPr>
      <w:r>
        <w:rPr>
          <w:rFonts w:hint="default" w:ascii="Times New Roman" w:hAnsi="Times New Roman" w:cs="Times New Roman"/>
          <w:lang w:val="zh-CN"/>
        </w:rPr>
        <w:t>预测目的与原则</w:t>
      </w:r>
    </w:p>
    <w:p w14:paraId="1A8D8CA6">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一、预测目的</w:t>
      </w:r>
    </w:p>
    <w:p w14:paraId="4040C7CE">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根据项目建设特点，在调查项目建设过程中可能损坏、扰动地表面积，弃土（渣）的来源、数量、堆放方式、地点及占地面积的基础上，结合当地水土流失特征，进行综合分析论证，采用科学合理的预测方法，对可能造成的水土流失的形式、强度、数量、危害等作出预测评价，为尽可能减少对原有地貌的破坏，合理布设水土流失防治措施的总体布局及各单项防治措施设计，有效防治新增水土流失提供依据，也有助于保障生态环境的良性循环。</w:t>
      </w:r>
    </w:p>
    <w:p w14:paraId="782A6460">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二、预测原则</w:t>
      </w:r>
    </w:p>
    <w:p w14:paraId="569EB75B">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（1）本工程属新建建设类项目，产生水土流失的阶段主要为项目施工期，水土流失预测时段为施工期和植被恢复期。每个预测单元的时段按最不利的情况进行考虑。</w:t>
      </w:r>
    </w:p>
    <w:p w14:paraId="555DA3CB">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（2）本方案所有的预测方法、预测内容和预测结果等，均在“主体工程正常设计功能基础上，无水土保持工程条件下”进行水土流失预测分析；</w:t>
      </w:r>
    </w:p>
    <w:p w14:paraId="19310CB2">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（3）项目建设水土流失预测将根据项目特点进行综合分析。本方案将主要对因项目建设而扰动破坏原地表可能造成的水土流失，结合土壤侵蚀原理进行定量分析。</w:t>
      </w:r>
    </w:p>
    <w:p w14:paraId="4E247ECC">
      <w:pPr>
        <w:pStyle w:val="5"/>
        <w:rPr>
          <w:rFonts w:hint="default" w:ascii="Times New Roman" w:hAnsi="Times New Roman" w:cs="Times New Roman"/>
          <w:lang w:val="zh-CN"/>
        </w:rPr>
      </w:pPr>
      <w:r>
        <w:rPr>
          <w:rFonts w:hint="default" w:ascii="Times New Roman" w:hAnsi="Times New Roman" w:cs="Times New Roman"/>
          <w:lang w:val="zh-CN"/>
        </w:rPr>
        <w:t>预测内容</w:t>
      </w:r>
    </w:p>
    <w:p w14:paraId="695D78B0">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根据水利部《生产建设项目水土保持技术标准》（GB 50433-2018）的规定，本项目水土流失预测的内容如下：</w:t>
      </w:r>
    </w:p>
    <w:p w14:paraId="606CE6F4">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（1）可能造成的水土流失面积预测；</w:t>
      </w:r>
    </w:p>
    <w:p w14:paraId="41FD1EC5">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（2）可能产生水土流失总量预测；</w:t>
      </w:r>
    </w:p>
    <w:p w14:paraId="5AD14D1C">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（3）可能造成的水土流失危害预测。</w:t>
      </w:r>
    </w:p>
    <w:p w14:paraId="1CDD21A7">
      <w:pPr>
        <w:pStyle w:val="5"/>
        <w:rPr>
          <w:rFonts w:hint="default" w:ascii="Times New Roman" w:hAnsi="Times New Roman" w:cs="Times New Roman"/>
          <w:lang w:val="zh-CN"/>
        </w:rPr>
      </w:pPr>
      <w:r>
        <w:rPr>
          <w:rFonts w:hint="default" w:ascii="Times New Roman" w:hAnsi="Times New Roman" w:cs="Times New Roman"/>
          <w:lang w:val="zh-CN"/>
        </w:rPr>
        <w:t>预测方法</w:t>
      </w:r>
    </w:p>
    <w:p w14:paraId="2229B764">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（1）可能造成的水土流失面积预测</w:t>
      </w:r>
    </w:p>
    <w:p w14:paraId="423AA5DA">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本工程可能造成的水土流失面积，主要通过主体工程资料和原地形地貌、地质、土壤、植被、气候等因子综合判定和计算得到。</w:t>
      </w:r>
    </w:p>
    <w:p w14:paraId="37200B55">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（2）可能造成的水土流失量预测</w:t>
      </w:r>
    </w:p>
    <w:p w14:paraId="0489FA27">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本工程可能造成的水土流失总量预测，是在调查建设项目对地面表层、植被扰动情况的基础上，结合土壤侵蚀原理，对新增水土流失量采用侵蚀模数法进行预测，从而得出可能造成的水土流失量。</w:t>
      </w:r>
    </w:p>
    <w:p w14:paraId="3D486164">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①原生水土流失量预测</w:t>
      </w:r>
    </w:p>
    <w:p w14:paraId="35423768">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原生水土流失量预测采用土壤侵蚀模数法进行分析计算：</w:t>
      </w:r>
    </w:p>
    <w:p w14:paraId="66114B7A">
      <w:pPr>
        <w:ind w:firstLine="2880" w:firstLineChars="1200"/>
        <w:jc w:val="left"/>
        <w:rPr>
          <w:rFonts w:hint="default" w:ascii="Times New Roman" w:hAnsi="Times New Roman" w:cs="Times New Roman"/>
          <w:kern w:val="0"/>
        </w:rPr>
      </w:pPr>
      <w:r>
        <w:rPr>
          <w:rFonts w:hint="default" w:ascii="Times New Roman" w:hAnsi="Times New Roman" w:cs="Times New Roman"/>
          <w:kern w:val="0"/>
        </w:rPr>
        <w:drawing>
          <wp:inline distT="0" distB="0" distL="0" distR="0">
            <wp:extent cx="1726565" cy="4978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26565" cy="497840"/>
                    </a:xfrm>
                    <a:prstGeom prst="rect">
                      <a:avLst/>
                    </a:prstGeom>
                    <a:noFill/>
                    <a:ln>
                      <a:noFill/>
                    </a:ln>
                  </pic:spPr>
                </pic:pic>
              </a:graphicData>
            </a:graphic>
          </wp:inline>
        </w:drawing>
      </w:r>
      <w:r>
        <w:rPr>
          <w:rFonts w:hint="default" w:ascii="Times New Roman" w:hAnsi="Times New Roman" w:cs="Times New Roman"/>
          <w:kern w:val="0"/>
        </w:rPr>
        <w:t xml:space="preserve">                （公式4-1）</w:t>
      </w:r>
    </w:p>
    <w:p w14:paraId="1BA0B506">
      <w:pPr>
        <w:ind w:firstLine="480"/>
        <w:jc w:val="left"/>
        <w:rPr>
          <w:rFonts w:hint="default" w:ascii="Times New Roman" w:hAnsi="Times New Roman" w:cs="Times New Roman"/>
          <w:kern w:val="0"/>
        </w:rPr>
      </w:pPr>
      <w:r>
        <w:rPr>
          <w:rFonts w:hint="default" w:ascii="Times New Roman" w:hAnsi="Times New Roman" w:cs="Times New Roman"/>
          <w:kern w:val="0"/>
        </w:rPr>
        <w:t>式中：Wi——原地貌水土流失量，t；</w:t>
      </w:r>
    </w:p>
    <w:p w14:paraId="3959E497">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i——不同土地利用类型；</w:t>
      </w:r>
    </w:p>
    <w:p w14:paraId="6B2970F9">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Mi——原地貌土壤侵蚀模数，t/k</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rPr>
        <w:t>·a；</w:t>
      </w:r>
    </w:p>
    <w:p w14:paraId="22F8F10F">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Fi——不同的地貌单元面积，k</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rPr>
        <w:t>；</w:t>
      </w:r>
    </w:p>
    <w:p w14:paraId="79ECA27B">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Ti——水土流失预测时段，年（a）。</w:t>
      </w:r>
    </w:p>
    <w:p w14:paraId="4FB2A22F">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因工程建设扰动地表而产生的水土流失量的预测方法和原生水土流失量的预测方法相同，采用土壤侵蚀模数法进行预测。</w:t>
      </w:r>
    </w:p>
    <w:p w14:paraId="77B4E69B">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②扰动地表水土流失量预测</w:t>
      </w:r>
    </w:p>
    <w:p w14:paraId="40872E5A">
      <w:pPr>
        <w:ind w:firstLine="1920" w:firstLineChars="800"/>
        <w:jc w:val="left"/>
        <w:rPr>
          <w:rFonts w:hint="default" w:ascii="Times New Roman" w:hAnsi="Times New Roman" w:cs="Times New Roman"/>
          <w:kern w:val="0"/>
        </w:rPr>
      </w:pPr>
      <w:r>
        <w:rPr>
          <w:rFonts w:hint="default" w:ascii="Times New Roman" w:hAnsi="Times New Roman" w:cs="Times New Roman"/>
          <w:kern w:val="0"/>
        </w:rPr>
        <w:drawing>
          <wp:inline distT="0" distB="0" distL="0" distR="0">
            <wp:extent cx="2435860" cy="457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435860" cy="457200"/>
                    </a:xfrm>
                    <a:prstGeom prst="rect">
                      <a:avLst/>
                    </a:prstGeom>
                    <a:noFill/>
                    <a:ln>
                      <a:noFill/>
                    </a:ln>
                  </pic:spPr>
                </pic:pic>
              </a:graphicData>
            </a:graphic>
          </wp:inline>
        </w:drawing>
      </w:r>
      <w:r>
        <w:rPr>
          <w:rFonts w:hint="default" w:ascii="Times New Roman" w:hAnsi="Times New Roman" w:cs="Times New Roman"/>
          <w:kern w:val="0"/>
        </w:rPr>
        <w:t xml:space="preserve">             （公式4-2）</w:t>
      </w:r>
    </w:p>
    <w:p w14:paraId="6F3513A3">
      <w:pPr>
        <w:ind w:firstLine="480"/>
        <w:jc w:val="left"/>
        <w:rPr>
          <w:rFonts w:hint="default" w:ascii="Times New Roman" w:hAnsi="Times New Roman" w:cs="Times New Roman"/>
          <w:kern w:val="0"/>
        </w:rPr>
      </w:pPr>
      <w:r>
        <w:rPr>
          <w:rFonts w:hint="default" w:ascii="Times New Roman" w:hAnsi="Times New Roman" w:cs="Times New Roman"/>
          <w:kern w:val="0"/>
        </w:rPr>
        <w:t>可能新增水土流失量按下式计算：</w:t>
      </w:r>
    </w:p>
    <w:p w14:paraId="5313E840">
      <w:pPr>
        <w:ind w:firstLine="1680" w:firstLineChars="700"/>
        <w:jc w:val="left"/>
        <w:rPr>
          <w:rFonts w:hint="default" w:ascii="Times New Roman" w:hAnsi="Times New Roman" w:cs="Times New Roman"/>
          <w:kern w:val="0"/>
        </w:rPr>
      </w:pPr>
      <w:r>
        <w:rPr>
          <w:rFonts w:hint="default" w:ascii="Times New Roman" w:hAnsi="Times New Roman" w:cs="Times New Roman"/>
          <w:kern w:val="0"/>
        </w:rPr>
        <w:drawing>
          <wp:inline distT="0" distB="0" distL="0" distR="0">
            <wp:extent cx="2845435" cy="450215"/>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845435" cy="450215"/>
                    </a:xfrm>
                    <a:prstGeom prst="rect">
                      <a:avLst/>
                    </a:prstGeom>
                    <a:noFill/>
                    <a:ln>
                      <a:noFill/>
                    </a:ln>
                  </pic:spPr>
                </pic:pic>
              </a:graphicData>
            </a:graphic>
          </wp:inline>
        </w:drawing>
      </w:r>
      <w:r>
        <w:rPr>
          <w:rFonts w:hint="default" w:ascii="Times New Roman" w:hAnsi="Times New Roman" w:cs="Times New Roman"/>
          <w:kern w:val="0"/>
        </w:rPr>
        <w:t xml:space="preserve">         （公式4-3）</w:t>
      </w:r>
    </w:p>
    <w:p w14:paraId="4B2F6E21">
      <w:pPr>
        <w:ind w:firstLine="480"/>
        <w:jc w:val="left"/>
        <w:rPr>
          <w:rFonts w:hint="default" w:ascii="Times New Roman" w:hAnsi="Times New Roman" w:cs="Times New Roman"/>
          <w:kern w:val="0"/>
        </w:rPr>
      </w:pPr>
      <w:r>
        <w:rPr>
          <w:rFonts w:hint="default" w:ascii="Times New Roman" w:hAnsi="Times New Roman" w:cs="Times New Roman"/>
          <w:kern w:val="0"/>
        </w:rPr>
        <w:t>式中：W——土壤流失量，t；</w:t>
      </w:r>
    </w:p>
    <w:p w14:paraId="57D1E0D9">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ΔW——新增土壤流失量，t；</w:t>
      </w:r>
    </w:p>
    <w:p w14:paraId="32641133">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Fji——某时段某单元的预测面积，k</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rPr>
        <w:t>；</w:t>
      </w:r>
    </w:p>
    <w:p w14:paraId="29CEFDD7">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Mji——某时段某单元的土壤侵蚀模数，t/k</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rPr>
        <w:t>·a；</w:t>
      </w:r>
    </w:p>
    <w:p w14:paraId="500F94E0">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Δmji——某时段某单元的新增土壤侵蚀模数，t/k</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kern w:val="0"/>
        </w:rPr>
        <w:t>·a；</w:t>
      </w:r>
    </w:p>
    <w:p w14:paraId="52CFFB0C">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Tji——某时段某单元的预测时间，a；</w:t>
      </w:r>
    </w:p>
    <w:p w14:paraId="2298E977">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i——预测单元，i=1、2、3、........，n；</w:t>
      </w:r>
    </w:p>
    <w:p w14:paraId="602140CD">
      <w:pPr>
        <w:ind w:firstLine="1200" w:firstLineChars="500"/>
        <w:jc w:val="left"/>
        <w:rPr>
          <w:rFonts w:hint="default" w:ascii="Times New Roman" w:hAnsi="Times New Roman" w:cs="Times New Roman"/>
          <w:kern w:val="0"/>
        </w:rPr>
      </w:pPr>
      <w:r>
        <w:rPr>
          <w:rFonts w:hint="default" w:ascii="Times New Roman" w:hAnsi="Times New Roman" w:cs="Times New Roman"/>
          <w:kern w:val="0"/>
        </w:rPr>
        <w:t>j——预测时段，j=1、2、3，指筹建期、施工期和自然恢复期。</w:t>
      </w:r>
    </w:p>
    <w:p w14:paraId="49F1C57B">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在具体计算时，将根据有关调查资料并结合工程区域的自然条件，经综合分析确定有关的计算参数。</w:t>
      </w:r>
    </w:p>
    <w:p w14:paraId="2EE221C2">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（3）可能造成水土流失危害的预测</w:t>
      </w:r>
    </w:p>
    <w:p w14:paraId="4A8E8F6F">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根据工程的实施规模、施工工艺等的位置和数量，结合区域自然环境条件，预测由于工程建设引起新的水土流失可能造成的危害，为制定项目区防治措施提供科学依据。</w:t>
      </w:r>
    </w:p>
    <w:p w14:paraId="7CC58BF7">
      <w:pPr>
        <w:pStyle w:val="5"/>
        <w:rPr>
          <w:rFonts w:hint="default" w:ascii="Times New Roman" w:hAnsi="Times New Roman" w:cs="Times New Roman"/>
          <w:lang w:val="zh-CN"/>
        </w:rPr>
      </w:pPr>
      <w:r>
        <w:rPr>
          <w:rFonts w:hint="eastAsia"/>
          <w:color w:val="000000" w:themeColor="text1"/>
        </w:rPr>
        <w:t>已发生水土流失量分析</w:t>
      </w:r>
    </w:p>
    <w:p w14:paraId="7AAA5140">
      <w:pPr>
        <w:pStyle w:val="109"/>
        <w:ind w:firstLine="480"/>
        <w:rPr>
          <w:color w:val="000000" w:themeColor="text1"/>
        </w:rPr>
      </w:pPr>
      <w:r>
        <w:rPr>
          <w:rFonts w:hint="eastAsia"/>
          <w:color w:val="000000" w:themeColor="text1"/>
        </w:rPr>
        <w:t>根据现场踏勘，本项目</w:t>
      </w:r>
      <w:r>
        <w:rPr>
          <w:rFonts w:hint="eastAsia"/>
          <w:color w:val="000000" w:themeColor="text1"/>
          <w:lang w:val="en-US" w:eastAsia="zh-CN"/>
        </w:rPr>
        <w:t>地块二</w:t>
      </w:r>
      <w:r>
        <w:rPr>
          <w:rFonts w:hint="eastAsia"/>
          <w:color w:val="000000" w:themeColor="text1"/>
        </w:rPr>
        <w:t>已于</w:t>
      </w:r>
      <w:r>
        <w:rPr>
          <w:rFonts w:hint="eastAsia"/>
          <w:color w:val="000000" w:themeColor="text1"/>
          <w:lang w:eastAsia="zh-CN"/>
        </w:rPr>
        <w:t>2024年</w:t>
      </w:r>
      <w:r>
        <w:rPr>
          <w:rFonts w:hint="eastAsia"/>
          <w:color w:val="000000" w:themeColor="text1"/>
          <w:lang w:val="en-US" w:eastAsia="zh-CN"/>
        </w:rPr>
        <w:t>4</w:t>
      </w:r>
      <w:r>
        <w:rPr>
          <w:rFonts w:hint="eastAsia"/>
          <w:color w:val="000000" w:themeColor="text1"/>
          <w:lang w:eastAsia="zh-CN"/>
        </w:rPr>
        <w:t>月</w:t>
      </w:r>
      <w:r>
        <w:rPr>
          <w:rFonts w:hint="eastAsia"/>
          <w:color w:val="000000" w:themeColor="text1"/>
        </w:rPr>
        <w:t>开工，为已开工项目补报方案，</w:t>
      </w:r>
      <w:r>
        <w:rPr>
          <w:rFonts w:hint="eastAsia"/>
          <w:color w:val="000000" w:themeColor="text1"/>
          <w:lang w:eastAsia="zh-CN"/>
        </w:rPr>
        <w:t>截至</w:t>
      </w:r>
      <w:r>
        <w:rPr>
          <w:rFonts w:hint="eastAsia"/>
          <w:color w:val="000000" w:themeColor="text1"/>
        </w:rPr>
        <w:t>目前方案介入时，</w:t>
      </w:r>
      <w:r>
        <w:rPr>
          <w:rFonts w:hint="eastAsia"/>
          <w:color w:val="000000" w:themeColor="text1"/>
          <w:lang w:val="en-US" w:eastAsia="zh-CN"/>
        </w:rPr>
        <w:t>地块二已完成场平工作，</w:t>
      </w:r>
      <w:r>
        <w:rPr>
          <w:rFonts w:hint="eastAsia"/>
          <w:color w:val="000000" w:themeColor="text1"/>
        </w:rPr>
        <w:t>已全部扰动。本方案根据施工资料，参照同类工程水土保持监测结果，确定各扰动类型土壤侵蚀模数，统计已发生水土流失量。</w:t>
      </w:r>
    </w:p>
    <w:p w14:paraId="71811D14">
      <w:pPr>
        <w:pStyle w:val="83"/>
        <w:jc w:val="center"/>
        <w:rPr>
          <w:rFonts w:hint="default" w:ascii="Times New Roman" w:hAnsi="Times New Roman" w:eastAsia="仿宋_GB2312" w:cs="Times New Roman"/>
          <w:b/>
          <w:bCs w:val="0"/>
        </w:rPr>
      </w:pPr>
      <w:r>
        <w:rPr>
          <w:rFonts w:hint="eastAsia" w:ascii="Times New Roman" w:hAnsi="Times New Roman" w:eastAsia="仿宋_GB2312" w:cs="Times New Roman"/>
          <w:b/>
          <w:bCs w:val="0"/>
        </w:rPr>
        <w:t>表</w:t>
      </w:r>
      <w:r>
        <w:rPr>
          <w:rFonts w:hint="default" w:ascii="Times New Roman" w:hAnsi="Times New Roman" w:eastAsia="仿宋_GB2312" w:cs="Times New Roman"/>
          <w:b/>
          <w:bCs w:val="0"/>
        </w:rPr>
        <w:t>4</w:t>
      </w:r>
      <w:r>
        <w:rPr>
          <w:rFonts w:hint="default" w:ascii="Times New Roman" w:hAnsi="Times New Roman" w:eastAsia="仿宋_GB2312" w:cs="Times New Roman"/>
          <w:b/>
          <w:bCs w:val="0"/>
        </w:rPr>
        <w:noBreakHyphen/>
      </w:r>
      <w:r>
        <w:rPr>
          <w:rFonts w:hint="eastAsia" w:ascii="Times New Roman" w:hAnsi="Times New Roman" w:eastAsia="仿宋_GB2312" w:cs="Times New Roman"/>
          <w:b/>
          <w:bCs w:val="0"/>
          <w:lang w:val="en-US" w:eastAsia="zh-CN"/>
        </w:rPr>
        <w:t>9</w:t>
      </w:r>
      <w:r>
        <w:rPr>
          <w:rFonts w:hint="default" w:ascii="Times New Roman" w:hAnsi="Times New Roman" w:eastAsia="仿宋_GB2312" w:cs="Times New Roman"/>
          <w:b/>
          <w:bCs w:val="0"/>
        </w:rPr>
        <w:t xml:space="preserve">   </w:t>
      </w:r>
      <w:r>
        <w:rPr>
          <w:rFonts w:hint="eastAsia" w:ascii="Times New Roman" w:hAnsi="Times New Roman" w:eastAsia="仿宋_GB2312" w:cs="Times New Roman"/>
          <w:b/>
          <w:bCs w:val="0"/>
          <w:lang w:val="en-US" w:eastAsia="zh-CN"/>
        </w:rPr>
        <w:t xml:space="preserve"> </w:t>
      </w:r>
      <w:r>
        <w:rPr>
          <w:rFonts w:hint="default" w:ascii="Times New Roman" w:hAnsi="Times New Roman" w:eastAsia="仿宋_GB2312" w:cs="Times New Roman"/>
          <w:b/>
          <w:bCs w:val="0"/>
        </w:rPr>
        <w:t xml:space="preserve"> </w:t>
      </w:r>
      <w:r>
        <w:rPr>
          <w:rFonts w:hint="eastAsia" w:ascii="Times New Roman" w:hAnsi="Times New Roman" w:eastAsia="仿宋_GB2312" w:cs="Times New Roman"/>
          <w:b/>
          <w:bCs w:val="0"/>
        </w:rPr>
        <w:t>已产生</w:t>
      </w:r>
      <w:r>
        <w:rPr>
          <w:rFonts w:hint="default" w:ascii="Times New Roman" w:hAnsi="Times New Roman" w:eastAsia="仿宋_GB2312" w:cs="Times New Roman"/>
          <w:b/>
          <w:bCs w:val="0"/>
        </w:rPr>
        <w:t>水土流失量</w:t>
      </w:r>
      <w:r>
        <w:rPr>
          <w:rFonts w:hint="eastAsia" w:ascii="Times New Roman" w:hAnsi="Times New Roman" w:eastAsia="仿宋_GB2312" w:cs="Times New Roman"/>
          <w:b/>
          <w:bCs w:val="0"/>
        </w:rPr>
        <w:t>分析汇总</w:t>
      </w:r>
      <w:r>
        <w:rPr>
          <w:rFonts w:hint="default" w:ascii="Times New Roman" w:hAnsi="Times New Roman" w:eastAsia="仿宋_GB2312" w:cs="Times New Roman"/>
          <w:b/>
          <w:bCs w:val="0"/>
        </w:rPr>
        <w:t>表</w:t>
      </w:r>
    </w:p>
    <w:tbl>
      <w:tblPr>
        <w:tblStyle w:val="27"/>
        <w:tblW w:w="956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5"/>
        <w:gridCol w:w="1535"/>
        <w:gridCol w:w="2012"/>
        <w:gridCol w:w="2154"/>
        <w:gridCol w:w="1231"/>
        <w:gridCol w:w="1757"/>
      </w:tblGrid>
      <w:tr w14:paraId="2BBBA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trPr>
        <w:tc>
          <w:tcPr>
            <w:tcW w:w="875" w:type="dxa"/>
            <w:vMerge w:val="restart"/>
            <w:tcBorders>
              <w:tl2br w:val="nil"/>
              <w:tr2bl w:val="nil"/>
            </w:tcBorders>
            <w:shd w:val="clear" w:color="auto" w:fill="auto"/>
            <w:noWrap/>
            <w:vAlign w:val="center"/>
          </w:tcPr>
          <w:p w14:paraId="158303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35" w:type="dxa"/>
            <w:vMerge w:val="restart"/>
            <w:tcBorders>
              <w:tl2br w:val="nil"/>
              <w:tr2bl w:val="nil"/>
            </w:tcBorders>
            <w:shd w:val="clear" w:color="auto" w:fill="auto"/>
            <w:noWrap/>
            <w:vAlign w:val="center"/>
          </w:tcPr>
          <w:p w14:paraId="73219A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12" w:type="dxa"/>
            <w:vMerge w:val="restart"/>
            <w:tcBorders>
              <w:tl2br w:val="nil"/>
              <w:tr2bl w:val="nil"/>
            </w:tcBorders>
            <w:shd w:val="clear" w:color="auto" w:fill="auto"/>
            <w:vAlign w:val="center"/>
          </w:tcPr>
          <w:p w14:paraId="5F2243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平均侵蚀模数（t/km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.a）</w:t>
            </w:r>
          </w:p>
        </w:tc>
        <w:tc>
          <w:tcPr>
            <w:tcW w:w="2154" w:type="dxa"/>
            <w:vMerge w:val="restart"/>
            <w:tcBorders>
              <w:tl2br w:val="nil"/>
              <w:tr2bl w:val="nil"/>
            </w:tcBorders>
            <w:shd w:val="clear" w:color="auto" w:fill="auto"/>
            <w:vAlign w:val="center"/>
          </w:tcPr>
          <w:p w14:paraId="2D1AB9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占地面积（hm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1231" w:type="dxa"/>
            <w:vMerge w:val="restart"/>
            <w:tcBorders>
              <w:tl2br w:val="nil"/>
              <w:tr2bl w:val="nil"/>
            </w:tcBorders>
            <w:shd w:val="clear" w:color="auto" w:fill="auto"/>
            <w:noWrap/>
            <w:vAlign w:val="center"/>
          </w:tcPr>
          <w:p w14:paraId="3856E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时间（a)</w:t>
            </w:r>
          </w:p>
        </w:tc>
        <w:tc>
          <w:tcPr>
            <w:tcW w:w="1757" w:type="dxa"/>
            <w:vMerge w:val="restart"/>
            <w:tcBorders>
              <w:tl2br w:val="nil"/>
              <w:tr2bl w:val="nil"/>
            </w:tcBorders>
            <w:shd w:val="clear" w:color="auto" w:fill="auto"/>
            <w:noWrap/>
            <w:vAlign w:val="center"/>
          </w:tcPr>
          <w:p w14:paraId="75468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水土流失量（t)</w:t>
            </w:r>
          </w:p>
        </w:tc>
      </w:tr>
      <w:tr w14:paraId="388EC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75" w:type="dxa"/>
            <w:vMerge w:val="continue"/>
            <w:tcBorders>
              <w:tl2br w:val="nil"/>
              <w:tr2bl w:val="nil"/>
            </w:tcBorders>
            <w:shd w:val="clear" w:color="auto" w:fill="auto"/>
            <w:noWrap/>
            <w:vAlign w:val="center"/>
          </w:tcPr>
          <w:p w14:paraId="4FD32E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7DAE32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12" w:type="dxa"/>
            <w:vMerge w:val="continue"/>
            <w:tcBorders>
              <w:tl2br w:val="nil"/>
              <w:tr2bl w:val="nil"/>
            </w:tcBorders>
            <w:shd w:val="clear" w:color="auto" w:fill="auto"/>
            <w:vAlign w:val="center"/>
          </w:tcPr>
          <w:p w14:paraId="6848FD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154" w:type="dxa"/>
            <w:vMerge w:val="continue"/>
            <w:tcBorders>
              <w:tl2br w:val="nil"/>
              <w:tr2bl w:val="nil"/>
            </w:tcBorders>
            <w:shd w:val="clear" w:color="auto" w:fill="auto"/>
            <w:vAlign w:val="center"/>
          </w:tcPr>
          <w:p w14:paraId="729626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1" w:type="dxa"/>
            <w:vMerge w:val="continue"/>
            <w:tcBorders>
              <w:tl2br w:val="nil"/>
              <w:tr2bl w:val="nil"/>
            </w:tcBorders>
            <w:shd w:val="clear" w:color="auto" w:fill="auto"/>
            <w:noWrap/>
            <w:vAlign w:val="center"/>
          </w:tcPr>
          <w:p w14:paraId="199FA2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57" w:type="dxa"/>
            <w:vMerge w:val="continue"/>
            <w:tcBorders>
              <w:tl2br w:val="nil"/>
              <w:tr2bl w:val="nil"/>
            </w:tcBorders>
            <w:shd w:val="clear" w:color="auto" w:fill="auto"/>
            <w:noWrap/>
            <w:vAlign w:val="center"/>
          </w:tcPr>
          <w:p w14:paraId="3B9001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1ED8D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75" w:type="dxa"/>
            <w:vMerge w:val="restart"/>
            <w:tcBorders>
              <w:tl2br w:val="nil"/>
              <w:tr2bl w:val="nil"/>
            </w:tcBorders>
            <w:shd w:val="clear" w:color="auto" w:fill="auto"/>
            <w:noWrap/>
            <w:vAlign w:val="center"/>
          </w:tcPr>
          <w:p w14:paraId="13E26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35" w:type="dxa"/>
            <w:tcBorders>
              <w:tl2br w:val="nil"/>
              <w:tr2bl w:val="nil"/>
            </w:tcBorders>
            <w:shd w:val="clear" w:color="auto" w:fill="auto"/>
            <w:noWrap/>
            <w:vAlign w:val="center"/>
          </w:tcPr>
          <w:p w14:paraId="3039CB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12" w:type="dxa"/>
            <w:tcBorders>
              <w:tl2br w:val="nil"/>
              <w:tr2bl w:val="nil"/>
            </w:tcBorders>
            <w:shd w:val="clear" w:color="auto" w:fill="auto"/>
            <w:noWrap/>
            <w:vAlign w:val="center"/>
          </w:tcPr>
          <w:p w14:paraId="49B028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6000</w:t>
            </w:r>
          </w:p>
        </w:tc>
        <w:tc>
          <w:tcPr>
            <w:tcW w:w="2154" w:type="dxa"/>
            <w:tcBorders>
              <w:tl2br w:val="nil"/>
              <w:tr2bl w:val="nil"/>
            </w:tcBorders>
            <w:shd w:val="clear" w:color="auto" w:fill="auto"/>
            <w:noWrap/>
            <w:vAlign w:val="center"/>
          </w:tcPr>
          <w:p w14:paraId="0B105E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0.57</w:t>
            </w:r>
          </w:p>
        </w:tc>
        <w:tc>
          <w:tcPr>
            <w:tcW w:w="1231" w:type="dxa"/>
            <w:tcBorders>
              <w:tl2br w:val="nil"/>
              <w:tr2bl w:val="nil"/>
            </w:tcBorders>
            <w:shd w:val="clear" w:color="auto" w:fill="auto"/>
            <w:noWrap/>
            <w:vAlign w:val="center"/>
          </w:tcPr>
          <w:p w14:paraId="223027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0.50</w:t>
            </w:r>
          </w:p>
        </w:tc>
        <w:tc>
          <w:tcPr>
            <w:tcW w:w="1757" w:type="dxa"/>
            <w:tcBorders>
              <w:tl2br w:val="nil"/>
              <w:tr2bl w:val="nil"/>
            </w:tcBorders>
            <w:shd w:val="clear" w:color="auto" w:fill="auto"/>
            <w:noWrap/>
            <w:vAlign w:val="center"/>
          </w:tcPr>
          <w:p w14:paraId="2EADB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17.10 </w:t>
            </w:r>
          </w:p>
        </w:tc>
      </w:tr>
      <w:tr w14:paraId="29D391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75" w:type="dxa"/>
            <w:vMerge w:val="continue"/>
            <w:tcBorders>
              <w:tl2br w:val="nil"/>
              <w:tr2bl w:val="nil"/>
            </w:tcBorders>
            <w:shd w:val="clear" w:color="auto" w:fill="auto"/>
            <w:noWrap/>
            <w:vAlign w:val="center"/>
          </w:tcPr>
          <w:p w14:paraId="298BF8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72471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12" w:type="dxa"/>
            <w:tcBorders>
              <w:tl2br w:val="nil"/>
              <w:tr2bl w:val="nil"/>
            </w:tcBorders>
            <w:shd w:val="clear" w:color="auto" w:fill="auto"/>
            <w:noWrap/>
            <w:vAlign w:val="center"/>
          </w:tcPr>
          <w:p w14:paraId="2E1A9E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2154" w:type="dxa"/>
            <w:tcBorders>
              <w:tl2br w:val="nil"/>
              <w:tr2bl w:val="nil"/>
            </w:tcBorders>
            <w:shd w:val="clear" w:color="auto" w:fill="auto"/>
            <w:noWrap/>
            <w:vAlign w:val="center"/>
          </w:tcPr>
          <w:p w14:paraId="164770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0.20</w:t>
            </w:r>
          </w:p>
        </w:tc>
        <w:tc>
          <w:tcPr>
            <w:tcW w:w="1231" w:type="dxa"/>
            <w:tcBorders>
              <w:tl2br w:val="nil"/>
              <w:tr2bl w:val="nil"/>
            </w:tcBorders>
            <w:shd w:val="clear" w:color="auto" w:fill="auto"/>
            <w:noWrap/>
            <w:vAlign w:val="center"/>
          </w:tcPr>
          <w:p w14:paraId="2928C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0.50</w:t>
            </w:r>
          </w:p>
        </w:tc>
        <w:tc>
          <w:tcPr>
            <w:tcW w:w="1757" w:type="dxa"/>
            <w:tcBorders>
              <w:tl2br w:val="nil"/>
              <w:tr2bl w:val="nil"/>
            </w:tcBorders>
            <w:shd w:val="clear" w:color="auto" w:fill="auto"/>
            <w:noWrap/>
            <w:vAlign w:val="center"/>
          </w:tcPr>
          <w:p w14:paraId="35CC83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5.50 </w:t>
            </w:r>
          </w:p>
        </w:tc>
      </w:tr>
      <w:tr w14:paraId="5C175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75" w:type="dxa"/>
            <w:vMerge w:val="continue"/>
            <w:tcBorders>
              <w:tl2br w:val="nil"/>
              <w:tr2bl w:val="nil"/>
            </w:tcBorders>
            <w:shd w:val="clear" w:color="auto" w:fill="auto"/>
            <w:noWrap/>
            <w:vAlign w:val="center"/>
          </w:tcPr>
          <w:p w14:paraId="21FBD3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1D1B2C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12" w:type="dxa"/>
            <w:tcBorders>
              <w:tl2br w:val="nil"/>
              <w:tr2bl w:val="nil"/>
            </w:tcBorders>
            <w:shd w:val="clear" w:color="auto" w:fill="auto"/>
            <w:noWrap/>
            <w:vAlign w:val="center"/>
          </w:tcPr>
          <w:p w14:paraId="1C9CB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5500</w:t>
            </w:r>
          </w:p>
        </w:tc>
        <w:tc>
          <w:tcPr>
            <w:tcW w:w="2154" w:type="dxa"/>
            <w:tcBorders>
              <w:tl2br w:val="nil"/>
              <w:tr2bl w:val="nil"/>
            </w:tcBorders>
            <w:shd w:val="clear" w:color="auto" w:fill="auto"/>
            <w:noWrap/>
            <w:vAlign w:val="center"/>
          </w:tcPr>
          <w:p w14:paraId="5D7CC5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0.14</w:t>
            </w:r>
          </w:p>
        </w:tc>
        <w:tc>
          <w:tcPr>
            <w:tcW w:w="1231" w:type="dxa"/>
            <w:tcBorders>
              <w:tl2br w:val="nil"/>
              <w:tr2bl w:val="nil"/>
            </w:tcBorders>
            <w:shd w:val="clear" w:color="auto" w:fill="auto"/>
            <w:noWrap/>
            <w:vAlign w:val="center"/>
          </w:tcPr>
          <w:p w14:paraId="37C353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0.50</w:t>
            </w:r>
          </w:p>
        </w:tc>
        <w:tc>
          <w:tcPr>
            <w:tcW w:w="1757" w:type="dxa"/>
            <w:tcBorders>
              <w:tl2br w:val="nil"/>
              <w:tr2bl w:val="nil"/>
            </w:tcBorders>
            <w:shd w:val="clear" w:color="auto" w:fill="auto"/>
            <w:noWrap/>
            <w:vAlign w:val="center"/>
          </w:tcPr>
          <w:p w14:paraId="599E6A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3.85 </w:t>
            </w:r>
          </w:p>
        </w:tc>
      </w:tr>
      <w:tr w14:paraId="5CD5E2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75" w:type="dxa"/>
            <w:vMerge w:val="continue"/>
            <w:tcBorders>
              <w:tl2br w:val="nil"/>
              <w:tr2bl w:val="nil"/>
            </w:tcBorders>
            <w:shd w:val="clear" w:color="auto" w:fill="auto"/>
            <w:noWrap/>
            <w:vAlign w:val="center"/>
          </w:tcPr>
          <w:p w14:paraId="07554C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149E6A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12" w:type="dxa"/>
            <w:tcBorders>
              <w:tl2br w:val="nil"/>
              <w:tr2bl w:val="nil"/>
            </w:tcBorders>
            <w:shd w:val="clear" w:color="auto" w:fill="auto"/>
            <w:noWrap/>
            <w:vAlign w:val="center"/>
          </w:tcPr>
          <w:p w14:paraId="06F468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154" w:type="dxa"/>
            <w:tcBorders>
              <w:tl2br w:val="nil"/>
              <w:tr2bl w:val="nil"/>
            </w:tcBorders>
            <w:shd w:val="clear" w:color="auto" w:fill="auto"/>
            <w:noWrap/>
            <w:vAlign w:val="center"/>
          </w:tcPr>
          <w:p w14:paraId="4D7BB0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1" w:type="dxa"/>
            <w:tcBorders>
              <w:tl2br w:val="nil"/>
              <w:tr2bl w:val="nil"/>
            </w:tcBorders>
            <w:shd w:val="clear" w:color="auto" w:fill="auto"/>
            <w:noWrap/>
            <w:vAlign w:val="center"/>
          </w:tcPr>
          <w:p w14:paraId="2432FA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57" w:type="dxa"/>
            <w:tcBorders>
              <w:tl2br w:val="nil"/>
              <w:tr2bl w:val="nil"/>
            </w:tcBorders>
            <w:shd w:val="clear" w:color="auto" w:fill="auto"/>
            <w:noWrap/>
            <w:vAlign w:val="center"/>
          </w:tcPr>
          <w:p w14:paraId="573C2D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26.45 </w:t>
            </w:r>
          </w:p>
        </w:tc>
      </w:tr>
    </w:tbl>
    <w:p w14:paraId="4A8A19EF">
      <w:pPr>
        <w:pStyle w:val="5"/>
        <w:rPr>
          <w:rFonts w:hint="default" w:ascii="Times New Roman" w:hAnsi="Times New Roman" w:cs="Times New Roman"/>
          <w:lang w:val="zh-CN"/>
        </w:rPr>
      </w:pPr>
      <w:r>
        <w:rPr>
          <w:rFonts w:hint="default" w:ascii="Times New Roman" w:hAnsi="Times New Roman" w:cs="Times New Roman"/>
          <w:lang w:val="zh-CN"/>
        </w:rPr>
        <w:t>原生水土流失量预测</w:t>
      </w:r>
    </w:p>
    <w:p w14:paraId="4B9201AF">
      <w:pPr>
        <w:adjustRightInd w:val="0"/>
        <w:snapToGrid w:val="0"/>
        <w:ind w:firstLine="480"/>
        <w:rPr>
          <w:rFonts w:hint="default" w:ascii="Times New Roman" w:hAnsi="Times New Roman" w:cs="Times New Roman"/>
          <w:kern w:val="0"/>
        </w:rPr>
      </w:pPr>
      <w:r>
        <w:rPr>
          <w:rFonts w:hint="default" w:ascii="Times New Roman" w:hAnsi="Times New Roman" w:cs="Times New Roman"/>
          <w:kern w:val="0"/>
        </w:rPr>
        <w:t>结合预测时段划分，按式4-1计算得到工程施工期间，预测时段内工程区原生水土流失量为</w:t>
      </w:r>
      <w:r>
        <w:rPr>
          <w:rFonts w:hint="eastAsia" w:cs="Times New Roman"/>
          <w:kern w:val="0"/>
          <w:lang w:val="en-US" w:eastAsia="zh-CN"/>
        </w:rPr>
        <w:t>5.74</w:t>
      </w:r>
      <w:r>
        <w:rPr>
          <w:rFonts w:hint="default" w:ascii="Times New Roman" w:hAnsi="Times New Roman" w:cs="Times New Roman"/>
          <w:kern w:val="0"/>
          <w:lang w:eastAsia="zh-CN"/>
        </w:rPr>
        <w:t>t</w:t>
      </w:r>
      <w:r>
        <w:rPr>
          <w:rFonts w:hint="default" w:ascii="Times New Roman" w:hAnsi="Times New Roman" w:cs="Times New Roman"/>
          <w:kern w:val="0"/>
        </w:rPr>
        <w:t>，具体计算成果见表4-</w:t>
      </w:r>
      <w:r>
        <w:rPr>
          <w:rFonts w:hint="eastAsia" w:cs="Times New Roman"/>
          <w:kern w:val="0"/>
          <w:lang w:val="en-US" w:eastAsia="zh-CN"/>
        </w:rPr>
        <w:t>10</w:t>
      </w:r>
      <w:r>
        <w:rPr>
          <w:rFonts w:hint="default" w:ascii="Times New Roman" w:hAnsi="Times New Roman" w:cs="Times New Roman"/>
          <w:kern w:val="0"/>
        </w:rPr>
        <w:t>。</w:t>
      </w:r>
    </w:p>
    <w:p w14:paraId="54E3D553">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表4-9                            原生水土流失量统计表</w:t>
      </w:r>
    </w:p>
    <w:tbl>
      <w:tblPr>
        <w:tblStyle w:val="27"/>
        <w:tblW w:w="956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74"/>
        <w:gridCol w:w="1524"/>
        <w:gridCol w:w="1516"/>
        <w:gridCol w:w="1516"/>
        <w:gridCol w:w="1881"/>
        <w:gridCol w:w="2157"/>
      </w:tblGrid>
      <w:tr w14:paraId="4298E2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blHeader/>
          <w:jc w:val="center"/>
        </w:trPr>
        <w:tc>
          <w:tcPr>
            <w:tcW w:w="974" w:type="dxa"/>
            <w:vMerge w:val="restart"/>
            <w:tcBorders>
              <w:tl2br w:val="nil"/>
              <w:tr2bl w:val="nil"/>
            </w:tcBorders>
            <w:shd w:val="clear" w:color="auto" w:fill="auto"/>
            <w:noWrap/>
            <w:vAlign w:val="center"/>
          </w:tcPr>
          <w:p w14:paraId="1274A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24" w:type="dxa"/>
            <w:vMerge w:val="restart"/>
            <w:tcBorders>
              <w:tl2br w:val="nil"/>
              <w:tr2bl w:val="nil"/>
            </w:tcBorders>
            <w:shd w:val="clear" w:color="auto" w:fill="auto"/>
            <w:noWrap/>
            <w:vAlign w:val="center"/>
          </w:tcPr>
          <w:p w14:paraId="700AA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项目分区</w:t>
            </w:r>
          </w:p>
        </w:tc>
        <w:tc>
          <w:tcPr>
            <w:tcW w:w="7070" w:type="dxa"/>
            <w:gridSpan w:val="4"/>
            <w:tcBorders>
              <w:tl2br w:val="nil"/>
              <w:tr2bl w:val="nil"/>
            </w:tcBorders>
            <w:shd w:val="clear" w:color="auto" w:fill="auto"/>
            <w:noWrap/>
            <w:vAlign w:val="center"/>
          </w:tcPr>
          <w:p w14:paraId="3DB4E2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原生水土流失量</w:t>
            </w:r>
          </w:p>
        </w:tc>
      </w:tr>
      <w:tr w14:paraId="6EB93E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blHeader/>
          <w:jc w:val="center"/>
        </w:trPr>
        <w:tc>
          <w:tcPr>
            <w:tcW w:w="974" w:type="dxa"/>
            <w:vMerge w:val="continue"/>
            <w:tcBorders>
              <w:tl2br w:val="nil"/>
              <w:tr2bl w:val="nil"/>
            </w:tcBorders>
            <w:shd w:val="clear" w:color="auto" w:fill="auto"/>
            <w:noWrap/>
            <w:vAlign w:val="center"/>
          </w:tcPr>
          <w:p w14:paraId="2C5CCE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vMerge w:val="continue"/>
            <w:tcBorders>
              <w:tl2br w:val="nil"/>
              <w:tr2bl w:val="nil"/>
            </w:tcBorders>
            <w:shd w:val="clear" w:color="auto" w:fill="auto"/>
            <w:noWrap/>
            <w:vAlign w:val="center"/>
          </w:tcPr>
          <w:p w14:paraId="3B1CE2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6" w:type="dxa"/>
            <w:tcBorders>
              <w:tl2br w:val="nil"/>
              <w:tr2bl w:val="nil"/>
            </w:tcBorders>
            <w:shd w:val="clear" w:color="auto" w:fill="auto"/>
            <w:noWrap/>
            <w:vAlign w:val="center"/>
          </w:tcPr>
          <w:p w14:paraId="057D98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预测面积</w:t>
            </w:r>
          </w:p>
        </w:tc>
        <w:tc>
          <w:tcPr>
            <w:tcW w:w="1516" w:type="dxa"/>
            <w:tcBorders>
              <w:tl2br w:val="nil"/>
              <w:tr2bl w:val="nil"/>
            </w:tcBorders>
            <w:shd w:val="clear" w:color="auto" w:fill="auto"/>
            <w:noWrap/>
            <w:vAlign w:val="center"/>
          </w:tcPr>
          <w:p w14:paraId="5BF298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预测时段</w:t>
            </w:r>
          </w:p>
        </w:tc>
        <w:tc>
          <w:tcPr>
            <w:tcW w:w="1881" w:type="dxa"/>
            <w:tcBorders>
              <w:tl2br w:val="nil"/>
              <w:tr2bl w:val="nil"/>
            </w:tcBorders>
            <w:shd w:val="clear" w:color="auto" w:fill="auto"/>
            <w:noWrap/>
            <w:vAlign w:val="center"/>
          </w:tcPr>
          <w:p w14:paraId="0CBD31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土壤侵蚀模数</w:t>
            </w:r>
          </w:p>
        </w:tc>
        <w:tc>
          <w:tcPr>
            <w:tcW w:w="2157" w:type="dxa"/>
            <w:tcBorders>
              <w:tl2br w:val="nil"/>
              <w:tr2bl w:val="nil"/>
            </w:tcBorders>
            <w:shd w:val="clear" w:color="auto" w:fill="auto"/>
            <w:noWrap/>
            <w:vAlign w:val="center"/>
          </w:tcPr>
          <w:p w14:paraId="688CE8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原生水土流失量</w:t>
            </w:r>
          </w:p>
        </w:tc>
      </w:tr>
      <w:tr w14:paraId="0237C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blHeader/>
          <w:jc w:val="center"/>
        </w:trPr>
        <w:tc>
          <w:tcPr>
            <w:tcW w:w="974" w:type="dxa"/>
            <w:vMerge w:val="continue"/>
            <w:tcBorders>
              <w:tl2br w:val="nil"/>
              <w:tr2bl w:val="nil"/>
            </w:tcBorders>
            <w:shd w:val="clear" w:color="auto" w:fill="auto"/>
            <w:noWrap/>
            <w:vAlign w:val="center"/>
          </w:tcPr>
          <w:p w14:paraId="13D105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vMerge w:val="continue"/>
            <w:tcBorders>
              <w:tl2br w:val="nil"/>
              <w:tr2bl w:val="nil"/>
            </w:tcBorders>
            <w:shd w:val="clear" w:color="auto" w:fill="auto"/>
            <w:noWrap/>
            <w:vAlign w:val="center"/>
          </w:tcPr>
          <w:p w14:paraId="16688F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6" w:type="dxa"/>
            <w:tcBorders>
              <w:tl2br w:val="nil"/>
              <w:tr2bl w:val="nil"/>
            </w:tcBorders>
            <w:shd w:val="clear" w:color="auto" w:fill="auto"/>
            <w:noWrap/>
            <w:vAlign w:val="center"/>
          </w:tcPr>
          <w:p w14:paraId="3428B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516" w:type="dxa"/>
            <w:tcBorders>
              <w:tl2br w:val="nil"/>
              <w:tr2bl w:val="nil"/>
            </w:tcBorders>
            <w:shd w:val="clear" w:color="auto" w:fill="auto"/>
            <w:noWrap/>
            <w:vAlign w:val="center"/>
          </w:tcPr>
          <w:p w14:paraId="343D5A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a</w:t>
            </w:r>
          </w:p>
        </w:tc>
        <w:tc>
          <w:tcPr>
            <w:tcW w:w="1881" w:type="dxa"/>
            <w:tcBorders>
              <w:tl2br w:val="nil"/>
              <w:tr2bl w:val="nil"/>
            </w:tcBorders>
            <w:shd w:val="clear" w:color="auto" w:fill="auto"/>
            <w:noWrap/>
            <w:vAlign w:val="center"/>
          </w:tcPr>
          <w:p w14:paraId="7FF89E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t/km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.a</w:t>
            </w:r>
          </w:p>
        </w:tc>
        <w:tc>
          <w:tcPr>
            <w:tcW w:w="2157" w:type="dxa"/>
            <w:tcBorders>
              <w:tl2br w:val="nil"/>
              <w:tr2bl w:val="nil"/>
            </w:tcBorders>
            <w:shd w:val="clear" w:color="auto" w:fill="auto"/>
            <w:noWrap/>
            <w:vAlign w:val="center"/>
          </w:tcPr>
          <w:p w14:paraId="2E6056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w:t>
            </w:r>
          </w:p>
        </w:tc>
      </w:tr>
      <w:tr w14:paraId="267E8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74" w:type="dxa"/>
            <w:vMerge w:val="restart"/>
            <w:tcBorders>
              <w:tl2br w:val="nil"/>
              <w:tr2bl w:val="nil"/>
            </w:tcBorders>
            <w:shd w:val="clear" w:color="auto" w:fill="auto"/>
            <w:noWrap/>
            <w:vAlign w:val="center"/>
          </w:tcPr>
          <w:p w14:paraId="350916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24" w:type="dxa"/>
            <w:tcBorders>
              <w:tl2br w:val="nil"/>
              <w:tr2bl w:val="nil"/>
            </w:tcBorders>
            <w:shd w:val="clear" w:color="auto" w:fill="auto"/>
            <w:noWrap/>
            <w:vAlign w:val="center"/>
          </w:tcPr>
          <w:p w14:paraId="304C1B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516" w:type="dxa"/>
            <w:tcBorders>
              <w:tl2br w:val="nil"/>
              <w:tr2bl w:val="nil"/>
            </w:tcBorders>
            <w:shd w:val="clear" w:color="auto" w:fill="auto"/>
            <w:noWrap/>
            <w:vAlign w:val="center"/>
          </w:tcPr>
          <w:p w14:paraId="79CBB5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1516" w:type="dxa"/>
            <w:tcBorders>
              <w:tl2br w:val="nil"/>
              <w:tr2bl w:val="nil"/>
            </w:tcBorders>
            <w:shd w:val="clear" w:color="auto" w:fill="auto"/>
            <w:noWrap/>
            <w:vAlign w:val="center"/>
          </w:tcPr>
          <w:p w14:paraId="48DAB6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0.83 </w:t>
            </w:r>
          </w:p>
        </w:tc>
        <w:tc>
          <w:tcPr>
            <w:tcW w:w="1881" w:type="dxa"/>
            <w:tcBorders>
              <w:tl2br w:val="nil"/>
              <w:tr2bl w:val="nil"/>
            </w:tcBorders>
            <w:shd w:val="clear" w:color="auto" w:fill="auto"/>
            <w:noWrap/>
            <w:vAlign w:val="center"/>
          </w:tcPr>
          <w:p w14:paraId="6CBB3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661DFB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1.12 </w:t>
            </w:r>
          </w:p>
        </w:tc>
      </w:tr>
      <w:tr w14:paraId="58995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74" w:type="dxa"/>
            <w:vMerge w:val="continue"/>
            <w:tcBorders>
              <w:tl2br w:val="nil"/>
              <w:tr2bl w:val="nil"/>
            </w:tcBorders>
            <w:shd w:val="clear" w:color="auto" w:fill="auto"/>
            <w:noWrap/>
            <w:vAlign w:val="center"/>
          </w:tcPr>
          <w:p w14:paraId="7C084E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tcBorders>
              <w:tl2br w:val="nil"/>
              <w:tr2bl w:val="nil"/>
            </w:tcBorders>
            <w:shd w:val="clear" w:color="auto" w:fill="auto"/>
            <w:noWrap/>
            <w:vAlign w:val="center"/>
          </w:tcPr>
          <w:p w14:paraId="5A290C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516" w:type="dxa"/>
            <w:tcBorders>
              <w:tl2br w:val="nil"/>
              <w:tr2bl w:val="nil"/>
            </w:tcBorders>
            <w:shd w:val="clear" w:color="auto" w:fill="auto"/>
            <w:noWrap/>
            <w:vAlign w:val="center"/>
          </w:tcPr>
          <w:p w14:paraId="05BE95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1516" w:type="dxa"/>
            <w:tcBorders>
              <w:tl2br w:val="nil"/>
              <w:tr2bl w:val="nil"/>
            </w:tcBorders>
            <w:shd w:val="clear" w:color="auto" w:fill="auto"/>
            <w:noWrap/>
            <w:vAlign w:val="center"/>
          </w:tcPr>
          <w:p w14:paraId="6AE44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0.83 </w:t>
            </w:r>
          </w:p>
        </w:tc>
        <w:tc>
          <w:tcPr>
            <w:tcW w:w="1881" w:type="dxa"/>
            <w:tcBorders>
              <w:tl2br w:val="nil"/>
              <w:tr2bl w:val="nil"/>
            </w:tcBorders>
            <w:shd w:val="clear" w:color="auto" w:fill="auto"/>
            <w:noWrap/>
            <w:vAlign w:val="center"/>
          </w:tcPr>
          <w:p w14:paraId="145837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65A50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0.78 </w:t>
            </w:r>
          </w:p>
        </w:tc>
      </w:tr>
      <w:tr w14:paraId="1D892E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74" w:type="dxa"/>
            <w:vMerge w:val="continue"/>
            <w:tcBorders>
              <w:tl2br w:val="nil"/>
              <w:tr2bl w:val="nil"/>
            </w:tcBorders>
            <w:shd w:val="clear" w:color="auto" w:fill="auto"/>
            <w:noWrap/>
            <w:vAlign w:val="center"/>
          </w:tcPr>
          <w:p w14:paraId="6E2759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tcBorders>
              <w:tl2br w:val="nil"/>
              <w:tr2bl w:val="nil"/>
            </w:tcBorders>
            <w:shd w:val="clear" w:color="auto" w:fill="auto"/>
            <w:noWrap/>
            <w:vAlign w:val="center"/>
          </w:tcPr>
          <w:p w14:paraId="29F69C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516" w:type="dxa"/>
            <w:tcBorders>
              <w:tl2br w:val="nil"/>
              <w:tr2bl w:val="nil"/>
            </w:tcBorders>
            <w:shd w:val="clear" w:color="auto" w:fill="auto"/>
            <w:noWrap/>
            <w:vAlign w:val="center"/>
          </w:tcPr>
          <w:p w14:paraId="2DD0B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1516" w:type="dxa"/>
            <w:tcBorders>
              <w:tl2br w:val="nil"/>
              <w:tr2bl w:val="nil"/>
            </w:tcBorders>
            <w:shd w:val="clear" w:color="auto" w:fill="auto"/>
            <w:noWrap/>
            <w:vAlign w:val="center"/>
          </w:tcPr>
          <w:p w14:paraId="6EA60D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3.83 </w:t>
            </w:r>
          </w:p>
        </w:tc>
        <w:tc>
          <w:tcPr>
            <w:tcW w:w="1881" w:type="dxa"/>
            <w:tcBorders>
              <w:tl2br w:val="nil"/>
              <w:tr2bl w:val="nil"/>
            </w:tcBorders>
            <w:shd w:val="clear" w:color="auto" w:fill="auto"/>
            <w:noWrap/>
            <w:vAlign w:val="center"/>
          </w:tcPr>
          <w:p w14:paraId="024C23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4020F8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1.55 </w:t>
            </w:r>
          </w:p>
        </w:tc>
      </w:tr>
      <w:tr w14:paraId="15825C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74" w:type="dxa"/>
            <w:vMerge w:val="continue"/>
            <w:tcBorders>
              <w:tl2br w:val="nil"/>
              <w:tr2bl w:val="nil"/>
            </w:tcBorders>
            <w:shd w:val="clear" w:color="auto" w:fill="auto"/>
            <w:noWrap/>
            <w:vAlign w:val="center"/>
          </w:tcPr>
          <w:p w14:paraId="24C1D0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tcBorders>
              <w:tl2br w:val="nil"/>
              <w:tr2bl w:val="nil"/>
            </w:tcBorders>
            <w:shd w:val="clear" w:color="auto" w:fill="auto"/>
            <w:noWrap/>
            <w:vAlign w:val="center"/>
          </w:tcPr>
          <w:p w14:paraId="35FA3C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516" w:type="dxa"/>
            <w:tcBorders>
              <w:tl2br w:val="nil"/>
              <w:tr2bl w:val="nil"/>
            </w:tcBorders>
            <w:shd w:val="clear" w:color="auto" w:fill="auto"/>
            <w:noWrap/>
            <w:vAlign w:val="center"/>
          </w:tcPr>
          <w:p w14:paraId="1A4D0B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0.60 </w:t>
            </w:r>
          </w:p>
        </w:tc>
        <w:tc>
          <w:tcPr>
            <w:tcW w:w="1516" w:type="dxa"/>
            <w:tcBorders>
              <w:tl2br w:val="nil"/>
              <w:tr2bl w:val="nil"/>
            </w:tcBorders>
            <w:shd w:val="clear" w:color="auto" w:fill="auto"/>
            <w:noWrap/>
            <w:vAlign w:val="center"/>
          </w:tcPr>
          <w:p w14:paraId="070BA3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1" w:type="dxa"/>
            <w:tcBorders>
              <w:tl2br w:val="nil"/>
              <w:tr2bl w:val="nil"/>
            </w:tcBorders>
            <w:shd w:val="clear" w:color="auto" w:fill="auto"/>
            <w:noWrap/>
            <w:vAlign w:val="center"/>
          </w:tcPr>
          <w:p w14:paraId="467FC8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318BB8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3.45</w:t>
            </w:r>
          </w:p>
        </w:tc>
      </w:tr>
      <w:tr w14:paraId="406C3A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74" w:type="dxa"/>
            <w:vMerge w:val="restart"/>
            <w:tcBorders>
              <w:tl2br w:val="nil"/>
              <w:tr2bl w:val="nil"/>
            </w:tcBorders>
            <w:shd w:val="clear" w:color="auto" w:fill="auto"/>
            <w:noWrap/>
            <w:vAlign w:val="center"/>
          </w:tcPr>
          <w:p w14:paraId="43B87D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24" w:type="dxa"/>
            <w:tcBorders>
              <w:tl2br w:val="nil"/>
              <w:tr2bl w:val="nil"/>
            </w:tcBorders>
            <w:shd w:val="clear" w:color="auto" w:fill="auto"/>
            <w:noWrap/>
            <w:vAlign w:val="center"/>
          </w:tcPr>
          <w:p w14:paraId="2BC38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516" w:type="dxa"/>
            <w:tcBorders>
              <w:tl2br w:val="nil"/>
              <w:tr2bl w:val="nil"/>
            </w:tcBorders>
            <w:shd w:val="clear" w:color="auto" w:fill="auto"/>
            <w:noWrap/>
            <w:vAlign w:val="center"/>
          </w:tcPr>
          <w:p w14:paraId="7616C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1516" w:type="dxa"/>
            <w:tcBorders>
              <w:tl2br w:val="nil"/>
              <w:tr2bl w:val="nil"/>
            </w:tcBorders>
            <w:shd w:val="clear" w:color="auto" w:fill="auto"/>
            <w:noWrap/>
            <w:vAlign w:val="center"/>
          </w:tcPr>
          <w:p w14:paraId="326E11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0.83</w:t>
            </w:r>
          </w:p>
        </w:tc>
        <w:tc>
          <w:tcPr>
            <w:tcW w:w="1881" w:type="dxa"/>
            <w:tcBorders>
              <w:tl2br w:val="nil"/>
              <w:tr2bl w:val="nil"/>
            </w:tcBorders>
            <w:shd w:val="clear" w:color="auto" w:fill="auto"/>
            <w:noWrap/>
            <w:vAlign w:val="center"/>
          </w:tcPr>
          <w:p w14:paraId="41742E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54E2FE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2.13 </w:t>
            </w:r>
          </w:p>
        </w:tc>
      </w:tr>
      <w:tr w14:paraId="4A78A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74" w:type="dxa"/>
            <w:vMerge w:val="continue"/>
            <w:tcBorders>
              <w:tl2br w:val="nil"/>
              <w:tr2bl w:val="nil"/>
            </w:tcBorders>
            <w:shd w:val="clear" w:color="auto" w:fill="auto"/>
            <w:noWrap/>
            <w:vAlign w:val="center"/>
          </w:tcPr>
          <w:p w14:paraId="051D9D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tcBorders>
              <w:tl2br w:val="nil"/>
              <w:tr2bl w:val="nil"/>
            </w:tcBorders>
            <w:shd w:val="clear" w:color="auto" w:fill="auto"/>
            <w:noWrap/>
            <w:vAlign w:val="center"/>
          </w:tcPr>
          <w:p w14:paraId="035407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516" w:type="dxa"/>
            <w:tcBorders>
              <w:tl2br w:val="nil"/>
              <w:tr2bl w:val="nil"/>
            </w:tcBorders>
            <w:shd w:val="clear" w:color="auto" w:fill="auto"/>
            <w:noWrap/>
            <w:vAlign w:val="center"/>
          </w:tcPr>
          <w:p w14:paraId="11FA41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1516" w:type="dxa"/>
            <w:tcBorders>
              <w:tl2br w:val="nil"/>
              <w:tr2bl w:val="nil"/>
            </w:tcBorders>
            <w:shd w:val="clear" w:color="auto" w:fill="auto"/>
            <w:noWrap/>
            <w:vAlign w:val="center"/>
          </w:tcPr>
          <w:p w14:paraId="30D9B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0.83</w:t>
            </w:r>
          </w:p>
        </w:tc>
        <w:tc>
          <w:tcPr>
            <w:tcW w:w="1881" w:type="dxa"/>
            <w:tcBorders>
              <w:tl2br w:val="nil"/>
              <w:tr2bl w:val="nil"/>
            </w:tcBorders>
            <w:shd w:val="clear" w:color="auto" w:fill="auto"/>
            <w:noWrap/>
            <w:vAlign w:val="center"/>
          </w:tcPr>
          <w:p w14:paraId="548990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000363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0.75 </w:t>
            </w:r>
          </w:p>
        </w:tc>
      </w:tr>
      <w:tr w14:paraId="6C2BA2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974" w:type="dxa"/>
            <w:vMerge w:val="continue"/>
            <w:tcBorders>
              <w:tl2br w:val="nil"/>
              <w:tr2bl w:val="nil"/>
            </w:tcBorders>
            <w:shd w:val="clear" w:color="auto" w:fill="auto"/>
            <w:noWrap/>
            <w:vAlign w:val="center"/>
          </w:tcPr>
          <w:p w14:paraId="38900B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tcBorders>
              <w:tl2br w:val="nil"/>
              <w:tr2bl w:val="nil"/>
            </w:tcBorders>
            <w:shd w:val="clear" w:color="auto" w:fill="auto"/>
            <w:noWrap/>
            <w:vAlign w:val="center"/>
          </w:tcPr>
          <w:p w14:paraId="19C6F3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516" w:type="dxa"/>
            <w:tcBorders>
              <w:tl2br w:val="nil"/>
              <w:tr2bl w:val="nil"/>
            </w:tcBorders>
            <w:shd w:val="clear" w:color="auto" w:fill="auto"/>
            <w:noWrap/>
            <w:vAlign w:val="center"/>
          </w:tcPr>
          <w:p w14:paraId="6E93E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1516" w:type="dxa"/>
            <w:tcBorders>
              <w:tl2br w:val="nil"/>
              <w:tr2bl w:val="nil"/>
            </w:tcBorders>
            <w:shd w:val="clear" w:color="auto" w:fill="auto"/>
            <w:noWrap/>
            <w:vAlign w:val="center"/>
          </w:tcPr>
          <w:p w14:paraId="0D8AEB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3.83</w:t>
            </w:r>
          </w:p>
        </w:tc>
        <w:tc>
          <w:tcPr>
            <w:tcW w:w="1881" w:type="dxa"/>
            <w:tcBorders>
              <w:tl2br w:val="nil"/>
              <w:tr2bl w:val="nil"/>
            </w:tcBorders>
            <w:shd w:val="clear" w:color="auto" w:fill="auto"/>
            <w:noWrap/>
            <w:vAlign w:val="center"/>
          </w:tcPr>
          <w:p w14:paraId="1053D8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107A8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2.41 </w:t>
            </w:r>
          </w:p>
        </w:tc>
      </w:tr>
      <w:tr w14:paraId="3548A0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974" w:type="dxa"/>
            <w:vMerge w:val="continue"/>
            <w:tcBorders>
              <w:tl2br w:val="nil"/>
              <w:tr2bl w:val="nil"/>
            </w:tcBorders>
            <w:shd w:val="clear" w:color="auto" w:fill="auto"/>
            <w:noWrap/>
            <w:vAlign w:val="center"/>
          </w:tcPr>
          <w:p w14:paraId="35582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24" w:type="dxa"/>
            <w:tcBorders>
              <w:tl2br w:val="nil"/>
              <w:tr2bl w:val="nil"/>
            </w:tcBorders>
            <w:shd w:val="clear" w:color="auto" w:fill="auto"/>
            <w:noWrap/>
            <w:vAlign w:val="center"/>
          </w:tcPr>
          <w:p w14:paraId="18B94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516" w:type="dxa"/>
            <w:tcBorders>
              <w:tl2br w:val="nil"/>
              <w:tr2bl w:val="nil"/>
            </w:tcBorders>
            <w:shd w:val="clear" w:color="auto" w:fill="auto"/>
            <w:noWrap/>
            <w:vAlign w:val="center"/>
          </w:tcPr>
          <w:p w14:paraId="5E73B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0.91 </w:t>
            </w:r>
          </w:p>
        </w:tc>
        <w:tc>
          <w:tcPr>
            <w:tcW w:w="1516" w:type="dxa"/>
            <w:tcBorders>
              <w:tl2br w:val="nil"/>
              <w:tr2bl w:val="nil"/>
            </w:tcBorders>
            <w:shd w:val="clear" w:color="auto" w:fill="auto"/>
            <w:noWrap/>
            <w:vAlign w:val="center"/>
          </w:tcPr>
          <w:p w14:paraId="55A48A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1" w:type="dxa"/>
            <w:tcBorders>
              <w:tl2br w:val="nil"/>
              <w:tr2bl w:val="nil"/>
            </w:tcBorders>
            <w:shd w:val="clear" w:color="auto" w:fill="auto"/>
            <w:noWrap/>
            <w:vAlign w:val="center"/>
          </w:tcPr>
          <w:p w14:paraId="242236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48D5C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5.29</w:t>
            </w:r>
          </w:p>
        </w:tc>
      </w:tr>
      <w:tr w14:paraId="30DDCE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498" w:type="dxa"/>
            <w:gridSpan w:val="2"/>
            <w:tcBorders>
              <w:tl2br w:val="nil"/>
              <w:tr2bl w:val="nil"/>
            </w:tcBorders>
            <w:shd w:val="clear" w:color="auto" w:fill="auto"/>
            <w:noWrap/>
            <w:vAlign w:val="center"/>
          </w:tcPr>
          <w:p w14:paraId="6D2623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516" w:type="dxa"/>
            <w:tcBorders>
              <w:tl2br w:val="nil"/>
              <w:tr2bl w:val="nil"/>
            </w:tcBorders>
            <w:shd w:val="clear" w:color="auto" w:fill="auto"/>
            <w:noWrap/>
            <w:vAlign w:val="center"/>
          </w:tcPr>
          <w:p w14:paraId="69638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c>
          <w:tcPr>
            <w:tcW w:w="1516" w:type="dxa"/>
            <w:tcBorders>
              <w:tl2br w:val="nil"/>
              <w:tr2bl w:val="nil"/>
            </w:tcBorders>
            <w:shd w:val="clear" w:color="auto" w:fill="auto"/>
            <w:noWrap/>
            <w:vAlign w:val="center"/>
          </w:tcPr>
          <w:p w14:paraId="13CB16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1" w:type="dxa"/>
            <w:tcBorders>
              <w:tl2br w:val="nil"/>
              <w:tr2bl w:val="nil"/>
            </w:tcBorders>
            <w:shd w:val="clear" w:color="auto" w:fill="auto"/>
            <w:noWrap/>
            <w:vAlign w:val="center"/>
          </w:tcPr>
          <w:p w14:paraId="4EEBD8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450 </w:t>
            </w:r>
          </w:p>
        </w:tc>
        <w:tc>
          <w:tcPr>
            <w:tcW w:w="2157" w:type="dxa"/>
            <w:tcBorders>
              <w:tl2br w:val="nil"/>
              <w:tr2bl w:val="nil"/>
            </w:tcBorders>
            <w:shd w:val="clear" w:color="auto" w:fill="auto"/>
            <w:noWrap/>
            <w:vAlign w:val="center"/>
          </w:tcPr>
          <w:p w14:paraId="184DCC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8.74</w:t>
            </w:r>
          </w:p>
        </w:tc>
      </w:tr>
    </w:tbl>
    <w:p w14:paraId="60F216D5">
      <w:pPr>
        <w:pStyle w:val="5"/>
        <w:rPr>
          <w:rFonts w:hint="default" w:ascii="Times New Roman" w:hAnsi="Times New Roman" w:cs="Times New Roman"/>
          <w:lang w:val="zh-CN"/>
        </w:rPr>
      </w:pPr>
      <w:r>
        <w:rPr>
          <w:rFonts w:hint="default" w:ascii="Times New Roman" w:hAnsi="Times New Roman" w:cs="Times New Roman"/>
          <w:lang w:val="zh-CN"/>
        </w:rPr>
        <w:t>扰动地表可能产生的水土流失量预测</w:t>
      </w:r>
    </w:p>
    <w:p w14:paraId="7F5ACF43">
      <w:pPr>
        <w:ind w:firstLine="480"/>
        <w:rPr>
          <w:rFonts w:hint="default" w:ascii="Times New Roman" w:hAnsi="Times New Roman" w:eastAsia="仿宋_GB2312" w:cs="Times New Roman"/>
          <w:lang w:val="en-US" w:eastAsia="zh-CN"/>
        </w:rPr>
      </w:pPr>
      <w:r>
        <w:rPr>
          <w:rFonts w:hint="eastAsia" w:cs="Times New Roman"/>
          <w:lang w:val="en-US" w:eastAsia="zh-CN"/>
        </w:rPr>
        <w:t>1、扰动地表水土流失量</w:t>
      </w:r>
    </w:p>
    <w:p w14:paraId="4573B5AF">
      <w:pPr>
        <w:ind w:firstLine="480"/>
        <w:rPr>
          <w:rFonts w:hint="default" w:ascii="Times New Roman" w:hAnsi="Times New Roman" w:cs="Times New Roman"/>
        </w:rPr>
      </w:pPr>
      <w:r>
        <w:rPr>
          <w:rFonts w:hint="default" w:ascii="Times New Roman" w:hAnsi="Times New Roman" w:cs="Times New Roman"/>
        </w:rPr>
        <w:t>扰动后各预测分区的土壤侵蚀模数取值见表4-8。结合工程施工期土壤侵蚀模数取值和预测时段划分，按公式4-2计算得到，在预测时段内</w:t>
      </w:r>
      <w:r>
        <w:rPr>
          <w:rFonts w:hint="eastAsia" w:cs="Times New Roman"/>
          <w:lang w:val="en-US" w:eastAsia="zh-CN"/>
        </w:rPr>
        <w:t>扰动地表</w:t>
      </w:r>
      <w:r>
        <w:rPr>
          <w:rFonts w:hint="default" w:ascii="Times New Roman" w:hAnsi="Times New Roman" w:cs="Times New Roman"/>
        </w:rPr>
        <w:t>施工期水土流失量为</w:t>
      </w:r>
      <w:r>
        <w:rPr>
          <w:rFonts w:hint="eastAsia" w:cs="Times New Roman"/>
          <w:lang w:val="en-US" w:eastAsia="zh-CN"/>
        </w:rPr>
        <w:t>71.51</w:t>
      </w:r>
      <w:r>
        <w:rPr>
          <w:rFonts w:hint="default" w:ascii="Times New Roman" w:hAnsi="Times New Roman" w:cs="Times New Roman"/>
        </w:rPr>
        <w:t>t，自然恢复期水土流失量</w:t>
      </w:r>
      <w:r>
        <w:rPr>
          <w:rFonts w:hint="eastAsia" w:cs="Times New Roman"/>
          <w:lang w:val="en-US" w:eastAsia="zh-CN"/>
        </w:rPr>
        <w:t>4.14</w:t>
      </w:r>
      <w:r>
        <w:rPr>
          <w:rFonts w:hint="default" w:ascii="Times New Roman" w:hAnsi="Times New Roman" w:cs="Times New Roman"/>
        </w:rPr>
        <w:t>t，扰动地表可能产生的水土流失量为</w:t>
      </w:r>
      <w:r>
        <w:rPr>
          <w:rFonts w:hint="eastAsia" w:cs="Times New Roman"/>
          <w:lang w:val="en-US" w:eastAsia="zh-CN"/>
        </w:rPr>
        <w:t>75.65</w:t>
      </w:r>
      <w:r>
        <w:rPr>
          <w:rFonts w:hint="default" w:ascii="Times New Roman" w:hAnsi="Times New Roman" w:cs="Times New Roman"/>
          <w:lang w:eastAsia="zh-CN"/>
        </w:rPr>
        <w:t>t</w:t>
      </w:r>
      <w:r>
        <w:rPr>
          <w:rFonts w:hint="default" w:ascii="Times New Roman" w:hAnsi="Times New Roman" w:cs="Times New Roman"/>
        </w:rPr>
        <w:t>，具体计算成果见表4-1</w:t>
      </w:r>
      <w:r>
        <w:rPr>
          <w:rFonts w:hint="eastAsia" w:cs="Times New Roman"/>
          <w:lang w:val="en-US" w:eastAsia="zh-CN"/>
        </w:rPr>
        <w:t>1</w:t>
      </w:r>
      <w:r>
        <w:rPr>
          <w:rFonts w:hint="default" w:ascii="Times New Roman" w:hAnsi="Times New Roman" w:cs="Times New Roman"/>
        </w:rPr>
        <w:t>。</w:t>
      </w:r>
    </w:p>
    <w:p w14:paraId="57145212">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表4-1</w:t>
      </w:r>
      <w:r>
        <w:rPr>
          <w:rFonts w:hint="eastAsia" w:eastAsia="仿宋_GB2312" w:cs="Times New Roman"/>
          <w:b/>
          <w:bCs w:val="0"/>
          <w:lang w:val="en-US" w:eastAsia="zh-CN"/>
        </w:rPr>
        <w:t>1</w:t>
      </w:r>
      <w:r>
        <w:rPr>
          <w:rFonts w:hint="default" w:ascii="Times New Roman" w:hAnsi="Times New Roman" w:eastAsia="仿宋_GB2312" w:cs="Times New Roman"/>
          <w:b/>
          <w:bCs w:val="0"/>
        </w:rPr>
        <w:t xml:space="preserve">                      施工期及自然恢复期水土流失量计算表</w:t>
      </w:r>
    </w:p>
    <w:tbl>
      <w:tblPr>
        <w:tblStyle w:val="27"/>
        <w:tblW w:w="938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15"/>
        <w:gridCol w:w="1090"/>
        <w:gridCol w:w="757"/>
        <w:gridCol w:w="758"/>
        <w:gridCol w:w="1090"/>
        <w:gridCol w:w="910"/>
        <w:gridCol w:w="751"/>
        <w:gridCol w:w="758"/>
        <w:gridCol w:w="758"/>
        <w:gridCol w:w="617"/>
        <w:gridCol w:w="1280"/>
      </w:tblGrid>
      <w:tr w14:paraId="78FF39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15" w:type="dxa"/>
            <w:vMerge w:val="restart"/>
            <w:tcBorders>
              <w:tl2br w:val="nil"/>
              <w:tr2bl w:val="nil"/>
            </w:tcBorders>
            <w:shd w:val="clear" w:color="auto" w:fill="auto"/>
            <w:noWrap/>
            <w:vAlign w:val="center"/>
          </w:tcPr>
          <w:p w14:paraId="30310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w:t>
            </w:r>
          </w:p>
        </w:tc>
        <w:tc>
          <w:tcPr>
            <w:tcW w:w="1090" w:type="dxa"/>
            <w:vMerge w:val="restart"/>
            <w:tcBorders>
              <w:tl2br w:val="nil"/>
              <w:tr2bl w:val="nil"/>
            </w:tcBorders>
            <w:shd w:val="clear" w:color="auto" w:fill="auto"/>
            <w:noWrap/>
            <w:vAlign w:val="center"/>
          </w:tcPr>
          <w:p w14:paraId="683EB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项目分区</w:t>
            </w:r>
          </w:p>
        </w:tc>
        <w:tc>
          <w:tcPr>
            <w:tcW w:w="3515" w:type="dxa"/>
            <w:gridSpan w:val="4"/>
            <w:tcBorders>
              <w:tl2br w:val="nil"/>
              <w:tr2bl w:val="nil"/>
            </w:tcBorders>
            <w:shd w:val="clear" w:color="auto" w:fill="auto"/>
            <w:noWrap/>
            <w:vAlign w:val="center"/>
          </w:tcPr>
          <w:p w14:paraId="0BB2D9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施工期水土流失量</w:t>
            </w:r>
          </w:p>
        </w:tc>
        <w:tc>
          <w:tcPr>
            <w:tcW w:w="2884" w:type="dxa"/>
            <w:gridSpan w:val="4"/>
            <w:tcBorders>
              <w:tl2br w:val="nil"/>
              <w:tr2bl w:val="nil"/>
            </w:tcBorders>
            <w:shd w:val="clear" w:color="auto" w:fill="auto"/>
            <w:noWrap/>
            <w:vAlign w:val="center"/>
          </w:tcPr>
          <w:p w14:paraId="460331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运行期（自然恢复期）水土流失量</w:t>
            </w:r>
          </w:p>
        </w:tc>
        <w:tc>
          <w:tcPr>
            <w:tcW w:w="1280" w:type="dxa"/>
            <w:vMerge w:val="restart"/>
            <w:tcBorders>
              <w:tl2br w:val="nil"/>
              <w:tr2bl w:val="nil"/>
            </w:tcBorders>
            <w:shd w:val="clear" w:color="auto" w:fill="auto"/>
            <w:noWrap/>
            <w:vAlign w:val="center"/>
          </w:tcPr>
          <w:p w14:paraId="133AA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水土流失量总计</w:t>
            </w:r>
          </w:p>
        </w:tc>
      </w:tr>
      <w:tr w14:paraId="5D924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4EBF1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vMerge w:val="continue"/>
            <w:tcBorders>
              <w:tl2br w:val="nil"/>
              <w:tr2bl w:val="nil"/>
            </w:tcBorders>
            <w:shd w:val="clear" w:color="auto" w:fill="auto"/>
            <w:noWrap/>
            <w:vAlign w:val="center"/>
          </w:tcPr>
          <w:p w14:paraId="0BABBB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7" w:type="dxa"/>
            <w:tcBorders>
              <w:tl2br w:val="nil"/>
              <w:tr2bl w:val="nil"/>
            </w:tcBorders>
            <w:shd w:val="clear" w:color="auto" w:fill="auto"/>
            <w:noWrap/>
            <w:vAlign w:val="center"/>
          </w:tcPr>
          <w:p w14:paraId="1B5A6A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预测面积</w:t>
            </w:r>
          </w:p>
        </w:tc>
        <w:tc>
          <w:tcPr>
            <w:tcW w:w="758" w:type="dxa"/>
            <w:tcBorders>
              <w:tl2br w:val="nil"/>
              <w:tr2bl w:val="nil"/>
            </w:tcBorders>
            <w:shd w:val="clear" w:color="auto" w:fill="auto"/>
            <w:noWrap/>
            <w:vAlign w:val="center"/>
          </w:tcPr>
          <w:p w14:paraId="73DC8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预测时段</w:t>
            </w:r>
          </w:p>
        </w:tc>
        <w:tc>
          <w:tcPr>
            <w:tcW w:w="1090" w:type="dxa"/>
            <w:tcBorders>
              <w:tl2br w:val="nil"/>
              <w:tr2bl w:val="nil"/>
            </w:tcBorders>
            <w:shd w:val="clear" w:color="auto" w:fill="auto"/>
            <w:noWrap/>
            <w:vAlign w:val="center"/>
          </w:tcPr>
          <w:p w14:paraId="5947D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土壤侵蚀模数</w:t>
            </w:r>
          </w:p>
        </w:tc>
        <w:tc>
          <w:tcPr>
            <w:tcW w:w="910" w:type="dxa"/>
            <w:tcBorders>
              <w:tl2br w:val="nil"/>
              <w:tr2bl w:val="nil"/>
            </w:tcBorders>
            <w:shd w:val="clear" w:color="auto" w:fill="auto"/>
            <w:noWrap/>
            <w:vAlign w:val="center"/>
          </w:tcPr>
          <w:p w14:paraId="03CF56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水土流失量</w:t>
            </w:r>
          </w:p>
        </w:tc>
        <w:tc>
          <w:tcPr>
            <w:tcW w:w="751" w:type="dxa"/>
            <w:tcBorders>
              <w:tl2br w:val="nil"/>
              <w:tr2bl w:val="nil"/>
            </w:tcBorders>
            <w:shd w:val="clear" w:color="auto" w:fill="auto"/>
            <w:noWrap/>
            <w:vAlign w:val="center"/>
          </w:tcPr>
          <w:p w14:paraId="74A599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预测面积</w:t>
            </w:r>
          </w:p>
        </w:tc>
        <w:tc>
          <w:tcPr>
            <w:tcW w:w="758" w:type="dxa"/>
            <w:tcBorders>
              <w:tl2br w:val="nil"/>
              <w:tr2bl w:val="nil"/>
            </w:tcBorders>
            <w:shd w:val="clear" w:color="auto" w:fill="auto"/>
            <w:noWrap/>
            <w:vAlign w:val="center"/>
          </w:tcPr>
          <w:p w14:paraId="661CB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预测时段</w:t>
            </w:r>
          </w:p>
        </w:tc>
        <w:tc>
          <w:tcPr>
            <w:tcW w:w="758" w:type="dxa"/>
            <w:tcBorders>
              <w:tl2br w:val="nil"/>
              <w:tr2bl w:val="nil"/>
            </w:tcBorders>
            <w:shd w:val="clear" w:color="auto" w:fill="auto"/>
            <w:noWrap/>
            <w:vAlign w:val="center"/>
          </w:tcPr>
          <w:p w14:paraId="4D3FA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流失模数</w:t>
            </w:r>
          </w:p>
        </w:tc>
        <w:tc>
          <w:tcPr>
            <w:tcW w:w="617" w:type="dxa"/>
            <w:tcBorders>
              <w:tl2br w:val="nil"/>
              <w:tr2bl w:val="nil"/>
            </w:tcBorders>
            <w:shd w:val="clear" w:color="auto" w:fill="auto"/>
            <w:noWrap/>
            <w:vAlign w:val="center"/>
          </w:tcPr>
          <w:p w14:paraId="7B5537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流失量</w:t>
            </w:r>
          </w:p>
        </w:tc>
        <w:tc>
          <w:tcPr>
            <w:tcW w:w="1280" w:type="dxa"/>
            <w:vMerge w:val="continue"/>
            <w:tcBorders>
              <w:tl2br w:val="nil"/>
              <w:tr2bl w:val="nil"/>
            </w:tcBorders>
            <w:shd w:val="clear" w:color="auto" w:fill="auto"/>
            <w:noWrap/>
            <w:vAlign w:val="center"/>
          </w:tcPr>
          <w:p w14:paraId="5892A9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r>
      <w:tr w14:paraId="63C440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43E6BE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vMerge w:val="continue"/>
            <w:tcBorders>
              <w:tl2br w:val="nil"/>
              <w:tr2bl w:val="nil"/>
            </w:tcBorders>
            <w:shd w:val="clear" w:color="auto" w:fill="auto"/>
            <w:noWrap/>
            <w:vAlign w:val="center"/>
          </w:tcPr>
          <w:p w14:paraId="3369DB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7" w:type="dxa"/>
            <w:tcBorders>
              <w:tl2br w:val="nil"/>
              <w:tr2bl w:val="nil"/>
            </w:tcBorders>
            <w:shd w:val="clear" w:color="auto" w:fill="auto"/>
            <w:noWrap/>
            <w:vAlign w:val="center"/>
          </w:tcPr>
          <w:p w14:paraId="5C98DD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p>
        </w:tc>
        <w:tc>
          <w:tcPr>
            <w:tcW w:w="758" w:type="dxa"/>
            <w:tcBorders>
              <w:tl2br w:val="nil"/>
              <w:tr2bl w:val="nil"/>
            </w:tcBorders>
            <w:shd w:val="clear" w:color="auto" w:fill="auto"/>
            <w:noWrap/>
            <w:vAlign w:val="center"/>
          </w:tcPr>
          <w:p w14:paraId="2E088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a</w:t>
            </w:r>
          </w:p>
        </w:tc>
        <w:tc>
          <w:tcPr>
            <w:tcW w:w="1090" w:type="dxa"/>
            <w:tcBorders>
              <w:tl2br w:val="nil"/>
              <w:tr2bl w:val="nil"/>
            </w:tcBorders>
            <w:shd w:val="clear" w:color="auto" w:fill="auto"/>
            <w:noWrap/>
            <w:vAlign w:val="center"/>
          </w:tcPr>
          <w:p w14:paraId="0D82D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t/km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kern w:val="0"/>
                <w:sz w:val="18"/>
                <w:szCs w:val="18"/>
                <w:u w:val="none"/>
                <w:lang w:val="en-US" w:eastAsia="zh-CN" w:bidi="ar"/>
              </w:rPr>
              <w:t>.a</w:t>
            </w:r>
          </w:p>
        </w:tc>
        <w:tc>
          <w:tcPr>
            <w:tcW w:w="910" w:type="dxa"/>
            <w:tcBorders>
              <w:tl2br w:val="nil"/>
              <w:tr2bl w:val="nil"/>
            </w:tcBorders>
            <w:shd w:val="clear" w:color="auto" w:fill="auto"/>
            <w:noWrap/>
            <w:vAlign w:val="center"/>
          </w:tcPr>
          <w:p w14:paraId="6FCBA7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t</w:t>
            </w:r>
          </w:p>
        </w:tc>
        <w:tc>
          <w:tcPr>
            <w:tcW w:w="751" w:type="dxa"/>
            <w:tcBorders>
              <w:tl2br w:val="nil"/>
              <w:tr2bl w:val="nil"/>
            </w:tcBorders>
            <w:shd w:val="clear" w:color="auto" w:fill="auto"/>
            <w:noWrap/>
            <w:vAlign w:val="center"/>
          </w:tcPr>
          <w:p w14:paraId="41A033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p>
        </w:tc>
        <w:tc>
          <w:tcPr>
            <w:tcW w:w="758" w:type="dxa"/>
            <w:tcBorders>
              <w:tl2br w:val="nil"/>
              <w:tr2bl w:val="nil"/>
            </w:tcBorders>
            <w:shd w:val="clear" w:color="auto" w:fill="auto"/>
            <w:noWrap/>
            <w:vAlign w:val="center"/>
          </w:tcPr>
          <w:p w14:paraId="75DD7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a</w:t>
            </w:r>
          </w:p>
        </w:tc>
        <w:tc>
          <w:tcPr>
            <w:tcW w:w="758" w:type="dxa"/>
            <w:tcBorders>
              <w:tl2br w:val="nil"/>
              <w:tr2bl w:val="nil"/>
            </w:tcBorders>
            <w:shd w:val="clear" w:color="auto" w:fill="auto"/>
            <w:noWrap/>
            <w:vAlign w:val="center"/>
          </w:tcPr>
          <w:p w14:paraId="3A105A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t/km</w:t>
            </w:r>
            <w:r>
              <w:rPr>
                <w:rFonts w:hint="default" w:ascii="Times New Roman" w:hAnsi="Times New Roman" w:eastAsia="仿宋_GB2312" w:cs="Times New Roman"/>
                <w:i w:val="0"/>
                <w:iCs w:val="0"/>
                <w:color w:val="000000"/>
                <w:kern w:val="0"/>
                <w:sz w:val="18"/>
                <w:szCs w:val="18"/>
                <w:u w:val="none"/>
                <w:vertAlign w:val="superscript"/>
                <w:lang w:val="en-US" w:eastAsia="zh-CN" w:bidi="ar"/>
              </w:rPr>
              <w:t>2</w:t>
            </w:r>
            <w:r>
              <w:rPr>
                <w:rFonts w:hint="default" w:ascii="Times New Roman" w:hAnsi="Times New Roman" w:eastAsia="仿宋_GB2312" w:cs="Times New Roman"/>
                <w:i w:val="0"/>
                <w:iCs w:val="0"/>
                <w:color w:val="000000"/>
                <w:kern w:val="0"/>
                <w:sz w:val="18"/>
                <w:szCs w:val="18"/>
                <w:u w:val="none"/>
                <w:lang w:val="en-US" w:eastAsia="zh-CN" w:bidi="ar"/>
              </w:rPr>
              <w:t>.a</w:t>
            </w:r>
          </w:p>
        </w:tc>
        <w:tc>
          <w:tcPr>
            <w:tcW w:w="617" w:type="dxa"/>
            <w:tcBorders>
              <w:tl2br w:val="nil"/>
              <w:tr2bl w:val="nil"/>
            </w:tcBorders>
            <w:shd w:val="clear" w:color="auto" w:fill="auto"/>
            <w:noWrap/>
            <w:vAlign w:val="center"/>
          </w:tcPr>
          <w:p w14:paraId="0A50C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t</w:t>
            </w:r>
          </w:p>
        </w:tc>
        <w:tc>
          <w:tcPr>
            <w:tcW w:w="1280" w:type="dxa"/>
            <w:tcBorders>
              <w:tl2br w:val="nil"/>
              <w:tr2bl w:val="nil"/>
            </w:tcBorders>
            <w:shd w:val="clear" w:color="auto" w:fill="auto"/>
            <w:noWrap/>
            <w:vAlign w:val="center"/>
          </w:tcPr>
          <w:p w14:paraId="50E25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t</w:t>
            </w:r>
          </w:p>
        </w:tc>
      </w:tr>
      <w:tr w14:paraId="7B284C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restart"/>
            <w:tcBorders>
              <w:tl2br w:val="nil"/>
              <w:tr2bl w:val="nil"/>
            </w:tcBorders>
            <w:shd w:val="clear" w:color="auto" w:fill="auto"/>
            <w:noWrap/>
            <w:vAlign w:val="center"/>
          </w:tcPr>
          <w:p w14:paraId="2F441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地块一</w:t>
            </w:r>
          </w:p>
        </w:tc>
        <w:tc>
          <w:tcPr>
            <w:tcW w:w="1090" w:type="dxa"/>
            <w:tcBorders>
              <w:tl2br w:val="nil"/>
              <w:tr2bl w:val="nil"/>
            </w:tcBorders>
            <w:shd w:val="clear" w:color="auto" w:fill="auto"/>
            <w:noWrap/>
            <w:vAlign w:val="center"/>
          </w:tcPr>
          <w:p w14:paraId="7DEDE5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757" w:type="dxa"/>
            <w:tcBorders>
              <w:tl2br w:val="nil"/>
              <w:tr2bl w:val="nil"/>
            </w:tcBorders>
            <w:shd w:val="clear" w:color="auto" w:fill="auto"/>
            <w:noWrap/>
            <w:vAlign w:val="center"/>
          </w:tcPr>
          <w:p w14:paraId="44D48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0.30 </w:t>
            </w:r>
          </w:p>
        </w:tc>
        <w:tc>
          <w:tcPr>
            <w:tcW w:w="758" w:type="dxa"/>
            <w:tcBorders>
              <w:tl2br w:val="nil"/>
              <w:tr2bl w:val="nil"/>
            </w:tcBorders>
            <w:shd w:val="clear" w:color="auto" w:fill="auto"/>
            <w:noWrap/>
            <w:vAlign w:val="center"/>
          </w:tcPr>
          <w:p w14:paraId="652825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0.8 </w:t>
            </w:r>
          </w:p>
        </w:tc>
        <w:tc>
          <w:tcPr>
            <w:tcW w:w="1090" w:type="dxa"/>
            <w:tcBorders>
              <w:tl2br w:val="nil"/>
              <w:tr2bl w:val="nil"/>
            </w:tcBorders>
            <w:shd w:val="clear" w:color="auto" w:fill="auto"/>
            <w:noWrap/>
            <w:vAlign w:val="center"/>
          </w:tcPr>
          <w:p w14:paraId="1D87E8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6000</w:t>
            </w:r>
          </w:p>
        </w:tc>
        <w:tc>
          <w:tcPr>
            <w:tcW w:w="910" w:type="dxa"/>
            <w:tcBorders>
              <w:tl2br w:val="nil"/>
              <w:tr2bl w:val="nil"/>
            </w:tcBorders>
            <w:shd w:val="clear" w:color="auto" w:fill="auto"/>
            <w:noWrap/>
            <w:vAlign w:val="center"/>
          </w:tcPr>
          <w:p w14:paraId="21546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14.40 </w:t>
            </w:r>
          </w:p>
        </w:tc>
        <w:tc>
          <w:tcPr>
            <w:tcW w:w="751" w:type="dxa"/>
            <w:tcBorders>
              <w:tl2br w:val="nil"/>
              <w:tr2bl w:val="nil"/>
            </w:tcBorders>
            <w:shd w:val="clear" w:color="auto" w:fill="auto"/>
            <w:noWrap/>
            <w:vAlign w:val="center"/>
          </w:tcPr>
          <w:p w14:paraId="0E7FA9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31FCC4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290D34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0114CC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280" w:type="dxa"/>
            <w:tcBorders>
              <w:tl2br w:val="nil"/>
              <w:tr2bl w:val="nil"/>
            </w:tcBorders>
            <w:shd w:val="clear" w:color="auto" w:fill="auto"/>
            <w:noWrap/>
            <w:vAlign w:val="center"/>
          </w:tcPr>
          <w:p w14:paraId="6A9318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14.40 </w:t>
            </w:r>
          </w:p>
        </w:tc>
      </w:tr>
      <w:tr w14:paraId="14C79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5B6244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72A53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道路及硬化区</w:t>
            </w:r>
          </w:p>
        </w:tc>
        <w:tc>
          <w:tcPr>
            <w:tcW w:w="757" w:type="dxa"/>
            <w:tcBorders>
              <w:tl2br w:val="nil"/>
              <w:tr2bl w:val="nil"/>
            </w:tcBorders>
            <w:shd w:val="clear" w:color="auto" w:fill="auto"/>
            <w:noWrap/>
            <w:vAlign w:val="center"/>
          </w:tcPr>
          <w:p w14:paraId="15CF8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0.21 </w:t>
            </w:r>
          </w:p>
        </w:tc>
        <w:tc>
          <w:tcPr>
            <w:tcW w:w="758" w:type="dxa"/>
            <w:tcBorders>
              <w:tl2br w:val="nil"/>
              <w:tr2bl w:val="nil"/>
            </w:tcBorders>
            <w:shd w:val="clear" w:color="auto" w:fill="auto"/>
            <w:noWrap/>
            <w:vAlign w:val="center"/>
          </w:tcPr>
          <w:p w14:paraId="1A88B1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0.8 </w:t>
            </w:r>
          </w:p>
        </w:tc>
        <w:tc>
          <w:tcPr>
            <w:tcW w:w="1090" w:type="dxa"/>
            <w:tcBorders>
              <w:tl2br w:val="nil"/>
              <w:tr2bl w:val="nil"/>
            </w:tcBorders>
            <w:shd w:val="clear" w:color="auto" w:fill="auto"/>
            <w:noWrap/>
            <w:vAlign w:val="center"/>
          </w:tcPr>
          <w:p w14:paraId="6B48B8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5500</w:t>
            </w:r>
          </w:p>
        </w:tc>
        <w:tc>
          <w:tcPr>
            <w:tcW w:w="910" w:type="dxa"/>
            <w:tcBorders>
              <w:tl2br w:val="nil"/>
              <w:tr2bl w:val="nil"/>
            </w:tcBorders>
            <w:shd w:val="clear" w:color="auto" w:fill="auto"/>
            <w:noWrap/>
            <w:vAlign w:val="center"/>
          </w:tcPr>
          <w:p w14:paraId="3879BB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9.24 </w:t>
            </w:r>
          </w:p>
        </w:tc>
        <w:tc>
          <w:tcPr>
            <w:tcW w:w="751" w:type="dxa"/>
            <w:tcBorders>
              <w:tl2br w:val="nil"/>
              <w:tr2bl w:val="nil"/>
            </w:tcBorders>
            <w:shd w:val="clear" w:color="auto" w:fill="auto"/>
            <w:noWrap/>
            <w:vAlign w:val="center"/>
          </w:tcPr>
          <w:p w14:paraId="02F2A8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57F16C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326E1D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05F314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280" w:type="dxa"/>
            <w:tcBorders>
              <w:tl2br w:val="nil"/>
              <w:tr2bl w:val="nil"/>
            </w:tcBorders>
            <w:shd w:val="clear" w:color="auto" w:fill="auto"/>
            <w:noWrap/>
            <w:vAlign w:val="center"/>
          </w:tcPr>
          <w:p w14:paraId="3592DA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9.24 </w:t>
            </w:r>
          </w:p>
        </w:tc>
      </w:tr>
      <w:tr w14:paraId="227C2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1E13F3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17207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w:t>
            </w:r>
          </w:p>
        </w:tc>
        <w:tc>
          <w:tcPr>
            <w:tcW w:w="757" w:type="dxa"/>
            <w:tcBorders>
              <w:tl2br w:val="nil"/>
              <w:tr2bl w:val="nil"/>
            </w:tcBorders>
            <w:shd w:val="clear" w:color="auto" w:fill="auto"/>
            <w:noWrap/>
            <w:vAlign w:val="center"/>
          </w:tcPr>
          <w:p w14:paraId="280C2E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0.09 </w:t>
            </w:r>
          </w:p>
        </w:tc>
        <w:tc>
          <w:tcPr>
            <w:tcW w:w="758" w:type="dxa"/>
            <w:tcBorders>
              <w:tl2br w:val="nil"/>
              <w:tr2bl w:val="nil"/>
            </w:tcBorders>
            <w:shd w:val="clear" w:color="auto" w:fill="auto"/>
            <w:noWrap/>
            <w:vAlign w:val="center"/>
          </w:tcPr>
          <w:p w14:paraId="0D008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0.8 </w:t>
            </w:r>
          </w:p>
        </w:tc>
        <w:tc>
          <w:tcPr>
            <w:tcW w:w="1090" w:type="dxa"/>
            <w:tcBorders>
              <w:tl2br w:val="nil"/>
              <w:tr2bl w:val="nil"/>
            </w:tcBorders>
            <w:shd w:val="clear" w:color="auto" w:fill="auto"/>
            <w:noWrap/>
            <w:vAlign w:val="center"/>
          </w:tcPr>
          <w:p w14:paraId="216576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5500</w:t>
            </w:r>
          </w:p>
        </w:tc>
        <w:tc>
          <w:tcPr>
            <w:tcW w:w="910" w:type="dxa"/>
            <w:tcBorders>
              <w:tl2br w:val="nil"/>
              <w:tr2bl w:val="nil"/>
            </w:tcBorders>
            <w:shd w:val="clear" w:color="auto" w:fill="auto"/>
            <w:noWrap/>
            <w:vAlign w:val="center"/>
          </w:tcPr>
          <w:p w14:paraId="0CBA9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3.96 </w:t>
            </w:r>
          </w:p>
        </w:tc>
        <w:tc>
          <w:tcPr>
            <w:tcW w:w="751" w:type="dxa"/>
            <w:tcBorders>
              <w:tl2br w:val="nil"/>
              <w:tr2bl w:val="nil"/>
            </w:tcBorders>
            <w:shd w:val="clear" w:color="auto" w:fill="auto"/>
            <w:noWrap/>
            <w:vAlign w:val="center"/>
          </w:tcPr>
          <w:p w14:paraId="401C7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0.09 </w:t>
            </w:r>
          </w:p>
        </w:tc>
        <w:tc>
          <w:tcPr>
            <w:tcW w:w="758" w:type="dxa"/>
            <w:tcBorders>
              <w:tl2br w:val="nil"/>
              <w:tr2bl w:val="nil"/>
            </w:tcBorders>
            <w:shd w:val="clear" w:color="auto" w:fill="auto"/>
            <w:noWrap/>
            <w:vAlign w:val="center"/>
          </w:tcPr>
          <w:p w14:paraId="435C50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 </w:t>
            </w:r>
          </w:p>
        </w:tc>
        <w:tc>
          <w:tcPr>
            <w:tcW w:w="758" w:type="dxa"/>
            <w:tcBorders>
              <w:tl2br w:val="nil"/>
              <w:tr2bl w:val="nil"/>
            </w:tcBorders>
            <w:shd w:val="clear" w:color="auto" w:fill="auto"/>
            <w:noWrap/>
            <w:vAlign w:val="center"/>
          </w:tcPr>
          <w:p w14:paraId="40C934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600</w:t>
            </w:r>
          </w:p>
        </w:tc>
        <w:tc>
          <w:tcPr>
            <w:tcW w:w="617" w:type="dxa"/>
            <w:tcBorders>
              <w:tl2br w:val="nil"/>
              <w:tr2bl w:val="nil"/>
            </w:tcBorders>
            <w:shd w:val="clear" w:color="auto" w:fill="auto"/>
            <w:noWrap/>
            <w:vAlign w:val="center"/>
          </w:tcPr>
          <w:p w14:paraId="10AFA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1.62 </w:t>
            </w:r>
          </w:p>
        </w:tc>
        <w:tc>
          <w:tcPr>
            <w:tcW w:w="1280" w:type="dxa"/>
            <w:tcBorders>
              <w:tl2br w:val="nil"/>
              <w:tr2bl w:val="nil"/>
            </w:tcBorders>
            <w:shd w:val="clear" w:color="auto" w:fill="auto"/>
            <w:noWrap/>
            <w:vAlign w:val="center"/>
          </w:tcPr>
          <w:p w14:paraId="42E437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5.58 </w:t>
            </w:r>
          </w:p>
        </w:tc>
      </w:tr>
      <w:tr w14:paraId="15DA09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109499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5E11E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757" w:type="dxa"/>
            <w:tcBorders>
              <w:tl2br w:val="nil"/>
              <w:tr2bl w:val="nil"/>
            </w:tcBorders>
            <w:shd w:val="clear" w:color="auto" w:fill="auto"/>
            <w:noWrap/>
            <w:vAlign w:val="center"/>
          </w:tcPr>
          <w:p w14:paraId="75CA72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0.60 </w:t>
            </w:r>
          </w:p>
        </w:tc>
        <w:tc>
          <w:tcPr>
            <w:tcW w:w="758" w:type="dxa"/>
            <w:tcBorders>
              <w:tl2br w:val="nil"/>
              <w:tr2bl w:val="nil"/>
            </w:tcBorders>
            <w:shd w:val="clear" w:color="auto" w:fill="auto"/>
            <w:noWrap/>
            <w:vAlign w:val="center"/>
          </w:tcPr>
          <w:p w14:paraId="250FE8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06E7F0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10" w:type="dxa"/>
            <w:tcBorders>
              <w:tl2br w:val="nil"/>
              <w:tr2bl w:val="nil"/>
            </w:tcBorders>
            <w:shd w:val="clear" w:color="auto" w:fill="auto"/>
            <w:noWrap/>
            <w:vAlign w:val="center"/>
          </w:tcPr>
          <w:p w14:paraId="1DD76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27.60 </w:t>
            </w:r>
          </w:p>
        </w:tc>
        <w:tc>
          <w:tcPr>
            <w:tcW w:w="751" w:type="dxa"/>
            <w:tcBorders>
              <w:tl2br w:val="nil"/>
              <w:tr2bl w:val="nil"/>
            </w:tcBorders>
            <w:shd w:val="clear" w:color="auto" w:fill="auto"/>
            <w:noWrap/>
            <w:vAlign w:val="center"/>
          </w:tcPr>
          <w:p w14:paraId="405D27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0.09 </w:t>
            </w:r>
          </w:p>
        </w:tc>
        <w:tc>
          <w:tcPr>
            <w:tcW w:w="758" w:type="dxa"/>
            <w:tcBorders>
              <w:tl2br w:val="nil"/>
              <w:tr2bl w:val="nil"/>
            </w:tcBorders>
            <w:shd w:val="clear" w:color="auto" w:fill="auto"/>
            <w:noWrap/>
            <w:vAlign w:val="center"/>
          </w:tcPr>
          <w:p w14:paraId="0DE63F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56AB08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3CD6C5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1.62 </w:t>
            </w:r>
          </w:p>
        </w:tc>
        <w:tc>
          <w:tcPr>
            <w:tcW w:w="1280" w:type="dxa"/>
            <w:tcBorders>
              <w:tl2br w:val="nil"/>
              <w:tr2bl w:val="nil"/>
            </w:tcBorders>
            <w:shd w:val="clear" w:color="auto" w:fill="auto"/>
            <w:noWrap/>
            <w:vAlign w:val="center"/>
          </w:tcPr>
          <w:p w14:paraId="1C2609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29.22 </w:t>
            </w:r>
          </w:p>
        </w:tc>
      </w:tr>
      <w:tr w14:paraId="48C01C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15" w:type="dxa"/>
            <w:vMerge w:val="restart"/>
            <w:tcBorders>
              <w:tl2br w:val="nil"/>
              <w:tr2bl w:val="nil"/>
            </w:tcBorders>
            <w:shd w:val="clear" w:color="auto" w:fill="auto"/>
            <w:noWrap/>
            <w:vAlign w:val="center"/>
          </w:tcPr>
          <w:p w14:paraId="320E9F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地块二</w:t>
            </w:r>
          </w:p>
        </w:tc>
        <w:tc>
          <w:tcPr>
            <w:tcW w:w="1090" w:type="dxa"/>
            <w:tcBorders>
              <w:tl2br w:val="nil"/>
              <w:tr2bl w:val="nil"/>
            </w:tcBorders>
            <w:shd w:val="clear" w:color="auto" w:fill="auto"/>
            <w:noWrap/>
            <w:vAlign w:val="center"/>
          </w:tcPr>
          <w:p w14:paraId="484511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建构筑物区</w:t>
            </w:r>
          </w:p>
        </w:tc>
        <w:tc>
          <w:tcPr>
            <w:tcW w:w="757" w:type="dxa"/>
            <w:tcBorders>
              <w:tl2br w:val="nil"/>
              <w:tr2bl w:val="nil"/>
            </w:tcBorders>
            <w:shd w:val="clear" w:color="auto" w:fill="auto"/>
            <w:noWrap/>
            <w:vAlign w:val="center"/>
          </w:tcPr>
          <w:p w14:paraId="74273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0.57 </w:t>
            </w:r>
          </w:p>
        </w:tc>
        <w:tc>
          <w:tcPr>
            <w:tcW w:w="758" w:type="dxa"/>
            <w:tcBorders>
              <w:tl2br w:val="nil"/>
              <w:tr2bl w:val="nil"/>
            </w:tcBorders>
            <w:shd w:val="clear" w:color="auto" w:fill="auto"/>
            <w:noWrap/>
            <w:vAlign w:val="center"/>
          </w:tcPr>
          <w:p w14:paraId="682476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0.83 </w:t>
            </w:r>
          </w:p>
        </w:tc>
        <w:tc>
          <w:tcPr>
            <w:tcW w:w="1090" w:type="dxa"/>
            <w:tcBorders>
              <w:tl2br w:val="nil"/>
              <w:tr2bl w:val="nil"/>
            </w:tcBorders>
            <w:shd w:val="clear" w:color="auto" w:fill="auto"/>
            <w:noWrap/>
            <w:vAlign w:val="center"/>
          </w:tcPr>
          <w:p w14:paraId="7D2617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6000</w:t>
            </w:r>
          </w:p>
        </w:tc>
        <w:tc>
          <w:tcPr>
            <w:tcW w:w="910" w:type="dxa"/>
            <w:tcBorders>
              <w:tl2br w:val="nil"/>
              <w:tr2bl w:val="nil"/>
            </w:tcBorders>
            <w:shd w:val="clear" w:color="auto" w:fill="auto"/>
            <w:noWrap/>
            <w:vAlign w:val="center"/>
          </w:tcPr>
          <w:p w14:paraId="1E55B4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28.39 </w:t>
            </w:r>
          </w:p>
        </w:tc>
        <w:tc>
          <w:tcPr>
            <w:tcW w:w="751" w:type="dxa"/>
            <w:tcBorders>
              <w:tl2br w:val="nil"/>
              <w:tr2bl w:val="nil"/>
            </w:tcBorders>
            <w:shd w:val="clear" w:color="auto" w:fill="auto"/>
            <w:noWrap/>
            <w:vAlign w:val="center"/>
          </w:tcPr>
          <w:p w14:paraId="08B061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50F4E2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0F52E1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0EAC55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280" w:type="dxa"/>
            <w:tcBorders>
              <w:tl2br w:val="nil"/>
              <w:tr2bl w:val="nil"/>
            </w:tcBorders>
            <w:shd w:val="clear" w:color="auto" w:fill="auto"/>
            <w:noWrap/>
            <w:vAlign w:val="center"/>
          </w:tcPr>
          <w:p w14:paraId="1C4191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28.39 </w:t>
            </w:r>
          </w:p>
        </w:tc>
      </w:tr>
      <w:tr w14:paraId="01113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35E409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055F6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道路及硬化区</w:t>
            </w:r>
          </w:p>
        </w:tc>
        <w:tc>
          <w:tcPr>
            <w:tcW w:w="757" w:type="dxa"/>
            <w:tcBorders>
              <w:tl2br w:val="nil"/>
              <w:tr2bl w:val="nil"/>
            </w:tcBorders>
            <w:shd w:val="clear" w:color="auto" w:fill="auto"/>
            <w:noWrap/>
            <w:vAlign w:val="center"/>
          </w:tcPr>
          <w:p w14:paraId="44A19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0.20 </w:t>
            </w:r>
          </w:p>
        </w:tc>
        <w:tc>
          <w:tcPr>
            <w:tcW w:w="758" w:type="dxa"/>
            <w:tcBorders>
              <w:tl2br w:val="nil"/>
              <w:tr2bl w:val="nil"/>
            </w:tcBorders>
            <w:shd w:val="clear" w:color="auto" w:fill="auto"/>
            <w:noWrap/>
            <w:vAlign w:val="center"/>
          </w:tcPr>
          <w:p w14:paraId="66DCF3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0.83 </w:t>
            </w:r>
          </w:p>
        </w:tc>
        <w:tc>
          <w:tcPr>
            <w:tcW w:w="1090" w:type="dxa"/>
            <w:tcBorders>
              <w:tl2br w:val="nil"/>
              <w:tr2bl w:val="nil"/>
            </w:tcBorders>
            <w:shd w:val="clear" w:color="auto" w:fill="auto"/>
            <w:noWrap/>
            <w:vAlign w:val="center"/>
          </w:tcPr>
          <w:p w14:paraId="470C0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5500</w:t>
            </w:r>
          </w:p>
        </w:tc>
        <w:tc>
          <w:tcPr>
            <w:tcW w:w="910" w:type="dxa"/>
            <w:tcBorders>
              <w:tl2br w:val="nil"/>
              <w:tr2bl w:val="nil"/>
            </w:tcBorders>
            <w:shd w:val="clear" w:color="auto" w:fill="auto"/>
            <w:noWrap/>
            <w:vAlign w:val="center"/>
          </w:tcPr>
          <w:p w14:paraId="08AE4F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9.13 </w:t>
            </w:r>
          </w:p>
        </w:tc>
        <w:tc>
          <w:tcPr>
            <w:tcW w:w="751" w:type="dxa"/>
            <w:tcBorders>
              <w:tl2br w:val="nil"/>
              <w:tr2bl w:val="nil"/>
            </w:tcBorders>
            <w:shd w:val="clear" w:color="auto" w:fill="auto"/>
            <w:noWrap/>
            <w:vAlign w:val="center"/>
          </w:tcPr>
          <w:p w14:paraId="1A9189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3CE146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0DF638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73E347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280" w:type="dxa"/>
            <w:tcBorders>
              <w:tl2br w:val="nil"/>
              <w:tr2bl w:val="nil"/>
            </w:tcBorders>
            <w:shd w:val="clear" w:color="auto" w:fill="auto"/>
            <w:noWrap/>
            <w:vAlign w:val="center"/>
          </w:tcPr>
          <w:p w14:paraId="3BEAF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9.13 </w:t>
            </w:r>
          </w:p>
        </w:tc>
      </w:tr>
      <w:tr w14:paraId="22D9C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20B027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3EBAAD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绿化区</w:t>
            </w:r>
          </w:p>
        </w:tc>
        <w:tc>
          <w:tcPr>
            <w:tcW w:w="757" w:type="dxa"/>
            <w:tcBorders>
              <w:tl2br w:val="nil"/>
              <w:tr2bl w:val="nil"/>
            </w:tcBorders>
            <w:shd w:val="clear" w:color="auto" w:fill="auto"/>
            <w:noWrap/>
            <w:vAlign w:val="center"/>
          </w:tcPr>
          <w:p w14:paraId="0212C4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0.14 </w:t>
            </w:r>
          </w:p>
        </w:tc>
        <w:tc>
          <w:tcPr>
            <w:tcW w:w="758" w:type="dxa"/>
            <w:tcBorders>
              <w:tl2br w:val="nil"/>
              <w:tr2bl w:val="nil"/>
            </w:tcBorders>
            <w:shd w:val="clear" w:color="auto" w:fill="auto"/>
            <w:noWrap/>
            <w:vAlign w:val="center"/>
          </w:tcPr>
          <w:p w14:paraId="74937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0.83 </w:t>
            </w:r>
          </w:p>
        </w:tc>
        <w:tc>
          <w:tcPr>
            <w:tcW w:w="1090" w:type="dxa"/>
            <w:tcBorders>
              <w:tl2br w:val="nil"/>
              <w:tr2bl w:val="nil"/>
            </w:tcBorders>
            <w:shd w:val="clear" w:color="auto" w:fill="auto"/>
            <w:noWrap/>
            <w:vAlign w:val="center"/>
          </w:tcPr>
          <w:p w14:paraId="25FB4D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5500</w:t>
            </w:r>
          </w:p>
        </w:tc>
        <w:tc>
          <w:tcPr>
            <w:tcW w:w="910" w:type="dxa"/>
            <w:tcBorders>
              <w:tl2br w:val="nil"/>
              <w:tr2bl w:val="nil"/>
            </w:tcBorders>
            <w:shd w:val="clear" w:color="auto" w:fill="auto"/>
            <w:noWrap/>
            <w:vAlign w:val="center"/>
          </w:tcPr>
          <w:p w14:paraId="18F07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6.39 </w:t>
            </w:r>
          </w:p>
        </w:tc>
        <w:tc>
          <w:tcPr>
            <w:tcW w:w="751" w:type="dxa"/>
            <w:tcBorders>
              <w:tl2br w:val="nil"/>
              <w:tr2bl w:val="nil"/>
            </w:tcBorders>
            <w:shd w:val="clear" w:color="auto" w:fill="auto"/>
            <w:noWrap/>
            <w:vAlign w:val="center"/>
          </w:tcPr>
          <w:p w14:paraId="642DE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0.14 </w:t>
            </w:r>
          </w:p>
        </w:tc>
        <w:tc>
          <w:tcPr>
            <w:tcW w:w="758" w:type="dxa"/>
            <w:tcBorders>
              <w:tl2br w:val="nil"/>
              <w:tr2bl w:val="nil"/>
            </w:tcBorders>
            <w:shd w:val="clear" w:color="auto" w:fill="auto"/>
            <w:noWrap/>
            <w:vAlign w:val="center"/>
          </w:tcPr>
          <w:p w14:paraId="45A99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3.0 </w:t>
            </w:r>
          </w:p>
        </w:tc>
        <w:tc>
          <w:tcPr>
            <w:tcW w:w="758" w:type="dxa"/>
            <w:tcBorders>
              <w:tl2br w:val="nil"/>
              <w:tr2bl w:val="nil"/>
            </w:tcBorders>
            <w:shd w:val="clear" w:color="auto" w:fill="auto"/>
            <w:noWrap/>
            <w:vAlign w:val="center"/>
          </w:tcPr>
          <w:p w14:paraId="7AE5DE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600</w:t>
            </w:r>
          </w:p>
        </w:tc>
        <w:tc>
          <w:tcPr>
            <w:tcW w:w="617" w:type="dxa"/>
            <w:tcBorders>
              <w:tl2br w:val="nil"/>
              <w:tr2bl w:val="nil"/>
            </w:tcBorders>
            <w:shd w:val="clear" w:color="auto" w:fill="auto"/>
            <w:noWrap/>
            <w:vAlign w:val="center"/>
          </w:tcPr>
          <w:p w14:paraId="5B920E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2.52 </w:t>
            </w:r>
          </w:p>
        </w:tc>
        <w:tc>
          <w:tcPr>
            <w:tcW w:w="1280" w:type="dxa"/>
            <w:tcBorders>
              <w:tl2br w:val="nil"/>
              <w:tr2bl w:val="nil"/>
            </w:tcBorders>
            <w:shd w:val="clear" w:color="auto" w:fill="auto"/>
            <w:noWrap/>
            <w:vAlign w:val="center"/>
          </w:tcPr>
          <w:p w14:paraId="2D325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8.91 </w:t>
            </w:r>
          </w:p>
        </w:tc>
      </w:tr>
      <w:tr w14:paraId="77D81C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15" w:type="dxa"/>
            <w:vMerge w:val="continue"/>
            <w:tcBorders>
              <w:tl2br w:val="nil"/>
              <w:tr2bl w:val="nil"/>
            </w:tcBorders>
            <w:shd w:val="clear" w:color="auto" w:fill="auto"/>
            <w:noWrap/>
            <w:vAlign w:val="center"/>
          </w:tcPr>
          <w:p w14:paraId="51293D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7D3A4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小计</w:t>
            </w:r>
          </w:p>
        </w:tc>
        <w:tc>
          <w:tcPr>
            <w:tcW w:w="757" w:type="dxa"/>
            <w:tcBorders>
              <w:tl2br w:val="nil"/>
              <w:tr2bl w:val="nil"/>
            </w:tcBorders>
            <w:shd w:val="clear" w:color="auto" w:fill="auto"/>
            <w:noWrap/>
            <w:vAlign w:val="center"/>
          </w:tcPr>
          <w:p w14:paraId="03C90B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0.91 </w:t>
            </w:r>
          </w:p>
        </w:tc>
        <w:tc>
          <w:tcPr>
            <w:tcW w:w="758" w:type="dxa"/>
            <w:tcBorders>
              <w:tl2br w:val="nil"/>
              <w:tr2bl w:val="nil"/>
            </w:tcBorders>
            <w:shd w:val="clear" w:color="auto" w:fill="auto"/>
            <w:noWrap/>
            <w:vAlign w:val="center"/>
          </w:tcPr>
          <w:p w14:paraId="417FFE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631BD5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10" w:type="dxa"/>
            <w:tcBorders>
              <w:tl2br w:val="nil"/>
              <w:tr2bl w:val="nil"/>
            </w:tcBorders>
            <w:shd w:val="clear" w:color="auto" w:fill="auto"/>
            <w:noWrap/>
            <w:vAlign w:val="center"/>
          </w:tcPr>
          <w:p w14:paraId="3C91CF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43.91 </w:t>
            </w:r>
          </w:p>
        </w:tc>
        <w:tc>
          <w:tcPr>
            <w:tcW w:w="751" w:type="dxa"/>
            <w:tcBorders>
              <w:tl2br w:val="nil"/>
              <w:tr2bl w:val="nil"/>
            </w:tcBorders>
            <w:shd w:val="clear" w:color="auto" w:fill="auto"/>
            <w:noWrap/>
            <w:vAlign w:val="center"/>
          </w:tcPr>
          <w:p w14:paraId="519F3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0.14 </w:t>
            </w:r>
          </w:p>
        </w:tc>
        <w:tc>
          <w:tcPr>
            <w:tcW w:w="758" w:type="dxa"/>
            <w:tcBorders>
              <w:tl2br w:val="nil"/>
              <w:tr2bl w:val="nil"/>
            </w:tcBorders>
            <w:shd w:val="clear" w:color="auto" w:fill="auto"/>
            <w:noWrap/>
            <w:vAlign w:val="center"/>
          </w:tcPr>
          <w:p w14:paraId="17897B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4BD838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0CB745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2.52 </w:t>
            </w:r>
          </w:p>
        </w:tc>
        <w:tc>
          <w:tcPr>
            <w:tcW w:w="1280" w:type="dxa"/>
            <w:tcBorders>
              <w:tl2br w:val="nil"/>
              <w:tr2bl w:val="nil"/>
            </w:tcBorders>
            <w:shd w:val="clear" w:color="auto" w:fill="auto"/>
            <w:noWrap/>
            <w:vAlign w:val="center"/>
          </w:tcPr>
          <w:p w14:paraId="50D77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46.43 </w:t>
            </w:r>
          </w:p>
        </w:tc>
      </w:tr>
      <w:tr w14:paraId="6994DA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705" w:type="dxa"/>
            <w:gridSpan w:val="2"/>
            <w:tcBorders>
              <w:tl2br w:val="nil"/>
              <w:tr2bl w:val="nil"/>
            </w:tcBorders>
            <w:shd w:val="clear" w:color="auto" w:fill="auto"/>
            <w:noWrap/>
            <w:vAlign w:val="center"/>
          </w:tcPr>
          <w:p w14:paraId="11D8E2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合计</w:t>
            </w:r>
          </w:p>
        </w:tc>
        <w:tc>
          <w:tcPr>
            <w:tcW w:w="757" w:type="dxa"/>
            <w:tcBorders>
              <w:tl2br w:val="nil"/>
              <w:tr2bl w:val="nil"/>
            </w:tcBorders>
            <w:shd w:val="clear" w:color="auto" w:fill="auto"/>
            <w:noWrap/>
            <w:vAlign w:val="center"/>
          </w:tcPr>
          <w:p w14:paraId="4C1901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1.51 </w:t>
            </w:r>
          </w:p>
        </w:tc>
        <w:tc>
          <w:tcPr>
            <w:tcW w:w="758" w:type="dxa"/>
            <w:tcBorders>
              <w:tl2br w:val="nil"/>
              <w:tr2bl w:val="nil"/>
            </w:tcBorders>
            <w:shd w:val="clear" w:color="auto" w:fill="auto"/>
            <w:noWrap/>
            <w:vAlign w:val="center"/>
          </w:tcPr>
          <w:p w14:paraId="09F2B8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1090" w:type="dxa"/>
            <w:tcBorders>
              <w:tl2br w:val="nil"/>
              <w:tr2bl w:val="nil"/>
            </w:tcBorders>
            <w:shd w:val="clear" w:color="auto" w:fill="auto"/>
            <w:noWrap/>
            <w:vAlign w:val="center"/>
          </w:tcPr>
          <w:p w14:paraId="46274B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910" w:type="dxa"/>
            <w:tcBorders>
              <w:tl2br w:val="nil"/>
              <w:tr2bl w:val="nil"/>
            </w:tcBorders>
            <w:shd w:val="clear" w:color="auto" w:fill="auto"/>
            <w:noWrap/>
            <w:vAlign w:val="center"/>
          </w:tcPr>
          <w:p w14:paraId="5EDEDB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71.51 </w:t>
            </w:r>
          </w:p>
        </w:tc>
        <w:tc>
          <w:tcPr>
            <w:tcW w:w="751" w:type="dxa"/>
            <w:tcBorders>
              <w:tl2br w:val="nil"/>
              <w:tr2bl w:val="nil"/>
            </w:tcBorders>
            <w:shd w:val="clear" w:color="auto" w:fill="auto"/>
            <w:noWrap/>
            <w:vAlign w:val="center"/>
          </w:tcPr>
          <w:p w14:paraId="0AB6C0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0.23 </w:t>
            </w:r>
          </w:p>
        </w:tc>
        <w:tc>
          <w:tcPr>
            <w:tcW w:w="758" w:type="dxa"/>
            <w:tcBorders>
              <w:tl2br w:val="nil"/>
              <w:tr2bl w:val="nil"/>
            </w:tcBorders>
            <w:shd w:val="clear" w:color="auto" w:fill="auto"/>
            <w:noWrap/>
            <w:vAlign w:val="center"/>
          </w:tcPr>
          <w:p w14:paraId="2675FE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758" w:type="dxa"/>
            <w:tcBorders>
              <w:tl2br w:val="nil"/>
              <w:tr2bl w:val="nil"/>
            </w:tcBorders>
            <w:shd w:val="clear" w:color="auto" w:fill="auto"/>
            <w:noWrap/>
            <w:vAlign w:val="center"/>
          </w:tcPr>
          <w:p w14:paraId="4BA09B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18"/>
                <w:szCs w:val="18"/>
                <w:u w:val="none"/>
              </w:rPr>
            </w:pPr>
          </w:p>
        </w:tc>
        <w:tc>
          <w:tcPr>
            <w:tcW w:w="617" w:type="dxa"/>
            <w:tcBorders>
              <w:tl2br w:val="nil"/>
              <w:tr2bl w:val="nil"/>
            </w:tcBorders>
            <w:shd w:val="clear" w:color="auto" w:fill="auto"/>
            <w:noWrap/>
            <w:vAlign w:val="center"/>
          </w:tcPr>
          <w:p w14:paraId="68DAD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4.14 </w:t>
            </w:r>
          </w:p>
        </w:tc>
        <w:tc>
          <w:tcPr>
            <w:tcW w:w="1280" w:type="dxa"/>
            <w:tcBorders>
              <w:tl2br w:val="nil"/>
              <w:tr2bl w:val="nil"/>
            </w:tcBorders>
            <w:shd w:val="clear" w:color="auto" w:fill="auto"/>
            <w:noWrap/>
            <w:vAlign w:val="center"/>
          </w:tcPr>
          <w:p w14:paraId="46A2C2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75.65 </w:t>
            </w:r>
          </w:p>
        </w:tc>
      </w:tr>
    </w:tbl>
    <w:p w14:paraId="4FC5B395">
      <w:pPr>
        <w:ind w:firstLine="480"/>
        <w:rPr>
          <w:rFonts w:hint="default" w:ascii="Times New Roman" w:hAnsi="Times New Roman" w:eastAsia="仿宋_GB2312" w:cs="Times New Roman"/>
          <w:lang w:val="en-US" w:eastAsia="zh-CN"/>
        </w:rPr>
      </w:pPr>
      <w:r>
        <w:rPr>
          <w:rFonts w:hint="eastAsia" w:cs="Times New Roman"/>
          <w:lang w:val="en-US" w:eastAsia="zh-CN"/>
        </w:rPr>
        <w:t>2、表土堆场水土流失量预测</w:t>
      </w:r>
    </w:p>
    <w:p w14:paraId="05B7291C">
      <w:pPr>
        <w:ind w:firstLine="480"/>
        <w:rPr>
          <w:rFonts w:hint="default" w:ascii="Times New Roman" w:hAnsi="Times New Roman" w:eastAsia="仿宋_GB2312" w:cs="Times New Roman"/>
          <w:b/>
          <w:bCs w:val="0"/>
          <w:lang w:val="en-US" w:eastAsia="zh-CN"/>
        </w:rPr>
      </w:pPr>
      <w:r>
        <w:rPr>
          <w:rFonts w:hint="eastAsia" w:cs="Times New Roman"/>
          <w:color w:val="auto"/>
          <w:lang w:val="en-US" w:eastAsia="zh-CN"/>
        </w:rPr>
        <w:t>绿化区</w:t>
      </w:r>
      <w:r>
        <w:rPr>
          <w:rFonts w:hint="eastAsia" w:ascii="Times New Roman" w:hAnsi="Times New Roman" w:cs="Times New Roman"/>
          <w:color w:val="auto"/>
          <w:lang w:val="en-US" w:eastAsia="zh-CN"/>
        </w:rPr>
        <w:t>规划建设</w:t>
      </w:r>
      <w:r>
        <w:rPr>
          <w:rFonts w:hint="eastAsia" w:cs="Times New Roman"/>
          <w:color w:val="auto"/>
          <w:lang w:val="en-US" w:eastAsia="zh-CN"/>
        </w:rPr>
        <w:t>3</w:t>
      </w:r>
      <w:r>
        <w:rPr>
          <w:rFonts w:hint="eastAsia" w:ascii="Times New Roman" w:hAnsi="Times New Roman" w:cs="Times New Roman"/>
          <w:color w:val="auto"/>
          <w:lang w:val="en-US" w:eastAsia="zh-CN"/>
        </w:rPr>
        <w:t>座临时表土堆场，</w:t>
      </w:r>
      <w:r>
        <w:rPr>
          <w:rFonts w:hint="eastAsia" w:cs="Times New Roman"/>
          <w:color w:val="auto"/>
          <w:lang w:val="en-US" w:eastAsia="zh-CN"/>
        </w:rPr>
        <w:t>1#表土堆场位于地块一东北侧绿化区，2#表土堆场位于地块二西北侧绿化区，3#表土堆场位于地块二北侧绿化区。规划</w:t>
      </w:r>
      <w:r>
        <w:rPr>
          <w:rFonts w:ascii="Times New Roman" w:hAnsi="Times New Roman" w:cs="Times New Roman"/>
          <w:color w:val="auto"/>
        </w:rPr>
        <w:t>表土堆场占地面积为</w:t>
      </w:r>
      <w:r>
        <w:rPr>
          <w:rFonts w:hint="eastAsia" w:cs="Times New Roman"/>
          <w:color w:val="auto"/>
          <w:lang w:val="en-US" w:eastAsia="zh-CN"/>
        </w:rPr>
        <w:t>1354</w:t>
      </w:r>
      <w:r>
        <w:rPr>
          <w:rFonts w:ascii="Times New Roman" w:hAnsi="Times New Roman" w:cs="Times New Roman"/>
          <w:color w:val="auto"/>
        </w:rPr>
        <w:t>m</w:t>
      </w:r>
      <w:r>
        <w:rPr>
          <w:rFonts w:ascii="Times New Roman" w:hAnsi="Times New Roman" w:cs="Times New Roman"/>
          <w:color w:val="auto"/>
          <w:vertAlign w:val="superscript"/>
        </w:rPr>
        <w:t>2</w:t>
      </w:r>
      <w:r>
        <w:rPr>
          <w:rFonts w:ascii="Times New Roman" w:hAnsi="Times New Roman" w:cs="Times New Roman"/>
          <w:color w:val="auto"/>
        </w:rPr>
        <w:t>，堆土高</w:t>
      </w:r>
      <w:r>
        <w:rPr>
          <w:rFonts w:hint="eastAsia" w:cs="Times New Roman"/>
          <w:color w:val="auto"/>
          <w:lang w:val="en-US" w:eastAsia="zh-CN"/>
        </w:rPr>
        <w:t>2.0</w:t>
      </w:r>
      <w:r>
        <w:rPr>
          <w:rFonts w:ascii="Times New Roman" w:hAnsi="Times New Roman" w:cs="Times New Roman"/>
          <w:color w:val="auto"/>
        </w:rPr>
        <w:t>m，设计堆土量为</w:t>
      </w:r>
      <w:r>
        <w:rPr>
          <w:rFonts w:hint="eastAsia" w:cs="Times New Roman"/>
          <w:color w:val="auto"/>
          <w:lang w:val="en-US" w:eastAsia="zh-CN"/>
        </w:rPr>
        <w:t>1920.00</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w:t>
      </w:r>
      <w:r>
        <w:rPr>
          <w:rFonts w:hint="eastAsia" w:cs="Times New Roman"/>
          <w:color w:val="auto"/>
          <w:lang w:val="en-US" w:eastAsia="zh-CN"/>
        </w:rPr>
        <w:t>自然方），</w:t>
      </w:r>
      <w:r>
        <w:rPr>
          <w:rFonts w:ascii="Times New Roman" w:hAnsi="Times New Roman" w:cs="Times New Roman"/>
          <w:color w:val="auto"/>
        </w:rPr>
        <w:t>松方</w:t>
      </w:r>
      <w:r>
        <w:rPr>
          <w:rFonts w:hint="eastAsia" w:cs="Times New Roman"/>
          <w:color w:val="auto"/>
          <w:lang w:val="en-US" w:eastAsia="zh-CN"/>
        </w:rPr>
        <w:t>2303.00</w:t>
      </w:r>
      <w:r>
        <w:rPr>
          <w:rFonts w:ascii="Times New Roman" w:hAnsi="Times New Roman" w:cs="Times New Roman"/>
          <w:color w:val="auto"/>
        </w:rPr>
        <w:t>m</w:t>
      </w:r>
      <w:r>
        <w:rPr>
          <w:rFonts w:ascii="Times New Roman" w:hAnsi="Times New Roman" w:cs="Times New Roman"/>
          <w:color w:val="auto"/>
          <w:vertAlign w:val="superscript"/>
        </w:rPr>
        <w:t>3</w:t>
      </w:r>
      <w:r>
        <w:rPr>
          <w:rFonts w:hint="eastAsia" w:cs="Times New Roman"/>
          <w:color w:val="auto"/>
          <w:lang w:eastAsia="zh-CN"/>
        </w:rPr>
        <w:t>（</w:t>
      </w:r>
      <w:r>
        <w:rPr>
          <w:rFonts w:ascii="Times New Roman" w:hAnsi="Times New Roman" w:cs="Times New Roman"/>
          <w:color w:val="auto"/>
        </w:rPr>
        <w:t>松方</w:t>
      </w:r>
      <w:r>
        <w:rPr>
          <w:rFonts w:hint="eastAsia" w:cs="Times New Roman"/>
          <w:color w:val="auto"/>
          <w:lang w:val="en-US" w:eastAsia="zh-CN"/>
        </w:rPr>
        <w:t>系数取1.2</w:t>
      </w:r>
      <w:r>
        <w:rPr>
          <w:rFonts w:ascii="Times New Roman" w:hAnsi="Times New Roman" w:cs="Times New Roman"/>
          <w:color w:val="auto"/>
        </w:rPr>
        <w:t>），</w:t>
      </w:r>
      <w:r>
        <w:rPr>
          <w:rFonts w:hint="eastAsia" w:ascii="Times New Roman" w:hAnsi="Times New Roman" w:cs="Times New Roman"/>
          <w:color w:val="auto"/>
          <w:lang w:val="en-US" w:eastAsia="zh-CN"/>
        </w:rPr>
        <w:t>表土堆场水土流失量预测采用流弃比法进行预测，流弃比取0.03，经过计算，</w:t>
      </w:r>
      <w:r>
        <w:rPr>
          <w:rFonts w:hint="default" w:ascii="Times New Roman" w:hAnsi="Times New Roman" w:cs="Times New Roman"/>
        </w:rPr>
        <w:t>在预测时段内</w:t>
      </w:r>
      <w:r>
        <w:rPr>
          <w:rFonts w:hint="eastAsia" w:ascii="Times New Roman" w:hAnsi="Times New Roman" w:cs="Times New Roman"/>
          <w:color w:val="auto"/>
          <w:lang w:val="en-US" w:eastAsia="zh-CN"/>
        </w:rPr>
        <w:t>表土堆场可能发生水土流失量为103.68t。</w:t>
      </w:r>
    </w:p>
    <w:p w14:paraId="6DE7F409">
      <w:pPr>
        <w:rPr>
          <w:rFonts w:hint="default" w:ascii="Times New Roman" w:hAnsi="Times New Roman" w:eastAsia="仿宋_GB2312" w:cs="Times New Roman"/>
          <w:b/>
          <w:bCs w:val="0"/>
        </w:rPr>
      </w:pPr>
      <w:r>
        <w:rPr>
          <w:rFonts w:hint="default" w:ascii="Times New Roman" w:hAnsi="Times New Roman" w:eastAsia="仿宋_GB2312" w:cs="Times New Roman"/>
          <w:b/>
          <w:bCs w:val="0"/>
        </w:rPr>
        <w:br w:type="page"/>
      </w:r>
    </w:p>
    <w:p w14:paraId="5C9D9EC7">
      <w:pPr>
        <w:pStyle w:val="83"/>
        <w:jc w:val="center"/>
        <w:rPr>
          <w:rFonts w:hint="default" w:ascii="Times New Roman" w:hAnsi="Times New Roman" w:eastAsia="仿宋_GB2312" w:cs="Times New Roman"/>
          <w:b/>
          <w:bCs w:val="0"/>
        </w:rPr>
      </w:pPr>
      <w:r>
        <w:rPr>
          <w:rFonts w:hint="default" w:ascii="Times New Roman" w:hAnsi="Times New Roman" w:eastAsia="仿宋_GB2312" w:cs="Times New Roman"/>
          <w:b/>
          <w:bCs w:val="0"/>
        </w:rPr>
        <w:t>表4-1</w:t>
      </w:r>
      <w:r>
        <w:rPr>
          <w:rFonts w:hint="eastAsia" w:ascii="Times New Roman" w:hAnsi="Times New Roman" w:eastAsia="仿宋_GB2312" w:cs="Times New Roman"/>
          <w:b/>
          <w:bCs w:val="0"/>
          <w:lang w:val="en-US" w:eastAsia="zh-CN"/>
        </w:rPr>
        <w:t>2</w:t>
      </w:r>
      <w:r>
        <w:rPr>
          <w:rFonts w:hint="default" w:ascii="Times New Roman" w:hAnsi="Times New Roman" w:eastAsia="仿宋_GB2312" w:cs="Times New Roman"/>
          <w:b/>
          <w:bCs w:val="0"/>
        </w:rPr>
        <w:t xml:space="preserve">             </w:t>
      </w:r>
      <w:r>
        <w:rPr>
          <w:rFonts w:hint="eastAsia" w:ascii="Times New Roman" w:hAnsi="Times New Roman" w:eastAsia="仿宋_GB2312" w:cs="Times New Roman"/>
          <w:b/>
          <w:bCs w:val="0"/>
          <w:lang w:val="en-US" w:eastAsia="zh-CN"/>
        </w:rPr>
        <w:t>表土堆场可能发生水土流失量</w:t>
      </w:r>
      <w:r>
        <w:rPr>
          <w:rFonts w:hint="default" w:ascii="Times New Roman" w:hAnsi="Times New Roman" w:eastAsia="仿宋_GB2312" w:cs="Times New Roman"/>
          <w:b/>
          <w:bCs w:val="0"/>
        </w:rPr>
        <w:t>计算表</w:t>
      </w:r>
    </w:p>
    <w:tbl>
      <w:tblPr>
        <w:tblStyle w:val="27"/>
        <w:tblW w:w="93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957"/>
        <w:gridCol w:w="1492"/>
        <w:gridCol w:w="2128"/>
        <w:gridCol w:w="2241"/>
        <w:gridCol w:w="1331"/>
        <w:gridCol w:w="1231"/>
      </w:tblGrid>
      <w:tr w14:paraId="14B19A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957" w:type="dxa"/>
            <w:vMerge w:val="restart"/>
            <w:tcBorders>
              <w:tl2br w:val="nil"/>
              <w:tr2bl w:val="nil"/>
            </w:tcBorders>
            <w:shd w:val="clear" w:color="auto" w:fill="auto"/>
            <w:noWrap/>
            <w:vAlign w:val="center"/>
          </w:tcPr>
          <w:p w14:paraId="11988E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表土堆场</w:t>
            </w:r>
          </w:p>
        </w:tc>
        <w:tc>
          <w:tcPr>
            <w:tcW w:w="1492" w:type="dxa"/>
            <w:tcBorders>
              <w:tl2br w:val="nil"/>
              <w:tr2bl w:val="nil"/>
            </w:tcBorders>
            <w:shd w:val="clear" w:color="auto" w:fill="auto"/>
            <w:noWrap/>
            <w:vAlign w:val="center"/>
          </w:tcPr>
          <w:p w14:paraId="57077C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堆存量</w:t>
            </w:r>
          </w:p>
        </w:tc>
        <w:tc>
          <w:tcPr>
            <w:tcW w:w="2128" w:type="dxa"/>
            <w:tcBorders>
              <w:tl2br w:val="nil"/>
              <w:tr2bl w:val="nil"/>
            </w:tcBorders>
            <w:shd w:val="clear" w:color="auto" w:fill="auto"/>
            <w:noWrap/>
            <w:vAlign w:val="center"/>
          </w:tcPr>
          <w:p w14:paraId="68F22D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松方</w:t>
            </w:r>
          </w:p>
        </w:tc>
        <w:tc>
          <w:tcPr>
            <w:tcW w:w="2241" w:type="dxa"/>
            <w:tcBorders>
              <w:tl2br w:val="nil"/>
              <w:tr2bl w:val="nil"/>
            </w:tcBorders>
            <w:shd w:val="clear" w:color="auto" w:fill="auto"/>
            <w:noWrap/>
            <w:vAlign w:val="center"/>
          </w:tcPr>
          <w:p w14:paraId="1EEC57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容重</w:t>
            </w:r>
          </w:p>
        </w:tc>
        <w:tc>
          <w:tcPr>
            <w:tcW w:w="1331" w:type="dxa"/>
            <w:tcBorders>
              <w:tl2br w:val="nil"/>
              <w:tr2bl w:val="nil"/>
            </w:tcBorders>
            <w:shd w:val="clear" w:color="auto" w:fill="auto"/>
            <w:noWrap/>
            <w:vAlign w:val="center"/>
          </w:tcPr>
          <w:p w14:paraId="7849F5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流弃比</w:t>
            </w:r>
          </w:p>
        </w:tc>
        <w:tc>
          <w:tcPr>
            <w:tcW w:w="1231" w:type="dxa"/>
            <w:tcBorders>
              <w:tl2br w:val="nil"/>
              <w:tr2bl w:val="nil"/>
            </w:tcBorders>
            <w:shd w:val="clear" w:color="auto" w:fill="auto"/>
            <w:noWrap/>
            <w:vAlign w:val="center"/>
          </w:tcPr>
          <w:p w14:paraId="345AF1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流失量</w:t>
            </w:r>
          </w:p>
        </w:tc>
      </w:tr>
      <w:tr w14:paraId="5A4937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957" w:type="dxa"/>
            <w:vMerge w:val="continue"/>
            <w:tcBorders>
              <w:tl2br w:val="nil"/>
              <w:tr2bl w:val="nil"/>
            </w:tcBorders>
            <w:shd w:val="clear" w:color="auto" w:fill="auto"/>
            <w:noWrap/>
            <w:vAlign w:val="center"/>
          </w:tcPr>
          <w:p w14:paraId="509EFF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492" w:type="dxa"/>
            <w:tcBorders>
              <w:tl2br w:val="nil"/>
              <w:tr2bl w:val="nil"/>
            </w:tcBorders>
            <w:shd w:val="clear" w:color="auto" w:fill="auto"/>
            <w:noWrap/>
            <w:vAlign w:val="center"/>
          </w:tcPr>
          <w:p w14:paraId="53532C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2128" w:type="dxa"/>
            <w:tcBorders>
              <w:tl2br w:val="nil"/>
              <w:tr2bl w:val="nil"/>
            </w:tcBorders>
            <w:shd w:val="clear" w:color="auto" w:fill="auto"/>
            <w:noWrap/>
            <w:vAlign w:val="center"/>
          </w:tcPr>
          <w:p w14:paraId="76127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2241" w:type="dxa"/>
            <w:tcBorders>
              <w:tl2br w:val="nil"/>
              <w:tr2bl w:val="nil"/>
            </w:tcBorders>
            <w:shd w:val="clear" w:color="auto" w:fill="auto"/>
            <w:noWrap/>
            <w:vAlign w:val="center"/>
          </w:tcPr>
          <w:p w14:paraId="78068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1331" w:type="dxa"/>
            <w:tcBorders>
              <w:tl2br w:val="nil"/>
              <w:tr2bl w:val="nil"/>
            </w:tcBorders>
            <w:shd w:val="clear" w:color="auto" w:fill="auto"/>
            <w:noWrap/>
            <w:vAlign w:val="center"/>
          </w:tcPr>
          <w:p w14:paraId="415BA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w:t>
            </w:r>
          </w:p>
        </w:tc>
        <w:tc>
          <w:tcPr>
            <w:tcW w:w="1231" w:type="dxa"/>
            <w:tcBorders>
              <w:tl2br w:val="nil"/>
              <w:tr2bl w:val="nil"/>
            </w:tcBorders>
            <w:shd w:val="clear" w:color="auto" w:fill="auto"/>
            <w:noWrap/>
            <w:vAlign w:val="center"/>
          </w:tcPr>
          <w:p w14:paraId="798C9A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w:t>
            </w:r>
          </w:p>
        </w:tc>
      </w:tr>
      <w:tr w14:paraId="3748A1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957" w:type="dxa"/>
            <w:tcBorders>
              <w:tl2br w:val="nil"/>
              <w:tr2bl w:val="nil"/>
            </w:tcBorders>
            <w:shd w:val="clear" w:color="auto" w:fill="auto"/>
            <w:noWrap/>
            <w:vAlign w:val="center"/>
          </w:tcPr>
          <w:p w14:paraId="07A394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492" w:type="dxa"/>
            <w:tcBorders>
              <w:tl2br w:val="nil"/>
              <w:tr2bl w:val="nil"/>
            </w:tcBorders>
            <w:shd w:val="clear" w:color="auto" w:fill="auto"/>
            <w:noWrap/>
            <w:vAlign w:val="center"/>
          </w:tcPr>
          <w:p w14:paraId="60F554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555 </w:t>
            </w:r>
          </w:p>
        </w:tc>
        <w:tc>
          <w:tcPr>
            <w:tcW w:w="2128" w:type="dxa"/>
            <w:tcBorders>
              <w:tl2br w:val="nil"/>
              <w:tr2bl w:val="nil"/>
            </w:tcBorders>
            <w:shd w:val="clear" w:color="auto" w:fill="auto"/>
            <w:noWrap/>
            <w:vAlign w:val="center"/>
          </w:tcPr>
          <w:p w14:paraId="4B30DF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666 </w:t>
            </w:r>
          </w:p>
        </w:tc>
        <w:tc>
          <w:tcPr>
            <w:tcW w:w="2241" w:type="dxa"/>
            <w:tcBorders>
              <w:tl2br w:val="nil"/>
              <w:tr2bl w:val="nil"/>
            </w:tcBorders>
            <w:shd w:val="clear" w:color="auto" w:fill="auto"/>
            <w:noWrap/>
            <w:vAlign w:val="center"/>
          </w:tcPr>
          <w:p w14:paraId="3F68FB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1.50 </w:t>
            </w:r>
          </w:p>
        </w:tc>
        <w:tc>
          <w:tcPr>
            <w:tcW w:w="1331" w:type="dxa"/>
            <w:tcBorders>
              <w:tl2br w:val="nil"/>
              <w:tr2bl w:val="nil"/>
            </w:tcBorders>
            <w:shd w:val="clear" w:color="auto" w:fill="auto"/>
            <w:noWrap/>
            <w:vAlign w:val="center"/>
          </w:tcPr>
          <w:p w14:paraId="606A10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231" w:type="dxa"/>
            <w:tcBorders>
              <w:tl2br w:val="nil"/>
              <w:tr2bl w:val="nil"/>
            </w:tcBorders>
            <w:shd w:val="clear" w:color="auto" w:fill="auto"/>
            <w:noWrap/>
            <w:vAlign w:val="center"/>
          </w:tcPr>
          <w:p w14:paraId="73B038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29.97 </w:t>
            </w:r>
          </w:p>
        </w:tc>
      </w:tr>
      <w:tr w14:paraId="717112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957" w:type="dxa"/>
            <w:tcBorders>
              <w:tl2br w:val="nil"/>
              <w:tr2bl w:val="nil"/>
            </w:tcBorders>
            <w:shd w:val="clear" w:color="auto" w:fill="auto"/>
            <w:noWrap/>
            <w:vAlign w:val="center"/>
          </w:tcPr>
          <w:p w14:paraId="60500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492" w:type="dxa"/>
            <w:tcBorders>
              <w:tl2br w:val="nil"/>
              <w:tr2bl w:val="nil"/>
            </w:tcBorders>
            <w:shd w:val="clear" w:color="auto" w:fill="auto"/>
            <w:noWrap/>
            <w:vAlign w:val="center"/>
          </w:tcPr>
          <w:p w14:paraId="3D561F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1365 </w:t>
            </w:r>
          </w:p>
        </w:tc>
        <w:tc>
          <w:tcPr>
            <w:tcW w:w="2128" w:type="dxa"/>
            <w:tcBorders>
              <w:tl2br w:val="nil"/>
              <w:tr2bl w:val="nil"/>
            </w:tcBorders>
            <w:shd w:val="clear" w:color="auto" w:fill="auto"/>
            <w:noWrap/>
            <w:vAlign w:val="center"/>
          </w:tcPr>
          <w:p w14:paraId="70704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1638 </w:t>
            </w:r>
          </w:p>
        </w:tc>
        <w:tc>
          <w:tcPr>
            <w:tcW w:w="2241" w:type="dxa"/>
            <w:tcBorders>
              <w:tl2br w:val="nil"/>
              <w:tr2bl w:val="nil"/>
            </w:tcBorders>
            <w:shd w:val="clear" w:color="auto" w:fill="auto"/>
            <w:noWrap/>
            <w:vAlign w:val="center"/>
          </w:tcPr>
          <w:p w14:paraId="042730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1.50 </w:t>
            </w:r>
          </w:p>
        </w:tc>
        <w:tc>
          <w:tcPr>
            <w:tcW w:w="1331" w:type="dxa"/>
            <w:tcBorders>
              <w:tl2br w:val="nil"/>
              <w:tr2bl w:val="nil"/>
            </w:tcBorders>
            <w:shd w:val="clear" w:color="auto" w:fill="auto"/>
            <w:noWrap/>
            <w:vAlign w:val="center"/>
          </w:tcPr>
          <w:p w14:paraId="579FFC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w:t>
            </w:r>
          </w:p>
        </w:tc>
        <w:tc>
          <w:tcPr>
            <w:tcW w:w="1231" w:type="dxa"/>
            <w:tcBorders>
              <w:tl2br w:val="nil"/>
              <w:tr2bl w:val="nil"/>
            </w:tcBorders>
            <w:shd w:val="clear" w:color="auto" w:fill="auto"/>
            <w:noWrap/>
            <w:vAlign w:val="center"/>
          </w:tcPr>
          <w:p w14:paraId="7109E5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73.71 </w:t>
            </w:r>
          </w:p>
        </w:tc>
      </w:tr>
      <w:tr w14:paraId="29B663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957" w:type="dxa"/>
            <w:tcBorders>
              <w:tl2br w:val="nil"/>
              <w:tr2bl w:val="nil"/>
            </w:tcBorders>
            <w:shd w:val="clear" w:color="auto" w:fill="auto"/>
            <w:noWrap/>
            <w:vAlign w:val="center"/>
          </w:tcPr>
          <w:p w14:paraId="33A7F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492" w:type="dxa"/>
            <w:tcBorders>
              <w:tl2br w:val="nil"/>
              <w:tr2bl w:val="nil"/>
            </w:tcBorders>
            <w:shd w:val="clear" w:color="auto" w:fill="auto"/>
            <w:noWrap/>
            <w:vAlign w:val="center"/>
          </w:tcPr>
          <w:p w14:paraId="039C8F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1920 </w:t>
            </w:r>
          </w:p>
        </w:tc>
        <w:tc>
          <w:tcPr>
            <w:tcW w:w="2128" w:type="dxa"/>
            <w:tcBorders>
              <w:tl2br w:val="nil"/>
              <w:tr2bl w:val="nil"/>
            </w:tcBorders>
            <w:shd w:val="clear" w:color="auto" w:fill="auto"/>
            <w:noWrap/>
            <w:vAlign w:val="center"/>
          </w:tcPr>
          <w:p w14:paraId="78B230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241" w:type="dxa"/>
            <w:tcBorders>
              <w:tl2br w:val="nil"/>
              <w:tr2bl w:val="nil"/>
            </w:tcBorders>
            <w:shd w:val="clear" w:color="auto" w:fill="auto"/>
            <w:noWrap/>
            <w:vAlign w:val="center"/>
          </w:tcPr>
          <w:p w14:paraId="14ED9B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331" w:type="dxa"/>
            <w:tcBorders>
              <w:tl2br w:val="nil"/>
              <w:tr2bl w:val="nil"/>
            </w:tcBorders>
            <w:shd w:val="clear" w:color="auto" w:fill="auto"/>
            <w:noWrap/>
            <w:vAlign w:val="center"/>
          </w:tcPr>
          <w:p w14:paraId="26FF30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1" w:type="dxa"/>
            <w:tcBorders>
              <w:tl2br w:val="nil"/>
              <w:tr2bl w:val="nil"/>
            </w:tcBorders>
            <w:shd w:val="clear" w:color="auto" w:fill="auto"/>
            <w:noWrap/>
            <w:vAlign w:val="center"/>
          </w:tcPr>
          <w:p w14:paraId="4055B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103.68 </w:t>
            </w:r>
          </w:p>
        </w:tc>
      </w:tr>
    </w:tbl>
    <w:p w14:paraId="54FA0C4F">
      <w:pPr>
        <w:ind w:firstLine="480"/>
        <w:rPr>
          <w:rFonts w:hint="eastAsia" w:ascii="Times New Roman" w:hAnsi="Times New Roman" w:eastAsia="仿宋_GB2312" w:cs="Times New Roman"/>
          <w:lang w:val="en-US" w:eastAsia="zh-CN"/>
        </w:rPr>
      </w:pPr>
      <w:r>
        <w:rPr>
          <w:rFonts w:hint="eastAsia" w:cs="Times New Roman"/>
          <w:lang w:val="en-US" w:eastAsia="zh-CN"/>
        </w:rPr>
        <w:t>3、</w:t>
      </w:r>
      <w:r>
        <w:rPr>
          <w:rFonts w:hint="default" w:ascii="Times New Roman" w:hAnsi="Times New Roman" w:cs="Times New Roman"/>
          <w:lang w:val="zh-CN"/>
        </w:rPr>
        <w:t>可能产生的水土流失量预测</w:t>
      </w:r>
      <w:r>
        <w:rPr>
          <w:rFonts w:hint="eastAsia" w:ascii="Times New Roman" w:hAnsi="Times New Roman" w:cs="Times New Roman"/>
          <w:lang w:val="en-US" w:eastAsia="zh-CN"/>
        </w:rPr>
        <w:t>汇总</w:t>
      </w:r>
    </w:p>
    <w:p w14:paraId="1F132153">
      <w:pPr>
        <w:ind w:firstLine="480"/>
        <w:rPr>
          <w:rFonts w:hint="default" w:ascii="Times New Roman" w:hAnsi="Times New Roman" w:cs="Times New Roman"/>
        </w:rPr>
      </w:pPr>
      <w:r>
        <w:rPr>
          <w:rFonts w:hint="eastAsia" w:ascii="Times New Roman" w:hAnsi="Times New Roman" w:cs="Times New Roman"/>
          <w:lang w:val="en-US" w:eastAsia="zh-CN"/>
        </w:rPr>
        <w:t>根据</w:t>
      </w:r>
      <w:r>
        <w:rPr>
          <w:rFonts w:hint="eastAsia" w:cs="Times New Roman"/>
          <w:lang w:val="en-US" w:eastAsia="zh-CN"/>
        </w:rPr>
        <w:t>扰动地表及表土堆场水土流失量分析，</w:t>
      </w:r>
      <w:r>
        <w:rPr>
          <w:rFonts w:hint="default" w:ascii="Times New Roman" w:hAnsi="Times New Roman" w:cs="Times New Roman"/>
        </w:rPr>
        <w:t>在预测时段内项目施工期水土流失量为</w:t>
      </w:r>
      <w:r>
        <w:rPr>
          <w:rFonts w:hint="eastAsia" w:ascii="Times New Roman" w:hAnsi="Times New Roman" w:cs="Times New Roman"/>
          <w:lang w:val="en-US" w:eastAsia="zh-CN"/>
        </w:rPr>
        <w:t>175.19</w:t>
      </w:r>
      <w:r>
        <w:rPr>
          <w:rFonts w:hint="default" w:ascii="Times New Roman" w:hAnsi="Times New Roman" w:cs="Times New Roman"/>
        </w:rPr>
        <w:t>t，自然恢复期水土流失量</w:t>
      </w:r>
      <w:r>
        <w:rPr>
          <w:rFonts w:hint="eastAsia" w:ascii="Times New Roman" w:hAnsi="Times New Roman" w:cs="Times New Roman"/>
          <w:lang w:val="en-US" w:eastAsia="zh-CN"/>
        </w:rPr>
        <w:t>4.14</w:t>
      </w:r>
      <w:r>
        <w:rPr>
          <w:rFonts w:hint="default" w:ascii="Times New Roman" w:hAnsi="Times New Roman" w:cs="Times New Roman"/>
        </w:rPr>
        <w:t>t，可能产生的水土流失</w:t>
      </w:r>
      <w:r>
        <w:rPr>
          <w:rFonts w:hint="eastAsia" w:ascii="Times New Roman" w:hAnsi="Times New Roman" w:cs="Times New Roman"/>
          <w:lang w:val="en-US" w:eastAsia="zh-CN"/>
        </w:rPr>
        <w:t>总</w:t>
      </w:r>
      <w:r>
        <w:rPr>
          <w:rFonts w:hint="default" w:ascii="Times New Roman" w:hAnsi="Times New Roman" w:cs="Times New Roman"/>
        </w:rPr>
        <w:t>量为</w:t>
      </w:r>
      <w:r>
        <w:rPr>
          <w:rFonts w:hint="eastAsia" w:ascii="Times New Roman" w:hAnsi="Times New Roman" w:cs="Times New Roman"/>
          <w:lang w:val="en-US" w:eastAsia="zh-CN"/>
        </w:rPr>
        <w:t>179.33</w:t>
      </w:r>
      <w:r>
        <w:rPr>
          <w:rFonts w:hint="default" w:ascii="Times New Roman" w:hAnsi="Times New Roman" w:cs="Times New Roman"/>
          <w:lang w:eastAsia="zh-CN"/>
        </w:rPr>
        <w:t>t</w:t>
      </w:r>
      <w:r>
        <w:rPr>
          <w:rFonts w:hint="default" w:ascii="Times New Roman" w:hAnsi="Times New Roman" w:cs="Times New Roman"/>
        </w:rPr>
        <w:t>，具体计算成果见表4-1</w:t>
      </w:r>
      <w:r>
        <w:rPr>
          <w:rFonts w:hint="eastAsia" w:ascii="Times New Roman" w:hAnsi="Times New Roman" w:cs="Times New Roman"/>
          <w:lang w:val="en-US" w:eastAsia="zh-CN"/>
        </w:rPr>
        <w:t>3</w:t>
      </w:r>
      <w:r>
        <w:rPr>
          <w:rFonts w:hint="default" w:ascii="Times New Roman" w:hAnsi="Times New Roman" w:cs="Times New Roman"/>
        </w:rPr>
        <w:t>。</w:t>
      </w:r>
    </w:p>
    <w:p w14:paraId="5BB804E1">
      <w:pPr>
        <w:pStyle w:val="83"/>
        <w:jc w:val="center"/>
        <w:rPr>
          <w:rFonts w:hint="default" w:ascii="Times New Roman" w:hAnsi="Times New Roman" w:eastAsia="仿宋_GB2312" w:cs="Times New Roman"/>
          <w:b/>
          <w:bCs w:val="0"/>
        </w:rPr>
      </w:pPr>
      <w:r>
        <w:rPr>
          <w:rFonts w:hint="default" w:ascii="Times New Roman" w:hAnsi="Times New Roman" w:eastAsia="仿宋_GB2312" w:cs="Times New Roman"/>
          <w:b/>
          <w:bCs w:val="0"/>
          <w:lang w:val="en-US" w:eastAsia="zh-CN"/>
        </w:rPr>
        <w:t>表4-1</w:t>
      </w:r>
      <w:r>
        <w:rPr>
          <w:rFonts w:hint="eastAsia" w:ascii="Times New Roman" w:hAnsi="Times New Roman" w:eastAsia="仿宋_GB2312" w:cs="Times New Roman"/>
          <w:b/>
          <w:bCs w:val="0"/>
          <w:lang w:val="en-US" w:eastAsia="zh-CN"/>
        </w:rPr>
        <w:t>3</w:t>
      </w:r>
      <w:r>
        <w:rPr>
          <w:rFonts w:hint="default" w:ascii="Times New Roman" w:hAnsi="Times New Roman" w:eastAsia="仿宋_GB2312" w:cs="Times New Roman"/>
          <w:b/>
          <w:bCs w:val="0"/>
          <w:lang w:val="en-US" w:eastAsia="zh-CN"/>
        </w:rPr>
        <w:t xml:space="preserve">             </w:t>
      </w:r>
      <w:r>
        <w:rPr>
          <w:rFonts w:hint="default" w:ascii="Times New Roman" w:hAnsi="Times New Roman" w:eastAsia="仿宋_GB2312" w:cs="Times New Roman"/>
          <w:b/>
          <w:bCs w:val="0"/>
          <w:lang w:val="zh-CN" w:eastAsia="zh-CN"/>
        </w:rPr>
        <w:t>可能产生的水土流失量预测</w:t>
      </w:r>
      <w:r>
        <w:rPr>
          <w:rFonts w:hint="eastAsia" w:ascii="Times New Roman" w:hAnsi="Times New Roman" w:eastAsia="仿宋_GB2312" w:cs="Times New Roman"/>
          <w:b/>
          <w:bCs w:val="0"/>
          <w:lang w:val="en-US" w:eastAsia="zh-CN"/>
        </w:rPr>
        <w:t>汇总</w:t>
      </w:r>
      <w:r>
        <w:rPr>
          <w:rFonts w:hint="default" w:ascii="Times New Roman" w:hAnsi="Times New Roman" w:eastAsia="仿宋_GB2312" w:cs="Times New Roman"/>
          <w:b/>
          <w:bCs w:val="0"/>
        </w:rPr>
        <w:t>表</w:t>
      </w:r>
    </w:p>
    <w:tbl>
      <w:tblPr>
        <w:tblStyle w:val="27"/>
        <w:tblW w:w="957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72"/>
        <w:gridCol w:w="1503"/>
        <w:gridCol w:w="1944"/>
        <w:gridCol w:w="3417"/>
        <w:gridCol w:w="1934"/>
      </w:tblGrid>
      <w:tr w14:paraId="43A8E9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772" w:type="dxa"/>
            <w:tcBorders>
              <w:tl2br w:val="nil"/>
              <w:tr2bl w:val="nil"/>
            </w:tcBorders>
            <w:shd w:val="clear" w:color="auto" w:fill="auto"/>
            <w:noWrap/>
            <w:vAlign w:val="center"/>
          </w:tcPr>
          <w:p w14:paraId="771C25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03" w:type="dxa"/>
            <w:tcBorders>
              <w:tl2br w:val="nil"/>
              <w:tr2bl w:val="nil"/>
            </w:tcBorders>
            <w:shd w:val="clear" w:color="auto" w:fill="auto"/>
            <w:noWrap/>
            <w:vAlign w:val="center"/>
          </w:tcPr>
          <w:p w14:paraId="7DC624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项目分区</w:t>
            </w:r>
          </w:p>
        </w:tc>
        <w:tc>
          <w:tcPr>
            <w:tcW w:w="1944" w:type="dxa"/>
            <w:tcBorders>
              <w:tl2br w:val="nil"/>
              <w:tr2bl w:val="nil"/>
            </w:tcBorders>
            <w:shd w:val="clear" w:color="auto" w:fill="auto"/>
            <w:noWrap/>
            <w:vAlign w:val="center"/>
          </w:tcPr>
          <w:p w14:paraId="452ABD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施工期水土流失量（t）</w:t>
            </w:r>
          </w:p>
        </w:tc>
        <w:tc>
          <w:tcPr>
            <w:tcW w:w="3417" w:type="dxa"/>
            <w:tcBorders>
              <w:tl2br w:val="nil"/>
              <w:tr2bl w:val="nil"/>
            </w:tcBorders>
            <w:shd w:val="clear" w:color="auto" w:fill="auto"/>
            <w:noWrap/>
            <w:vAlign w:val="center"/>
          </w:tcPr>
          <w:p w14:paraId="117CA0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运行期（自然恢复期）水土流失量（t）</w:t>
            </w:r>
          </w:p>
        </w:tc>
        <w:tc>
          <w:tcPr>
            <w:tcW w:w="1934" w:type="dxa"/>
            <w:tcBorders>
              <w:tl2br w:val="nil"/>
              <w:tr2bl w:val="nil"/>
            </w:tcBorders>
            <w:shd w:val="clear" w:color="auto" w:fill="auto"/>
            <w:noWrap/>
            <w:vAlign w:val="center"/>
          </w:tcPr>
          <w:p w14:paraId="3B1184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水土流失量总计（t）</w:t>
            </w:r>
          </w:p>
        </w:tc>
      </w:tr>
      <w:tr w14:paraId="69FB43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72" w:type="dxa"/>
            <w:vMerge w:val="restart"/>
            <w:tcBorders>
              <w:tl2br w:val="nil"/>
              <w:tr2bl w:val="nil"/>
            </w:tcBorders>
            <w:shd w:val="clear" w:color="auto" w:fill="auto"/>
            <w:noWrap/>
            <w:vAlign w:val="center"/>
          </w:tcPr>
          <w:p w14:paraId="00D3DE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03" w:type="dxa"/>
            <w:tcBorders>
              <w:tl2br w:val="nil"/>
              <w:tr2bl w:val="nil"/>
            </w:tcBorders>
            <w:shd w:val="clear" w:color="auto" w:fill="auto"/>
            <w:noWrap/>
            <w:vAlign w:val="center"/>
          </w:tcPr>
          <w:p w14:paraId="11060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944" w:type="dxa"/>
            <w:tcBorders>
              <w:tl2br w:val="nil"/>
              <w:tr2bl w:val="nil"/>
            </w:tcBorders>
            <w:shd w:val="clear" w:color="auto" w:fill="auto"/>
            <w:noWrap/>
            <w:vAlign w:val="center"/>
          </w:tcPr>
          <w:p w14:paraId="7BB825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14.40 </w:t>
            </w:r>
          </w:p>
        </w:tc>
        <w:tc>
          <w:tcPr>
            <w:tcW w:w="3417" w:type="dxa"/>
            <w:tcBorders>
              <w:tl2br w:val="nil"/>
              <w:tr2bl w:val="nil"/>
            </w:tcBorders>
            <w:shd w:val="clear" w:color="auto" w:fill="auto"/>
            <w:noWrap/>
            <w:vAlign w:val="center"/>
          </w:tcPr>
          <w:p w14:paraId="2FEC1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c>
          <w:tcPr>
            <w:tcW w:w="1934" w:type="dxa"/>
            <w:tcBorders>
              <w:tl2br w:val="nil"/>
              <w:tr2bl w:val="nil"/>
            </w:tcBorders>
            <w:shd w:val="clear" w:color="auto" w:fill="auto"/>
            <w:noWrap/>
            <w:vAlign w:val="center"/>
          </w:tcPr>
          <w:p w14:paraId="0205EB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14.40 </w:t>
            </w:r>
          </w:p>
        </w:tc>
      </w:tr>
      <w:tr w14:paraId="217D7E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772" w:type="dxa"/>
            <w:vMerge w:val="continue"/>
            <w:tcBorders>
              <w:tl2br w:val="nil"/>
              <w:tr2bl w:val="nil"/>
            </w:tcBorders>
            <w:shd w:val="clear" w:color="auto" w:fill="auto"/>
            <w:noWrap/>
            <w:vAlign w:val="center"/>
          </w:tcPr>
          <w:p w14:paraId="3639BD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03" w:type="dxa"/>
            <w:tcBorders>
              <w:tl2br w:val="nil"/>
              <w:tr2bl w:val="nil"/>
            </w:tcBorders>
            <w:shd w:val="clear" w:color="auto" w:fill="auto"/>
            <w:noWrap/>
            <w:vAlign w:val="center"/>
          </w:tcPr>
          <w:p w14:paraId="4DE95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944" w:type="dxa"/>
            <w:tcBorders>
              <w:tl2br w:val="nil"/>
              <w:tr2bl w:val="nil"/>
            </w:tcBorders>
            <w:shd w:val="clear" w:color="auto" w:fill="auto"/>
            <w:noWrap/>
            <w:vAlign w:val="center"/>
          </w:tcPr>
          <w:p w14:paraId="125B6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9.24 </w:t>
            </w:r>
          </w:p>
        </w:tc>
        <w:tc>
          <w:tcPr>
            <w:tcW w:w="3417" w:type="dxa"/>
            <w:tcBorders>
              <w:tl2br w:val="nil"/>
              <w:tr2bl w:val="nil"/>
            </w:tcBorders>
            <w:shd w:val="clear" w:color="auto" w:fill="auto"/>
            <w:noWrap/>
            <w:vAlign w:val="center"/>
          </w:tcPr>
          <w:p w14:paraId="418A0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c>
          <w:tcPr>
            <w:tcW w:w="1934" w:type="dxa"/>
            <w:tcBorders>
              <w:tl2br w:val="nil"/>
              <w:tr2bl w:val="nil"/>
            </w:tcBorders>
            <w:shd w:val="clear" w:color="auto" w:fill="auto"/>
            <w:noWrap/>
            <w:vAlign w:val="center"/>
          </w:tcPr>
          <w:p w14:paraId="516B0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9.24 </w:t>
            </w:r>
          </w:p>
        </w:tc>
      </w:tr>
      <w:tr w14:paraId="56400E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72" w:type="dxa"/>
            <w:vMerge w:val="continue"/>
            <w:tcBorders>
              <w:tl2br w:val="nil"/>
              <w:tr2bl w:val="nil"/>
            </w:tcBorders>
            <w:shd w:val="clear" w:color="auto" w:fill="auto"/>
            <w:noWrap/>
            <w:vAlign w:val="center"/>
          </w:tcPr>
          <w:p w14:paraId="78E674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03" w:type="dxa"/>
            <w:tcBorders>
              <w:tl2br w:val="nil"/>
              <w:tr2bl w:val="nil"/>
            </w:tcBorders>
            <w:shd w:val="clear" w:color="auto" w:fill="auto"/>
            <w:noWrap/>
            <w:vAlign w:val="center"/>
          </w:tcPr>
          <w:p w14:paraId="7E25D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944" w:type="dxa"/>
            <w:tcBorders>
              <w:tl2br w:val="nil"/>
              <w:tr2bl w:val="nil"/>
            </w:tcBorders>
            <w:shd w:val="clear" w:color="auto" w:fill="auto"/>
            <w:noWrap/>
            <w:vAlign w:val="center"/>
          </w:tcPr>
          <w:p w14:paraId="78EF8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33.93 </w:t>
            </w:r>
          </w:p>
        </w:tc>
        <w:tc>
          <w:tcPr>
            <w:tcW w:w="3417" w:type="dxa"/>
            <w:tcBorders>
              <w:tl2br w:val="nil"/>
              <w:tr2bl w:val="nil"/>
            </w:tcBorders>
            <w:shd w:val="clear" w:color="auto" w:fill="auto"/>
            <w:noWrap/>
            <w:vAlign w:val="center"/>
          </w:tcPr>
          <w:p w14:paraId="0EA519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1.62 </w:t>
            </w:r>
          </w:p>
        </w:tc>
        <w:tc>
          <w:tcPr>
            <w:tcW w:w="1934" w:type="dxa"/>
            <w:tcBorders>
              <w:tl2br w:val="nil"/>
              <w:tr2bl w:val="nil"/>
            </w:tcBorders>
            <w:shd w:val="clear" w:color="auto" w:fill="auto"/>
            <w:noWrap/>
            <w:vAlign w:val="center"/>
          </w:tcPr>
          <w:p w14:paraId="2DB65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35.55 </w:t>
            </w:r>
          </w:p>
        </w:tc>
      </w:tr>
      <w:tr w14:paraId="46FF1A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772" w:type="dxa"/>
            <w:vMerge w:val="continue"/>
            <w:tcBorders>
              <w:tl2br w:val="nil"/>
              <w:tr2bl w:val="nil"/>
            </w:tcBorders>
            <w:shd w:val="clear" w:color="auto" w:fill="auto"/>
            <w:noWrap/>
            <w:vAlign w:val="center"/>
          </w:tcPr>
          <w:p w14:paraId="1DBCAE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03" w:type="dxa"/>
            <w:tcBorders>
              <w:tl2br w:val="nil"/>
              <w:tr2bl w:val="nil"/>
            </w:tcBorders>
            <w:shd w:val="clear" w:color="auto" w:fill="auto"/>
            <w:noWrap/>
            <w:vAlign w:val="center"/>
          </w:tcPr>
          <w:p w14:paraId="2740B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944" w:type="dxa"/>
            <w:tcBorders>
              <w:tl2br w:val="nil"/>
              <w:tr2bl w:val="nil"/>
            </w:tcBorders>
            <w:shd w:val="clear" w:color="auto" w:fill="auto"/>
            <w:noWrap/>
            <w:vAlign w:val="center"/>
          </w:tcPr>
          <w:p w14:paraId="1CA672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57.57 </w:t>
            </w:r>
          </w:p>
        </w:tc>
        <w:tc>
          <w:tcPr>
            <w:tcW w:w="3417" w:type="dxa"/>
            <w:tcBorders>
              <w:tl2br w:val="nil"/>
              <w:tr2bl w:val="nil"/>
            </w:tcBorders>
            <w:shd w:val="clear" w:color="auto" w:fill="auto"/>
            <w:noWrap/>
            <w:vAlign w:val="center"/>
          </w:tcPr>
          <w:p w14:paraId="16E522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1.62 </w:t>
            </w:r>
          </w:p>
        </w:tc>
        <w:tc>
          <w:tcPr>
            <w:tcW w:w="1934" w:type="dxa"/>
            <w:tcBorders>
              <w:tl2br w:val="nil"/>
              <w:tr2bl w:val="nil"/>
            </w:tcBorders>
            <w:shd w:val="clear" w:color="auto" w:fill="auto"/>
            <w:noWrap/>
            <w:vAlign w:val="center"/>
          </w:tcPr>
          <w:p w14:paraId="40D7D0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59.19 </w:t>
            </w:r>
          </w:p>
        </w:tc>
      </w:tr>
      <w:tr w14:paraId="5A7321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72" w:type="dxa"/>
            <w:vMerge w:val="restart"/>
            <w:tcBorders>
              <w:tl2br w:val="nil"/>
              <w:tr2bl w:val="nil"/>
            </w:tcBorders>
            <w:shd w:val="clear" w:color="auto" w:fill="auto"/>
            <w:noWrap/>
            <w:vAlign w:val="center"/>
          </w:tcPr>
          <w:p w14:paraId="33D670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03" w:type="dxa"/>
            <w:tcBorders>
              <w:tl2br w:val="nil"/>
              <w:tr2bl w:val="nil"/>
            </w:tcBorders>
            <w:shd w:val="clear" w:color="auto" w:fill="auto"/>
            <w:noWrap/>
            <w:vAlign w:val="center"/>
          </w:tcPr>
          <w:p w14:paraId="39DA32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944" w:type="dxa"/>
            <w:tcBorders>
              <w:tl2br w:val="nil"/>
              <w:tr2bl w:val="nil"/>
            </w:tcBorders>
            <w:shd w:val="clear" w:color="auto" w:fill="auto"/>
            <w:noWrap/>
            <w:vAlign w:val="center"/>
          </w:tcPr>
          <w:p w14:paraId="64850C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28.39 </w:t>
            </w:r>
          </w:p>
        </w:tc>
        <w:tc>
          <w:tcPr>
            <w:tcW w:w="3417" w:type="dxa"/>
            <w:tcBorders>
              <w:tl2br w:val="nil"/>
              <w:tr2bl w:val="nil"/>
            </w:tcBorders>
            <w:shd w:val="clear" w:color="auto" w:fill="auto"/>
            <w:noWrap/>
            <w:vAlign w:val="center"/>
          </w:tcPr>
          <w:p w14:paraId="1CACA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c>
          <w:tcPr>
            <w:tcW w:w="1934" w:type="dxa"/>
            <w:tcBorders>
              <w:tl2br w:val="nil"/>
              <w:tr2bl w:val="nil"/>
            </w:tcBorders>
            <w:shd w:val="clear" w:color="auto" w:fill="auto"/>
            <w:noWrap/>
            <w:vAlign w:val="center"/>
          </w:tcPr>
          <w:p w14:paraId="6E577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28.39 </w:t>
            </w:r>
          </w:p>
        </w:tc>
      </w:tr>
      <w:tr w14:paraId="674D3D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772" w:type="dxa"/>
            <w:vMerge w:val="continue"/>
            <w:tcBorders>
              <w:tl2br w:val="nil"/>
              <w:tr2bl w:val="nil"/>
            </w:tcBorders>
            <w:shd w:val="clear" w:color="auto" w:fill="auto"/>
            <w:noWrap/>
            <w:vAlign w:val="center"/>
          </w:tcPr>
          <w:p w14:paraId="4935BE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03" w:type="dxa"/>
            <w:tcBorders>
              <w:tl2br w:val="nil"/>
              <w:tr2bl w:val="nil"/>
            </w:tcBorders>
            <w:shd w:val="clear" w:color="auto" w:fill="auto"/>
            <w:noWrap/>
            <w:vAlign w:val="center"/>
          </w:tcPr>
          <w:p w14:paraId="0C4680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944" w:type="dxa"/>
            <w:tcBorders>
              <w:tl2br w:val="nil"/>
              <w:tr2bl w:val="nil"/>
            </w:tcBorders>
            <w:shd w:val="clear" w:color="auto" w:fill="auto"/>
            <w:noWrap/>
            <w:vAlign w:val="center"/>
          </w:tcPr>
          <w:p w14:paraId="20E2D4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9.13 </w:t>
            </w:r>
          </w:p>
        </w:tc>
        <w:tc>
          <w:tcPr>
            <w:tcW w:w="3417" w:type="dxa"/>
            <w:tcBorders>
              <w:tl2br w:val="nil"/>
              <w:tr2bl w:val="nil"/>
            </w:tcBorders>
            <w:shd w:val="clear" w:color="auto" w:fill="auto"/>
            <w:noWrap/>
            <w:vAlign w:val="center"/>
          </w:tcPr>
          <w:p w14:paraId="0D409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0.00 </w:t>
            </w:r>
          </w:p>
        </w:tc>
        <w:tc>
          <w:tcPr>
            <w:tcW w:w="1934" w:type="dxa"/>
            <w:tcBorders>
              <w:tl2br w:val="nil"/>
              <w:tr2bl w:val="nil"/>
            </w:tcBorders>
            <w:shd w:val="clear" w:color="auto" w:fill="auto"/>
            <w:noWrap/>
            <w:vAlign w:val="center"/>
          </w:tcPr>
          <w:p w14:paraId="49BDF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9.13 </w:t>
            </w:r>
          </w:p>
        </w:tc>
      </w:tr>
      <w:tr w14:paraId="432E9B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72" w:type="dxa"/>
            <w:vMerge w:val="continue"/>
            <w:tcBorders>
              <w:tl2br w:val="nil"/>
              <w:tr2bl w:val="nil"/>
            </w:tcBorders>
            <w:shd w:val="clear" w:color="auto" w:fill="auto"/>
            <w:noWrap/>
            <w:vAlign w:val="center"/>
          </w:tcPr>
          <w:p w14:paraId="65F7DE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03" w:type="dxa"/>
            <w:tcBorders>
              <w:tl2br w:val="nil"/>
              <w:tr2bl w:val="nil"/>
            </w:tcBorders>
            <w:shd w:val="clear" w:color="auto" w:fill="auto"/>
            <w:noWrap/>
            <w:vAlign w:val="center"/>
          </w:tcPr>
          <w:p w14:paraId="2CCE3B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944" w:type="dxa"/>
            <w:tcBorders>
              <w:tl2br w:val="nil"/>
              <w:tr2bl w:val="nil"/>
            </w:tcBorders>
            <w:shd w:val="clear" w:color="auto" w:fill="auto"/>
            <w:noWrap/>
            <w:vAlign w:val="center"/>
          </w:tcPr>
          <w:p w14:paraId="0B026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80.10 </w:t>
            </w:r>
          </w:p>
        </w:tc>
        <w:tc>
          <w:tcPr>
            <w:tcW w:w="3417" w:type="dxa"/>
            <w:tcBorders>
              <w:tl2br w:val="nil"/>
              <w:tr2bl w:val="nil"/>
            </w:tcBorders>
            <w:shd w:val="clear" w:color="auto" w:fill="auto"/>
            <w:noWrap/>
            <w:vAlign w:val="center"/>
          </w:tcPr>
          <w:p w14:paraId="1A5940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2.52 </w:t>
            </w:r>
          </w:p>
        </w:tc>
        <w:tc>
          <w:tcPr>
            <w:tcW w:w="1934" w:type="dxa"/>
            <w:tcBorders>
              <w:tl2br w:val="nil"/>
              <w:tr2bl w:val="nil"/>
            </w:tcBorders>
            <w:shd w:val="clear" w:color="auto" w:fill="auto"/>
            <w:noWrap/>
            <w:vAlign w:val="center"/>
          </w:tcPr>
          <w:p w14:paraId="1458A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82.62 </w:t>
            </w:r>
          </w:p>
        </w:tc>
      </w:tr>
      <w:tr w14:paraId="46F629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772" w:type="dxa"/>
            <w:vMerge w:val="continue"/>
            <w:tcBorders>
              <w:tl2br w:val="nil"/>
              <w:tr2bl w:val="nil"/>
            </w:tcBorders>
            <w:shd w:val="clear" w:color="auto" w:fill="auto"/>
            <w:noWrap/>
            <w:vAlign w:val="center"/>
          </w:tcPr>
          <w:p w14:paraId="51B59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03" w:type="dxa"/>
            <w:tcBorders>
              <w:tl2br w:val="nil"/>
              <w:tr2bl w:val="nil"/>
            </w:tcBorders>
            <w:shd w:val="clear" w:color="auto" w:fill="auto"/>
            <w:noWrap/>
            <w:vAlign w:val="center"/>
          </w:tcPr>
          <w:p w14:paraId="04C10C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944" w:type="dxa"/>
            <w:tcBorders>
              <w:tl2br w:val="nil"/>
              <w:tr2bl w:val="nil"/>
            </w:tcBorders>
            <w:shd w:val="clear" w:color="auto" w:fill="auto"/>
            <w:noWrap/>
            <w:vAlign w:val="center"/>
          </w:tcPr>
          <w:p w14:paraId="33F75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117.62 </w:t>
            </w:r>
          </w:p>
        </w:tc>
        <w:tc>
          <w:tcPr>
            <w:tcW w:w="3417" w:type="dxa"/>
            <w:tcBorders>
              <w:tl2br w:val="nil"/>
              <w:tr2bl w:val="nil"/>
            </w:tcBorders>
            <w:shd w:val="clear" w:color="auto" w:fill="auto"/>
            <w:noWrap/>
            <w:vAlign w:val="center"/>
          </w:tcPr>
          <w:p w14:paraId="08655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2.52 </w:t>
            </w:r>
          </w:p>
        </w:tc>
        <w:tc>
          <w:tcPr>
            <w:tcW w:w="1934" w:type="dxa"/>
            <w:tcBorders>
              <w:tl2br w:val="nil"/>
              <w:tr2bl w:val="nil"/>
            </w:tcBorders>
            <w:shd w:val="clear" w:color="auto" w:fill="auto"/>
            <w:noWrap/>
            <w:vAlign w:val="center"/>
          </w:tcPr>
          <w:p w14:paraId="628A2D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120.14 </w:t>
            </w:r>
          </w:p>
        </w:tc>
      </w:tr>
      <w:tr w14:paraId="13C14E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2275" w:type="dxa"/>
            <w:gridSpan w:val="2"/>
            <w:tcBorders>
              <w:tl2br w:val="nil"/>
              <w:tr2bl w:val="nil"/>
            </w:tcBorders>
            <w:shd w:val="clear" w:color="auto" w:fill="auto"/>
            <w:noWrap/>
            <w:vAlign w:val="center"/>
          </w:tcPr>
          <w:p w14:paraId="264C5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944" w:type="dxa"/>
            <w:tcBorders>
              <w:tl2br w:val="nil"/>
              <w:tr2bl w:val="nil"/>
            </w:tcBorders>
            <w:shd w:val="clear" w:color="auto" w:fill="auto"/>
            <w:noWrap/>
            <w:vAlign w:val="center"/>
          </w:tcPr>
          <w:p w14:paraId="740950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175.19 </w:t>
            </w:r>
          </w:p>
        </w:tc>
        <w:tc>
          <w:tcPr>
            <w:tcW w:w="3417" w:type="dxa"/>
            <w:tcBorders>
              <w:tl2br w:val="nil"/>
              <w:tr2bl w:val="nil"/>
            </w:tcBorders>
            <w:shd w:val="clear" w:color="auto" w:fill="auto"/>
            <w:noWrap/>
            <w:vAlign w:val="center"/>
          </w:tcPr>
          <w:p w14:paraId="2AD1C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4.14 </w:t>
            </w:r>
          </w:p>
        </w:tc>
        <w:tc>
          <w:tcPr>
            <w:tcW w:w="1934" w:type="dxa"/>
            <w:tcBorders>
              <w:tl2br w:val="nil"/>
              <w:tr2bl w:val="nil"/>
            </w:tcBorders>
            <w:shd w:val="clear" w:color="auto" w:fill="auto"/>
            <w:noWrap/>
            <w:vAlign w:val="center"/>
          </w:tcPr>
          <w:p w14:paraId="08DB2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179.33 </w:t>
            </w:r>
          </w:p>
        </w:tc>
      </w:tr>
    </w:tbl>
    <w:p w14:paraId="4FB7FE35">
      <w:pPr>
        <w:pStyle w:val="5"/>
        <w:rPr>
          <w:rFonts w:hint="default" w:ascii="Times New Roman" w:hAnsi="Times New Roman" w:cs="Times New Roman"/>
          <w:lang w:val="zh-CN"/>
        </w:rPr>
      </w:pPr>
      <w:r>
        <w:rPr>
          <w:rFonts w:hint="default" w:ascii="Times New Roman" w:hAnsi="Times New Roman" w:cs="Times New Roman"/>
          <w:lang w:val="zh-CN"/>
        </w:rPr>
        <w:t>新增水土流失量预测</w:t>
      </w:r>
    </w:p>
    <w:p w14:paraId="658F914C">
      <w:pPr>
        <w:ind w:firstLine="480"/>
        <w:rPr>
          <w:rFonts w:hint="default" w:ascii="Times New Roman" w:hAnsi="Times New Roman" w:cs="Times New Roman"/>
        </w:rPr>
      </w:pPr>
      <w:r>
        <w:rPr>
          <w:rFonts w:hint="default" w:ascii="Times New Roman" w:hAnsi="Times New Roman" w:cs="Times New Roman"/>
        </w:rPr>
        <w:t>项目区原生水土流失量为</w:t>
      </w:r>
      <w:r>
        <w:rPr>
          <w:rFonts w:hint="eastAsia" w:cs="Times New Roman"/>
          <w:lang w:val="en-US" w:eastAsia="zh-CN"/>
        </w:rPr>
        <w:t>8.74</w:t>
      </w:r>
      <w:r>
        <w:rPr>
          <w:rFonts w:hint="default" w:ascii="Times New Roman" w:hAnsi="Times New Roman" w:cs="Times New Roman"/>
          <w:lang w:eastAsia="zh-CN"/>
        </w:rPr>
        <w:t>t</w:t>
      </w:r>
      <w:r>
        <w:rPr>
          <w:rFonts w:hint="default" w:ascii="Times New Roman" w:hAnsi="Times New Roman" w:cs="Times New Roman"/>
        </w:rPr>
        <w:t>，本项目建设可能造成的水土流失总量为</w:t>
      </w:r>
      <w:r>
        <w:rPr>
          <w:rFonts w:hint="eastAsia" w:cs="Times New Roman"/>
          <w:lang w:val="en-US" w:eastAsia="zh-CN"/>
        </w:rPr>
        <w:t>179.33</w:t>
      </w:r>
      <w:r>
        <w:rPr>
          <w:rFonts w:hint="default" w:ascii="Times New Roman" w:hAnsi="Times New Roman" w:cs="Times New Roman"/>
          <w:lang w:eastAsia="zh-CN"/>
        </w:rPr>
        <w:t>t</w:t>
      </w:r>
      <w:r>
        <w:rPr>
          <w:rFonts w:hint="default" w:ascii="Times New Roman" w:hAnsi="Times New Roman" w:cs="Times New Roman"/>
        </w:rPr>
        <w:t>，经计算，本项目建设新增水土流失总量为</w:t>
      </w:r>
      <w:r>
        <w:rPr>
          <w:rFonts w:hint="eastAsia" w:cs="Times New Roman"/>
          <w:lang w:val="en-US" w:eastAsia="zh-CN"/>
        </w:rPr>
        <w:t>170.59</w:t>
      </w:r>
      <w:r>
        <w:rPr>
          <w:rFonts w:hint="default" w:ascii="Times New Roman" w:hAnsi="Times New Roman" w:cs="Times New Roman"/>
          <w:lang w:eastAsia="zh-CN"/>
        </w:rPr>
        <w:t>t</w:t>
      </w:r>
      <w:r>
        <w:rPr>
          <w:rFonts w:hint="default" w:ascii="Times New Roman" w:hAnsi="Times New Roman" w:cs="Times New Roman"/>
        </w:rPr>
        <w:t>。通过预测分析，</w:t>
      </w:r>
      <w:r>
        <w:rPr>
          <w:rFonts w:hint="eastAsia" w:cs="Times New Roman"/>
          <w:lang w:val="en-US" w:eastAsia="zh-CN"/>
        </w:rPr>
        <w:t>绿化</w:t>
      </w:r>
      <w:r>
        <w:rPr>
          <w:rFonts w:hint="default" w:ascii="Times New Roman" w:hAnsi="Times New Roman" w:cs="Times New Roman"/>
        </w:rPr>
        <w:t>区为本项目新增水土流失的重点区域。具体各预测单元新增水土流失情况见表4-1</w:t>
      </w:r>
      <w:r>
        <w:rPr>
          <w:rFonts w:hint="eastAsia" w:cs="Times New Roman"/>
          <w:lang w:val="en-US" w:eastAsia="zh-CN"/>
        </w:rPr>
        <w:t>4</w:t>
      </w:r>
      <w:r>
        <w:rPr>
          <w:rFonts w:hint="default" w:ascii="Times New Roman" w:hAnsi="Times New Roman" w:cs="Times New Roman"/>
        </w:rPr>
        <w:t>。</w:t>
      </w:r>
    </w:p>
    <w:p w14:paraId="51B9C6DD">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表4-1</w:t>
      </w:r>
      <w:r>
        <w:rPr>
          <w:rFonts w:hint="eastAsia" w:eastAsia="仿宋_GB2312" w:cs="Times New Roman"/>
          <w:b/>
          <w:bCs w:val="0"/>
          <w:lang w:val="en-US" w:eastAsia="zh-CN"/>
        </w:rPr>
        <w:t>4</w:t>
      </w:r>
      <w:r>
        <w:rPr>
          <w:rFonts w:hint="default" w:ascii="Times New Roman" w:hAnsi="Times New Roman" w:eastAsia="仿宋_GB2312" w:cs="Times New Roman"/>
          <w:b/>
          <w:bCs w:val="0"/>
        </w:rPr>
        <w:t xml:space="preserve">                     项目建设新增水土流失量情况表</w:t>
      </w:r>
    </w:p>
    <w:tbl>
      <w:tblPr>
        <w:tblStyle w:val="27"/>
        <w:tblW w:w="956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4"/>
        <w:gridCol w:w="1537"/>
        <w:gridCol w:w="1510"/>
        <w:gridCol w:w="1803"/>
        <w:gridCol w:w="1977"/>
        <w:gridCol w:w="875"/>
        <w:gridCol w:w="990"/>
      </w:tblGrid>
      <w:tr w14:paraId="6D2D2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874" w:type="dxa"/>
            <w:vMerge w:val="restart"/>
            <w:tcBorders>
              <w:tl2br w:val="nil"/>
              <w:tr2bl w:val="nil"/>
            </w:tcBorders>
            <w:shd w:val="clear" w:color="auto" w:fill="auto"/>
            <w:noWrap/>
            <w:vAlign w:val="center"/>
          </w:tcPr>
          <w:p w14:paraId="3E865C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37" w:type="dxa"/>
            <w:vMerge w:val="restart"/>
            <w:tcBorders>
              <w:tl2br w:val="nil"/>
              <w:tr2bl w:val="nil"/>
            </w:tcBorders>
            <w:shd w:val="clear" w:color="auto" w:fill="auto"/>
            <w:noWrap/>
            <w:vAlign w:val="center"/>
          </w:tcPr>
          <w:p w14:paraId="54CF8D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项目分区</w:t>
            </w:r>
          </w:p>
        </w:tc>
        <w:tc>
          <w:tcPr>
            <w:tcW w:w="1510" w:type="dxa"/>
            <w:tcBorders>
              <w:tl2br w:val="nil"/>
              <w:tr2bl w:val="nil"/>
            </w:tcBorders>
            <w:shd w:val="clear" w:color="auto" w:fill="auto"/>
            <w:noWrap/>
            <w:vAlign w:val="center"/>
          </w:tcPr>
          <w:p w14:paraId="06488C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预测面积</w:t>
            </w:r>
          </w:p>
        </w:tc>
        <w:tc>
          <w:tcPr>
            <w:tcW w:w="1803" w:type="dxa"/>
            <w:tcBorders>
              <w:tl2br w:val="nil"/>
              <w:tr2bl w:val="nil"/>
            </w:tcBorders>
            <w:shd w:val="clear" w:color="auto" w:fill="auto"/>
            <w:noWrap/>
            <w:vAlign w:val="center"/>
          </w:tcPr>
          <w:p w14:paraId="4478C0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原生水土流失量</w:t>
            </w:r>
          </w:p>
        </w:tc>
        <w:tc>
          <w:tcPr>
            <w:tcW w:w="1977" w:type="dxa"/>
            <w:tcBorders>
              <w:tl2br w:val="nil"/>
              <w:tr2bl w:val="nil"/>
            </w:tcBorders>
            <w:shd w:val="clear" w:color="auto" w:fill="auto"/>
            <w:noWrap/>
            <w:vAlign w:val="center"/>
          </w:tcPr>
          <w:p w14:paraId="075B4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扰动后水土流失量</w:t>
            </w:r>
          </w:p>
        </w:tc>
        <w:tc>
          <w:tcPr>
            <w:tcW w:w="1865" w:type="dxa"/>
            <w:gridSpan w:val="2"/>
            <w:tcBorders>
              <w:tl2br w:val="nil"/>
              <w:tr2bl w:val="nil"/>
            </w:tcBorders>
            <w:shd w:val="clear" w:color="auto" w:fill="auto"/>
            <w:noWrap/>
            <w:vAlign w:val="center"/>
          </w:tcPr>
          <w:p w14:paraId="7F531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新增水土流失量</w:t>
            </w:r>
          </w:p>
        </w:tc>
      </w:tr>
      <w:tr w14:paraId="7352BB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874" w:type="dxa"/>
            <w:vMerge w:val="continue"/>
            <w:tcBorders>
              <w:tl2br w:val="nil"/>
              <w:tr2bl w:val="nil"/>
            </w:tcBorders>
            <w:shd w:val="clear" w:color="auto" w:fill="auto"/>
            <w:noWrap/>
            <w:vAlign w:val="center"/>
          </w:tcPr>
          <w:p w14:paraId="60843F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vMerge w:val="continue"/>
            <w:tcBorders>
              <w:tl2br w:val="nil"/>
              <w:tr2bl w:val="nil"/>
            </w:tcBorders>
            <w:shd w:val="clear" w:color="auto" w:fill="auto"/>
            <w:noWrap/>
            <w:vAlign w:val="center"/>
          </w:tcPr>
          <w:p w14:paraId="2930BF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0" w:type="dxa"/>
            <w:tcBorders>
              <w:tl2br w:val="nil"/>
              <w:tr2bl w:val="nil"/>
            </w:tcBorders>
            <w:shd w:val="clear" w:color="auto" w:fill="auto"/>
            <w:noWrap/>
            <w:vAlign w:val="center"/>
          </w:tcPr>
          <w:p w14:paraId="16073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803" w:type="dxa"/>
            <w:tcBorders>
              <w:tl2br w:val="nil"/>
              <w:tr2bl w:val="nil"/>
            </w:tcBorders>
            <w:shd w:val="clear" w:color="auto" w:fill="auto"/>
            <w:noWrap/>
            <w:vAlign w:val="center"/>
          </w:tcPr>
          <w:p w14:paraId="618C68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w:t>
            </w:r>
          </w:p>
        </w:tc>
        <w:tc>
          <w:tcPr>
            <w:tcW w:w="1977" w:type="dxa"/>
            <w:tcBorders>
              <w:tl2br w:val="nil"/>
              <w:tr2bl w:val="nil"/>
            </w:tcBorders>
            <w:shd w:val="clear" w:color="auto" w:fill="auto"/>
            <w:noWrap/>
            <w:vAlign w:val="center"/>
          </w:tcPr>
          <w:p w14:paraId="435718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w:t>
            </w:r>
          </w:p>
        </w:tc>
        <w:tc>
          <w:tcPr>
            <w:tcW w:w="875" w:type="dxa"/>
            <w:tcBorders>
              <w:tl2br w:val="nil"/>
              <w:tr2bl w:val="nil"/>
            </w:tcBorders>
            <w:shd w:val="clear" w:color="auto" w:fill="auto"/>
            <w:noWrap/>
            <w:vAlign w:val="center"/>
          </w:tcPr>
          <w:p w14:paraId="67F2A6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t</w:t>
            </w:r>
          </w:p>
        </w:tc>
        <w:tc>
          <w:tcPr>
            <w:tcW w:w="990" w:type="dxa"/>
            <w:tcBorders>
              <w:tl2br w:val="nil"/>
              <w:tr2bl w:val="nil"/>
            </w:tcBorders>
            <w:shd w:val="clear" w:color="auto" w:fill="auto"/>
            <w:noWrap/>
            <w:vAlign w:val="center"/>
          </w:tcPr>
          <w:p w14:paraId="2A4A94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百分比</w:t>
            </w:r>
          </w:p>
        </w:tc>
      </w:tr>
      <w:tr w14:paraId="418ECC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74" w:type="dxa"/>
            <w:vMerge w:val="restart"/>
            <w:tcBorders>
              <w:tl2br w:val="nil"/>
              <w:tr2bl w:val="nil"/>
            </w:tcBorders>
            <w:shd w:val="clear" w:color="auto" w:fill="auto"/>
            <w:noWrap/>
            <w:vAlign w:val="center"/>
          </w:tcPr>
          <w:p w14:paraId="22B13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37" w:type="dxa"/>
            <w:tcBorders>
              <w:tl2br w:val="nil"/>
              <w:tr2bl w:val="nil"/>
            </w:tcBorders>
            <w:shd w:val="clear" w:color="auto" w:fill="auto"/>
            <w:noWrap/>
            <w:vAlign w:val="center"/>
          </w:tcPr>
          <w:p w14:paraId="69D653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510" w:type="dxa"/>
            <w:tcBorders>
              <w:tl2br w:val="nil"/>
              <w:tr2bl w:val="nil"/>
            </w:tcBorders>
            <w:shd w:val="clear" w:color="auto" w:fill="auto"/>
            <w:noWrap/>
            <w:vAlign w:val="center"/>
          </w:tcPr>
          <w:p w14:paraId="30C37E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1803" w:type="dxa"/>
            <w:tcBorders>
              <w:tl2br w:val="nil"/>
              <w:tr2bl w:val="nil"/>
            </w:tcBorders>
            <w:shd w:val="clear" w:color="auto" w:fill="auto"/>
            <w:noWrap/>
            <w:vAlign w:val="center"/>
          </w:tcPr>
          <w:p w14:paraId="6E97A5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1.12 </w:t>
            </w:r>
          </w:p>
        </w:tc>
        <w:tc>
          <w:tcPr>
            <w:tcW w:w="1977" w:type="dxa"/>
            <w:tcBorders>
              <w:tl2br w:val="nil"/>
              <w:tr2bl w:val="nil"/>
            </w:tcBorders>
            <w:shd w:val="clear" w:color="auto" w:fill="auto"/>
            <w:noWrap/>
            <w:vAlign w:val="center"/>
          </w:tcPr>
          <w:p w14:paraId="70C34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14.40 </w:t>
            </w:r>
          </w:p>
        </w:tc>
        <w:tc>
          <w:tcPr>
            <w:tcW w:w="875" w:type="dxa"/>
            <w:tcBorders>
              <w:tl2br w:val="nil"/>
              <w:tr2bl w:val="nil"/>
            </w:tcBorders>
            <w:shd w:val="clear" w:color="auto" w:fill="auto"/>
            <w:noWrap/>
            <w:vAlign w:val="center"/>
          </w:tcPr>
          <w:p w14:paraId="69F5E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13.28 </w:t>
            </w:r>
          </w:p>
        </w:tc>
        <w:tc>
          <w:tcPr>
            <w:tcW w:w="990" w:type="dxa"/>
            <w:tcBorders>
              <w:tl2br w:val="nil"/>
              <w:tr2bl w:val="nil"/>
            </w:tcBorders>
            <w:shd w:val="clear" w:color="auto" w:fill="auto"/>
            <w:noWrap/>
            <w:vAlign w:val="center"/>
          </w:tcPr>
          <w:p w14:paraId="7FCD9E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7.78%</w:t>
            </w:r>
          </w:p>
        </w:tc>
      </w:tr>
      <w:tr w14:paraId="274DF0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74" w:type="dxa"/>
            <w:vMerge w:val="continue"/>
            <w:tcBorders>
              <w:tl2br w:val="nil"/>
              <w:tr2bl w:val="nil"/>
            </w:tcBorders>
            <w:shd w:val="clear" w:color="auto" w:fill="auto"/>
            <w:noWrap/>
            <w:vAlign w:val="center"/>
          </w:tcPr>
          <w:p w14:paraId="68744E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tcBorders>
              <w:tl2br w:val="nil"/>
              <w:tr2bl w:val="nil"/>
            </w:tcBorders>
            <w:shd w:val="clear" w:color="auto" w:fill="auto"/>
            <w:noWrap/>
            <w:vAlign w:val="center"/>
          </w:tcPr>
          <w:p w14:paraId="5D5A1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510" w:type="dxa"/>
            <w:tcBorders>
              <w:tl2br w:val="nil"/>
              <w:tr2bl w:val="nil"/>
            </w:tcBorders>
            <w:shd w:val="clear" w:color="auto" w:fill="auto"/>
            <w:noWrap/>
            <w:vAlign w:val="center"/>
          </w:tcPr>
          <w:p w14:paraId="2601D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1803" w:type="dxa"/>
            <w:tcBorders>
              <w:tl2br w:val="nil"/>
              <w:tr2bl w:val="nil"/>
            </w:tcBorders>
            <w:shd w:val="clear" w:color="auto" w:fill="auto"/>
            <w:noWrap/>
            <w:vAlign w:val="center"/>
          </w:tcPr>
          <w:p w14:paraId="13A146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0.78 </w:t>
            </w:r>
          </w:p>
        </w:tc>
        <w:tc>
          <w:tcPr>
            <w:tcW w:w="1977" w:type="dxa"/>
            <w:tcBorders>
              <w:tl2br w:val="nil"/>
              <w:tr2bl w:val="nil"/>
            </w:tcBorders>
            <w:shd w:val="clear" w:color="auto" w:fill="auto"/>
            <w:noWrap/>
            <w:vAlign w:val="center"/>
          </w:tcPr>
          <w:p w14:paraId="082258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9.24 </w:t>
            </w:r>
          </w:p>
        </w:tc>
        <w:tc>
          <w:tcPr>
            <w:tcW w:w="875" w:type="dxa"/>
            <w:tcBorders>
              <w:tl2br w:val="nil"/>
              <w:tr2bl w:val="nil"/>
            </w:tcBorders>
            <w:shd w:val="clear" w:color="auto" w:fill="auto"/>
            <w:noWrap/>
            <w:vAlign w:val="center"/>
          </w:tcPr>
          <w:p w14:paraId="6B592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8.46 </w:t>
            </w:r>
          </w:p>
        </w:tc>
        <w:tc>
          <w:tcPr>
            <w:tcW w:w="990" w:type="dxa"/>
            <w:tcBorders>
              <w:tl2br w:val="nil"/>
              <w:tr2bl w:val="nil"/>
            </w:tcBorders>
            <w:shd w:val="clear" w:color="auto" w:fill="auto"/>
            <w:noWrap/>
            <w:vAlign w:val="center"/>
          </w:tcPr>
          <w:p w14:paraId="0DB73B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4.96%</w:t>
            </w:r>
          </w:p>
        </w:tc>
      </w:tr>
      <w:tr w14:paraId="75CF5E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74" w:type="dxa"/>
            <w:vMerge w:val="continue"/>
            <w:tcBorders>
              <w:tl2br w:val="nil"/>
              <w:tr2bl w:val="nil"/>
            </w:tcBorders>
            <w:shd w:val="clear" w:color="auto" w:fill="auto"/>
            <w:noWrap/>
            <w:vAlign w:val="center"/>
          </w:tcPr>
          <w:p w14:paraId="647A8B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tcBorders>
              <w:tl2br w:val="nil"/>
              <w:tr2bl w:val="nil"/>
            </w:tcBorders>
            <w:shd w:val="clear" w:color="auto" w:fill="auto"/>
            <w:noWrap/>
            <w:vAlign w:val="center"/>
          </w:tcPr>
          <w:p w14:paraId="0890A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510" w:type="dxa"/>
            <w:tcBorders>
              <w:tl2br w:val="nil"/>
              <w:tr2bl w:val="nil"/>
            </w:tcBorders>
            <w:shd w:val="clear" w:color="auto" w:fill="auto"/>
            <w:noWrap/>
            <w:vAlign w:val="center"/>
          </w:tcPr>
          <w:p w14:paraId="54A072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1803" w:type="dxa"/>
            <w:tcBorders>
              <w:tl2br w:val="nil"/>
              <w:tr2bl w:val="nil"/>
            </w:tcBorders>
            <w:shd w:val="clear" w:color="auto" w:fill="auto"/>
            <w:noWrap/>
            <w:vAlign w:val="center"/>
          </w:tcPr>
          <w:p w14:paraId="41869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1.55 </w:t>
            </w:r>
          </w:p>
        </w:tc>
        <w:tc>
          <w:tcPr>
            <w:tcW w:w="1977" w:type="dxa"/>
            <w:tcBorders>
              <w:tl2br w:val="nil"/>
              <w:tr2bl w:val="nil"/>
            </w:tcBorders>
            <w:shd w:val="clear" w:color="auto" w:fill="auto"/>
            <w:noWrap/>
            <w:vAlign w:val="center"/>
          </w:tcPr>
          <w:p w14:paraId="351C39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35.55 </w:t>
            </w:r>
          </w:p>
        </w:tc>
        <w:tc>
          <w:tcPr>
            <w:tcW w:w="875" w:type="dxa"/>
            <w:tcBorders>
              <w:tl2br w:val="nil"/>
              <w:tr2bl w:val="nil"/>
            </w:tcBorders>
            <w:shd w:val="clear" w:color="auto" w:fill="auto"/>
            <w:noWrap/>
            <w:vAlign w:val="center"/>
          </w:tcPr>
          <w:p w14:paraId="3A68C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34.00 </w:t>
            </w:r>
          </w:p>
        </w:tc>
        <w:tc>
          <w:tcPr>
            <w:tcW w:w="990" w:type="dxa"/>
            <w:tcBorders>
              <w:tl2br w:val="nil"/>
              <w:tr2bl w:val="nil"/>
            </w:tcBorders>
            <w:shd w:val="clear" w:color="auto" w:fill="auto"/>
            <w:noWrap/>
            <w:vAlign w:val="center"/>
          </w:tcPr>
          <w:p w14:paraId="61C6A1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19.93%</w:t>
            </w:r>
          </w:p>
        </w:tc>
      </w:tr>
      <w:tr w14:paraId="0DEBD7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74" w:type="dxa"/>
            <w:vMerge w:val="continue"/>
            <w:tcBorders>
              <w:tl2br w:val="nil"/>
              <w:tr2bl w:val="nil"/>
            </w:tcBorders>
            <w:shd w:val="clear" w:color="auto" w:fill="auto"/>
            <w:noWrap/>
            <w:vAlign w:val="center"/>
          </w:tcPr>
          <w:p w14:paraId="4DCF88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tcBorders>
              <w:tl2br w:val="nil"/>
              <w:tr2bl w:val="nil"/>
            </w:tcBorders>
            <w:shd w:val="clear" w:color="auto" w:fill="auto"/>
            <w:noWrap/>
            <w:vAlign w:val="center"/>
          </w:tcPr>
          <w:p w14:paraId="75E2EB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510" w:type="dxa"/>
            <w:tcBorders>
              <w:tl2br w:val="nil"/>
              <w:tr2bl w:val="nil"/>
            </w:tcBorders>
            <w:shd w:val="clear" w:color="auto" w:fill="auto"/>
            <w:noWrap/>
            <w:vAlign w:val="center"/>
          </w:tcPr>
          <w:p w14:paraId="2487C9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0.60 </w:t>
            </w:r>
          </w:p>
        </w:tc>
        <w:tc>
          <w:tcPr>
            <w:tcW w:w="1803" w:type="dxa"/>
            <w:tcBorders>
              <w:tl2br w:val="nil"/>
              <w:tr2bl w:val="nil"/>
            </w:tcBorders>
            <w:shd w:val="clear" w:color="auto" w:fill="auto"/>
            <w:noWrap/>
            <w:vAlign w:val="center"/>
          </w:tcPr>
          <w:p w14:paraId="2EF728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3.45 </w:t>
            </w:r>
          </w:p>
        </w:tc>
        <w:tc>
          <w:tcPr>
            <w:tcW w:w="1977" w:type="dxa"/>
            <w:tcBorders>
              <w:tl2br w:val="nil"/>
              <w:tr2bl w:val="nil"/>
            </w:tcBorders>
            <w:shd w:val="clear" w:color="auto" w:fill="auto"/>
            <w:noWrap/>
            <w:vAlign w:val="center"/>
          </w:tcPr>
          <w:p w14:paraId="7E61E5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59.19 </w:t>
            </w:r>
          </w:p>
        </w:tc>
        <w:tc>
          <w:tcPr>
            <w:tcW w:w="875" w:type="dxa"/>
            <w:tcBorders>
              <w:tl2br w:val="nil"/>
              <w:tr2bl w:val="nil"/>
            </w:tcBorders>
            <w:shd w:val="clear" w:color="auto" w:fill="auto"/>
            <w:noWrap/>
            <w:vAlign w:val="center"/>
          </w:tcPr>
          <w:p w14:paraId="55F778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55.74 </w:t>
            </w:r>
          </w:p>
        </w:tc>
        <w:tc>
          <w:tcPr>
            <w:tcW w:w="990" w:type="dxa"/>
            <w:tcBorders>
              <w:tl2br w:val="nil"/>
              <w:tr2bl w:val="nil"/>
            </w:tcBorders>
            <w:shd w:val="clear" w:color="auto" w:fill="auto"/>
            <w:noWrap/>
            <w:vAlign w:val="center"/>
          </w:tcPr>
          <w:p w14:paraId="1A1CED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32.67%</w:t>
            </w:r>
          </w:p>
        </w:tc>
      </w:tr>
      <w:tr w14:paraId="09621F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74" w:type="dxa"/>
            <w:vMerge w:val="restart"/>
            <w:tcBorders>
              <w:tl2br w:val="nil"/>
              <w:tr2bl w:val="nil"/>
            </w:tcBorders>
            <w:shd w:val="clear" w:color="auto" w:fill="auto"/>
            <w:noWrap/>
            <w:vAlign w:val="center"/>
          </w:tcPr>
          <w:p w14:paraId="00BE74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37" w:type="dxa"/>
            <w:tcBorders>
              <w:tl2br w:val="nil"/>
              <w:tr2bl w:val="nil"/>
            </w:tcBorders>
            <w:shd w:val="clear" w:color="auto" w:fill="auto"/>
            <w:noWrap/>
            <w:vAlign w:val="center"/>
          </w:tcPr>
          <w:p w14:paraId="7D4485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510" w:type="dxa"/>
            <w:tcBorders>
              <w:tl2br w:val="nil"/>
              <w:tr2bl w:val="nil"/>
            </w:tcBorders>
            <w:shd w:val="clear" w:color="auto" w:fill="auto"/>
            <w:noWrap/>
            <w:vAlign w:val="center"/>
          </w:tcPr>
          <w:p w14:paraId="67D1E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1803" w:type="dxa"/>
            <w:tcBorders>
              <w:tl2br w:val="nil"/>
              <w:tr2bl w:val="nil"/>
            </w:tcBorders>
            <w:shd w:val="clear" w:color="auto" w:fill="auto"/>
            <w:noWrap/>
            <w:vAlign w:val="center"/>
          </w:tcPr>
          <w:p w14:paraId="05FDD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2.13 </w:t>
            </w:r>
          </w:p>
        </w:tc>
        <w:tc>
          <w:tcPr>
            <w:tcW w:w="1977" w:type="dxa"/>
            <w:tcBorders>
              <w:tl2br w:val="nil"/>
              <w:tr2bl w:val="nil"/>
            </w:tcBorders>
            <w:shd w:val="clear" w:color="auto" w:fill="auto"/>
            <w:noWrap/>
            <w:vAlign w:val="center"/>
          </w:tcPr>
          <w:p w14:paraId="0F657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28.39 </w:t>
            </w:r>
          </w:p>
        </w:tc>
        <w:tc>
          <w:tcPr>
            <w:tcW w:w="875" w:type="dxa"/>
            <w:tcBorders>
              <w:tl2br w:val="nil"/>
              <w:tr2bl w:val="nil"/>
            </w:tcBorders>
            <w:shd w:val="clear" w:color="auto" w:fill="auto"/>
            <w:noWrap/>
            <w:vAlign w:val="center"/>
          </w:tcPr>
          <w:p w14:paraId="74271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26.26 </w:t>
            </w:r>
          </w:p>
        </w:tc>
        <w:tc>
          <w:tcPr>
            <w:tcW w:w="990" w:type="dxa"/>
            <w:tcBorders>
              <w:tl2br w:val="nil"/>
              <w:tr2bl w:val="nil"/>
            </w:tcBorders>
            <w:shd w:val="clear" w:color="auto" w:fill="auto"/>
            <w:noWrap/>
            <w:vAlign w:val="center"/>
          </w:tcPr>
          <w:p w14:paraId="3CBDE5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15.39%</w:t>
            </w:r>
          </w:p>
        </w:tc>
      </w:tr>
      <w:tr w14:paraId="539E81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0" w:hRule="atLeast"/>
          <w:jc w:val="center"/>
        </w:trPr>
        <w:tc>
          <w:tcPr>
            <w:tcW w:w="874" w:type="dxa"/>
            <w:vMerge w:val="continue"/>
            <w:tcBorders>
              <w:tl2br w:val="nil"/>
              <w:tr2bl w:val="nil"/>
            </w:tcBorders>
            <w:shd w:val="clear" w:color="auto" w:fill="auto"/>
            <w:noWrap/>
            <w:vAlign w:val="center"/>
          </w:tcPr>
          <w:p w14:paraId="145383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tcBorders>
              <w:tl2br w:val="nil"/>
              <w:tr2bl w:val="nil"/>
            </w:tcBorders>
            <w:shd w:val="clear" w:color="auto" w:fill="auto"/>
            <w:noWrap/>
            <w:vAlign w:val="center"/>
          </w:tcPr>
          <w:p w14:paraId="46AB50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510" w:type="dxa"/>
            <w:tcBorders>
              <w:tl2br w:val="nil"/>
              <w:tr2bl w:val="nil"/>
            </w:tcBorders>
            <w:shd w:val="clear" w:color="auto" w:fill="auto"/>
            <w:noWrap/>
            <w:vAlign w:val="center"/>
          </w:tcPr>
          <w:p w14:paraId="1D4ADC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1803" w:type="dxa"/>
            <w:tcBorders>
              <w:tl2br w:val="nil"/>
              <w:tr2bl w:val="nil"/>
            </w:tcBorders>
            <w:shd w:val="clear" w:color="auto" w:fill="auto"/>
            <w:noWrap/>
            <w:vAlign w:val="center"/>
          </w:tcPr>
          <w:p w14:paraId="5D866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0.75 </w:t>
            </w:r>
          </w:p>
        </w:tc>
        <w:tc>
          <w:tcPr>
            <w:tcW w:w="1977" w:type="dxa"/>
            <w:tcBorders>
              <w:tl2br w:val="nil"/>
              <w:tr2bl w:val="nil"/>
            </w:tcBorders>
            <w:shd w:val="clear" w:color="auto" w:fill="auto"/>
            <w:noWrap/>
            <w:vAlign w:val="center"/>
          </w:tcPr>
          <w:p w14:paraId="0F213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9.13 </w:t>
            </w:r>
          </w:p>
        </w:tc>
        <w:tc>
          <w:tcPr>
            <w:tcW w:w="875" w:type="dxa"/>
            <w:tcBorders>
              <w:tl2br w:val="nil"/>
              <w:tr2bl w:val="nil"/>
            </w:tcBorders>
            <w:shd w:val="clear" w:color="auto" w:fill="auto"/>
            <w:noWrap/>
            <w:vAlign w:val="center"/>
          </w:tcPr>
          <w:p w14:paraId="13C88B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8.38 </w:t>
            </w:r>
          </w:p>
        </w:tc>
        <w:tc>
          <w:tcPr>
            <w:tcW w:w="990" w:type="dxa"/>
            <w:tcBorders>
              <w:tl2br w:val="nil"/>
              <w:tr2bl w:val="nil"/>
            </w:tcBorders>
            <w:shd w:val="clear" w:color="auto" w:fill="auto"/>
            <w:noWrap/>
            <w:vAlign w:val="center"/>
          </w:tcPr>
          <w:p w14:paraId="788D0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4.91%</w:t>
            </w:r>
          </w:p>
        </w:tc>
      </w:tr>
      <w:tr w14:paraId="4FA7A9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74" w:type="dxa"/>
            <w:vMerge w:val="continue"/>
            <w:tcBorders>
              <w:tl2br w:val="nil"/>
              <w:tr2bl w:val="nil"/>
            </w:tcBorders>
            <w:shd w:val="clear" w:color="auto" w:fill="auto"/>
            <w:noWrap/>
            <w:vAlign w:val="center"/>
          </w:tcPr>
          <w:p w14:paraId="4836B9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tcBorders>
              <w:tl2br w:val="nil"/>
              <w:tr2bl w:val="nil"/>
            </w:tcBorders>
            <w:shd w:val="clear" w:color="auto" w:fill="auto"/>
            <w:noWrap/>
            <w:vAlign w:val="center"/>
          </w:tcPr>
          <w:p w14:paraId="71C52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510" w:type="dxa"/>
            <w:tcBorders>
              <w:tl2br w:val="nil"/>
              <w:tr2bl w:val="nil"/>
            </w:tcBorders>
            <w:shd w:val="clear" w:color="auto" w:fill="auto"/>
            <w:noWrap/>
            <w:vAlign w:val="center"/>
          </w:tcPr>
          <w:p w14:paraId="5E3A34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1803" w:type="dxa"/>
            <w:tcBorders>
              <w:tl2br w:val="nil"/>
              <w:tr2bl w:val="nil"/>
            </w:tcBorders>
            <w:shd w:val="clear" w:color="auto" w:fill="auto"/>
            <w:noWrap/>
            <w:vAlign w:val="center"/>
          </w:tcPr>
          <w:p w14:paraId="0033B8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2.41 </w:t>
            </w:r>
          </w:p>
        </w:tc>
        <w:tc>
          <w:tcPr>
            <w:tcW w:w="1977" w:type="dxa"/>
            <w:tcBorders>
              <w:tl2br w:val="nil"/>
              <w:tr2bl w:val="nil"/>
            </w:tcBorders>
            <w:shd w:val="clear" w:color="auto" w:fill="auto"/>
            <w:noWrap/>
            <w:vAlign w:val="center"/>
          </w:tcPr>
          <w:p w14:paraId="3CFA35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82.62 </w:t>
            </w:r>
          </w:p>
        </w:tc>
        <w:tc>
          <w:tcPr>
            <w:tcW w:w="875" w:type="dxa"/>
            <w:tcBorders>
              <w:tl2br w:val="nil"/>
              <w:tr2bl w:val="nil"/>
            </w:tcBorders>
            <w:shd w:val="clear" w:color="auto" w:fill="auto"/>
            <w:noWrap/>
            <w:vAlign w:val="center"/>
          </w:tcPr>
          <w:p w14:paraId="2D40F0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80.21 </w:t>
            </w:r>
          </w:p>
        </w:tc>
        <w:tc>
          <w:tcPr>
            <w:tcW w:w="990" w:type="dxa"/>
            <w:tcBorders>
              <w:tl2br w:val="nil"/>
              <w:tr2bl w:val="nil"/>
            </w:tcBorders>
            <w:shd w:val="clear" w:color="auto" w:fill="auto"/>
            <w:noWrap/>
            <w:vAlign w:val="center"/>
          </w:tcPr>
          <w:p w14:paraId="28BE7F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47.02%</w:t>
            </w:r>
          </w:p>
        </w:tc>
      </w:tr>
      <w:tr w14:paraId="294223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74" w:type="dxa"/>
            <w:vMerge w:val="continue"/>
            <w:tcBorders>
              <w:tl2br w:val="nil"/>
              <w:tr2bl w:val="nil"/>
            </w:tcBorders>
            <w:shd w:val="clear" w:color="auto" w:fill="auto"/>
            <w:noWrap/>
            <w:vAlign w:val="center"/>
          </w:tcPr>
          <w:p w14:paraId="1F7D7F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7" w:type="dxa"/>
            <w:tcBorders>
              <w:tl2br w:val="nil"/>
              <w:tr2bl w:val="nil"/>
            </w:tcBorders>
            <w:shd w:val="clear" w:color="auto" w:fill="auto"/>
            <w:noWrap/>
            <w:vAlign w:val="center"/>
          </w:tcPr>
          <w:p w14:paraId="77D846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510" w:type="dxa"/>
            <w:tcBorders>
              <w:tl2br w:val="nil"/>
              <w:tr2bl w:val="nil"/>
            </w:tcBorders>
            <w:shd w:val="clear" w:color="auto" w:fill="auto"/>
            <w:noWrap/>
            <w:vAlign w:val="center"/>
          </w:tcPr>
          <w:p w14:paraId="6248DA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0.91 </w:t>
            </w:r>
          </w:p>
        </w:tc>
        <w:tc>
          <w:tcPr>
            <w:tcW w:w="1803" w:type="dxa"/>
            <w:tcBorders>
              <w:tl2br w:val="nil"/>
              <w:tr2bl w:val="nil"/>
            </w:tcBorders>
            <w:shd w:val="clear" w:color="auto" w:fill="auto"/>
            <w:noWrap/>
            <w:vAlign w:val="center"/>
          </w:tcPr>
          <w:p w14:paraId="200D3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5.29 </w:t>
            </w:r>
          </w:p>
        </w:tc>
        <w:tc>
          <w:tcPr>
            <w:tcW w:w="1977" w:type="dxa"/>
            <w:tcBorders>
              <w:tl2br w:val="nil"/>
              <w:tr2bl w:val="nil"/>
            </w:tcBorders>
            <w:shd w:val="clear" w:color="auto" w:fill="auto"/>
            <w:noWrap/>
            <w:vAlign w:val="center"/>
          </w:tcPr>
          <w:p w14:paraId="760B1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120.14 </w:t>
            </w:r>
          </w:p>
        </w:tc>
        <w:tc>
          <w:tcPr>
            <w:tcW w:w="875" w:type="dxa"/>
            <w:tcBorders>
              <w:tl2br w:val="nil"/>
              <w:tr2bl w:val="nil"/>
            </w:tcBorders>
            <w:shd w:val="clear" w:color="auto" w:fill="auto"/>
            <w:noWrap/>
            <w:vAlign w:val="center"/>
          </w:tcPr>
          <w:p w14:paraId="12C4AB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114.85 </w:t>
            </w:r>
          </w:p>
        </w:tc>
        <w:tc>
          <w:tcPr>
            <w:tcW w:w="990" w:type="dxa"/>
            <w:tcBorders>
              <w:tl2br w:val="nil"/>
              <w:tr2bl w:val="nil"/>
            </w:tcBorders>
            <w:shd w:val="clear" w:color="auto" w:fill="auto"/>
            <w:noWrap/>
            <w:vAlign w:val="center"/>
          </w:tcPr>
          <w:p w14:paraId="11AEE7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67.33%</w:t>
            </w:r>
          </w:p>
        </w:tc>
      </w:tr>
      <w:tr w14:paraId="33A1B3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2411" w:type="dxa"/>
            <w:gridSpan w:val="2"/>
            <w:tcBorders>
              <w:tl2br w:val="nil"/>
              <w:tr2bl w:val="nil"/>
            </w:tcBorders>
            <w:shd w:val="clear" w:color="auto" w:fill="auto"/>
            <w:noWrap/>
            <w:vAlign w:val="center"/>
          </w:tcPr>
          <w:p w14:paraId="0D5CA2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510" w:type="dxa"/>
            <w:tcBorders>
              <w:tl2br w:val="nil"/>
              <w:tr2bl w:val="nil"/>
            </w:tcBorders>
            <w:shd w:val="clear" w:color="auto" w:fill="auto"/>
            <w:noWrap/>
            <w:vAlign w:val="center"/>
          </w:tcPr>
          <w:p w14:paraId="2C454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c>
          <w:tcPr>
            <w:tcW w:w="1803" w:type="dxa"/>
            <w:tcBorders>
              <w:tl2br w:val="nil"/>
              <w:tr2bl w:val="nil"/>
            </w:tcBorders>
            <w:shd w:val="clear" w:color="auto" w:fill="auto"/>
            <w:noWrap/>
            <w:vAlign w:val="center"/>
          </w:tcPr>
          <w:p w14:paraId="7B29BE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8.74 </w:t>
            </w:r>
          </w:p>
        </w:tc>
        <w:tc>
          <w:tcPr>
            <w:tcW w:w="1977" w:type="dxa"/>
            <w:tcBorders>
              <w:tl2br w:val="nil"/>
              <w:tr2bl w:val="nil"/>
            </w:tcBorders>
            <w:shd w:val="clear" w:color="auto" w:fill="auto"/>
            <w:noWrap/>
            <w:vAlign w:val="center"/>
          </w:tcPr>
          <w:p w14:paraId="59CB59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179.33 </w:t>
            </w:r>
          </w:p>
        </w:tc>
        <w:tc>
          <w:tcPr>
            <w:tcW w:w="875" w:type="dxa"/>
            <w:tcBorders>
              <w:tl2br w:val="nil"/>
              <w:tr2bl w:val="nil"/>
            </w:tcBorders>
            <w:shd w:val="clear" w:color="auto" w:fill="auto"/>
            <w:noWrap/>
            <w:vAlign w:val="center"/>
          </w:tcPr>
          <w:p w14:paraId="5A794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170.59 </w:t>
            </w:r>
          </w:p>
        </w:tc>
        <w:tc>
          <w:tcPr>
            <w:tcW w:w="990" w:type="dxa"/>
            <w:tcBorders>
              <w:tl2br w:val="nil"/>
              <w:tr2bl w:val="nil"/>
            </w:tcBorders>
            <w:shd w:val="clear" w:color="auto" w:fill="auto"/>
            <w:noWrap/>
            <w:vAlign w:val="center"/>
          </w:tcPr>
          <w:p w14:paraId="157FD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100.00%</w:t>
            </w:r>
          </w:p>
        </w:tc>
      </w:tr>
    </w:tbl>
    <w:p w14:paraId="192ACB7C">
      <w:pPr>
        <w:ind w:firstLine="480"/>
        <w:rPr>
          <w:rFonts w:hint="default" w:ascii="Times New Roman" w:hAnsi="Times New Roman" w:cs="Times New Roman"/>
        </w:rPr>
      </w:pPr>
      <w:r>
        <w:rPr>
          <w:rFonts w:hint="default" w:ascii="Times New Roman" w:hAnsi="Times New Roman" w:cs="Times New Roman"/>
        </w:rPr>
        <w:t>通过对本工程水土流失类型、分布及土壤侵蚀强度和水土流失量进行预测、统计、分析，得出预测结论如下：</w:t>
      </w:r>
    </w:p>
    <w:p w14:paraId="3024AEAE">
      <w:pPr>
        <w:ind w:firstLine="480"/>
        <w:rPr>
          <w:rFonts w:hint="default" w:ascii="Times New Roman" w:hAnsi="Times New Roman" w:cs="Times New Roman"/>
        </w:rPr>
      </w:pPr>
      <w:bookmarkStart w:id="64" w:name="_Hlk73371217"/>
      <w:r>
        <w:rPr>
          <w:rFonts w:hint="default" w:ascii="Times New Roman" w:hAnsi="Times New Roman" w:cs="Times New Roman"/>
        </w:rPr>
        <w:t>（1）工程建设造成的水土流失主要类型为水力侵蚀，水土流失的预测时段为项目施工期和自然恢复期，新增水土流失主要发生在</w:t>
      </w:r>
      <w:r>
        <w:rPr>
          <w:rFonts w:hint="eastAsia" w:cs="Times New Roman"/>
          <w:lang w:val="en-US" w:eastAsia="zh-CN"/>
        </w:rPr>
        <w:t>绿化</w:t>
      </w:r>
      <w:r>
        <w:rPr>
          <w:rFonts w:hint="eastAsia" w:cs="Times New Roman"/>
          <w:lang w:eastAsia="zh-CN"/>
        </w:rPr>
        <w:t>区</w:t>
      </w:r>
      <w:r>
        <w:rPr>
          <w:rFonts w:hint="default" w:ascii="Times New Roman" w:hAnsi="Times New Roman" w:cs="Times New Roman"/>
        </w:rPr>
        <w:t>；</w:t>
      </w:r>
    </w:p>
    <w:p w14:paraId="29BAFAB1">
      <w:pPr>
        <w:ind w:firstLine="480"/>
        <w:rPr>
          <w:rFonts w:hint="eastAsia" w:ascii="Times New Roman" w:hAnsi="Times New Roman" w:eastAsia="仿宋_GB2312" w:cs="Times New Roman"/>
          <w:lang w:eastAsia="zh-CN"/>
        </w:rPr>
      </w:pPr>
      <w:r>
        <w:rPr>
          <w:rFonts w:hint="default" w:ascii="Times New Roman" w:hAnsi="Times New Roman" w:cs="Times New Roman"/>
        </w:rPr>
        <w:t>（2）本项目共开挖土石方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（其中表土剥离</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，建筑垃圾</w:t>
      </w:r>
      <w:r>
        <w:rPr>
          <w:rFonts w:hint="eastAsia" w:cs="Times New Roman"/>
          <w:lang w:val="en-US" w:eastAsia="zh-CN"/>
        </w:rPr>
        <w:t>204.60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，场地平整</w:t>
      </w:r>
      <w:r>
        <w:rPr>
          <w:rFonts w:hint="eastAsia" w:cs="Times New Roman"/>
          <w:lang w:val="en-US" w:eastAsia="zh-CN"/>
        </w:rPr>
        <w:t>3171.00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，基础开挖</w:t>
      </w:r>
      <w:r>
        <w:rPr>
          <w:rFonts w:hint="eastAsia" w:cs="Times New Roman"/>
          <w:lang w:val="en-US" w:eastAsia="zh-CN"/>
        </w:rPr>
        <w:t>4750.00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），回填土石方</w:t>
      </w:r>
      <w:r>
        <w:rPr>
          <w:rFonts w:hint="eastAsia" w:cs="Times New Roman"/>
          <w:lang w:val="en-US" w:eastAsia="zh-CN"/>
        </w:rPr>
        <w:t>10045.00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（其中绿化覆土</w:t>
      </w:r>
      <w:r>
        <w:rPr>
          <w:rFonts w:hint="eastAsia" w:cs="Times New Roman"/>
          <w:lang w:val="en-US" w:eastAsia="zh-CN"/>
        </w:rPr>
        <w:t>1920.00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，一般回填</w:t>
      </w:r>
      <w:r>
        <w:rPr>
          <w:rFonts w:hint="eastAsia" w:cs="Times New Roman"/>
          <w:lang w:val="en-US" w:eastAsia="zh-CN"/>
        </w:rPr>
        <w:t>8125.60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），项目区内调运土石方</w:t>
      </w:r>
      <w:r>
        <w:rPr>
          <w:rFonts w:hint="eastAsia" w:cs="Times New Roman"/>
          <w:lang w:val="en-US" w:eastAsia="zh-CN"/>
        </w:rPr>
        <w:t>4329.60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rPr>
        <w:t>，</w:t>
      </w:r>
      <w:r>
        <w:rPr>
          <w:rFonts w:hint="eastAsia" w:cs="Times New Roman"/>
          <w:color w:val="auto"/>
          <w:lang w:val="en-US" w:eastAsia="zh-CN"/>
        </w:rPr>
        <w:t>不</w:t>
      </w:r>
      <w:r>
        <w:rPr>
          <w:rFonts w:hint="default" w:ascii="Times New Roman" w:hAnsi="Times New Roman" w:cs="Times New Roman"/>
          <w:color w:val="auto"/>
        </w:rPr>
        <w:t>产生永久弃方</w:t>
      </w:r>
      <w:r>
        <w:rPr>
          <w:rFonts w:hint="eastAsia" w:ascii="Times New Roman" w:hAnsi="Times New Roman" w:cs="Times New Roman"/>
          <w:color w:val="auto"/>
          <w:lang w:val="en-US" w:eastAsia="zh-CN"/>
        </w:rPr>
        <w:t>；</w:t>
      </w:r>
    </w:p>
    <w:p w14:paraId="3A9565DF">
      <w:pPr>
        <w:ind w:firstLine="480"/>
        <w:rPr>
          <w:rFonts w:hint="default" w:ascii="Times New Roman" w:hAnsi="Times New Roman" w:cs="Times New Roman"/>
        </w:rPr>
      </w:pPr>
      <w:r>
        <w:rPr>
          <w:rFonts w:hint="default" w:ascii="Times New Roman" w:hAnsi="Times New Roman" w:cs="Times New Roman"/>
        </w:rPr>
        <w:t>（3）本项目损毁植被面积为</w:t>
      </w:r>
      <w:r>
        <w:rPr>
          <w:rFonts w:hint="eastAsia" w:cs="Times New Roman"/>
          <w:lang w:val="en-US" w:eastAsia="zh-CN"/>
        </w:rPr>
        <w:t>1.28</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0119FC47">
      <w:pPr>
        <w:ind w:firstLine="480"/>
        <w:rPr>
          <w:rFonts w:hint="default" w:ascii="Times New Roman" w:hAnsi="Times New Roman" w:cs="Times New Roman"/>
        </w:rPr>
      </w:pPr>
      <w:r>
        <w:rPr>
          <w:rFonts w:hint="default" w:ascii="Times New Roman" w:hAnsi="Times New Roman" w:cs="Times New Roman"/>
        </w:rPr>
        <w:t>（4）工程扰动原地貌、损坏土地面积为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，施工期可能造成水土流失面积为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038940F4">
      <w:pPr>
        <w:ind w:firstLine="480"/>
        <w:rPr>
          <w:rFonts w:hint="default" w:ascii="Times New Roman" w:hAnsi="Times New Roman" w:cs="Times New Roman"/>
        </w:rPr>
      </w:pPr>
      <w:r>
        <w:rPr>
          <w:rFonts w:hint="default" w:ascii="Times New Roman" w:hAnsi="Times New Roman" w:cs="Times New Roman"/>
        </w:rPr>
        <w:t>（5）</w:t>
      </w:r>
      <w:bookmarkEnd w:id="64"/>
      <w:r>
        <w:rPr>
          <w:rFonts w:hint="default" w:ascii="Times New Roman" w:hAnsi="Times New Roman" w:cs="Times New Roman"/>
        </w:rPr>
        <w:t>项目区原生水土流失量为</w:t>
      </w:r>
      <w:r>
        <w:rPr>
          <w:rFonts w:hint="eastAsia" w:cs="Times New Roman"/>
          <w:lang w:eastAsia="zh-CN"/>
        </w:rPr>
        <w:t>8.74t</w:t>
      </w:r>
      <w:r>
        <w:rPr>
          <w:rFonts w:hint="default" w:ascii="Times New Roman" w:hAnsi="Times New Roman" w:cs="Times New Roman"/>
        </w:rPr>
        <w:t>，本项目建设可能造成的水土流失总量为</w:t>
      </w:r>
      <w:r>
        <w:rPr>
          <w:rFonts w:hint="eastAsia" w:cs="Times New Roman"/>
          <w:lang w:eastAsia="zh-CN"/>
        </w:rPr>
        <w:t>179.33t</w:t>
      </w:r>
      <w:r>
        <w:rPr>
          <w:rFonts w:hint="default" w:ascii="Times New Roman" w:hAnsi="Times New Roman" w:cs="Times New Roman"/>
        </w:rPr>
        <w:t>，经计算，本项目建设新增水土流失总量为</w:t>
      </w:r>
      <w:r>
        <w:rPr>
          <w:rFonts w:hint="eastAsia" w:cs="Times New Roman"/>
          <w:lang w:eastAsia="zh-CN"/>
        </w:rPr>
        <w:t>170.59t</w:t>
      </w:r>
      <w:r>
        <w:rPr>
          <w:rFonts w:hint="default" w:ascii="Times New Roman" w:hAnsi="Times New Roman" w:cs="Times New Roman"/>
        </w:rPr>
        <w:t>。建构筑物区为本项目新增水土流失的重点区域。</w:t>
      </w:r>
    </w:p>
    <w:p w14:paraId="45E8B046">
      <w:pPr>
        <w:pStyle w:val="3"/>
        <w:rPr>
          <w:rFonts w:hint="default" w:ascii="Times New Roman" w:hAnsi="Times New Roman" w:cs="Times New Roman"/>
        </w:rPr>
      </w:pPr>
      <w:bookmarkStart w:id="65" w:name="_Toc165223581"/>
      <w:bookmarkStart w:id="66" w:name="_Toc72920044"/>
      <w:bookmarkStart w:id="67" w:name="_Toc520796584"/>
      <w:bookmarkStart w:id="68" w:name="_Toc35593954"/>
      <w:r>
        <w:rPr>
          <w:rFonts w:hint="default" w:ascii="Times New Roman" w:hAnsi="Times New Roman" w:cs="Times New Roman"/>
        </w:rPr>
        <w:t>水土流失危害分析</w:t>
      </w:r>
      <w:bookmarkEnd w:id="65"/>
      <w:bookmarkEnd w:id="66"/>
      <w:bookmarkEnd w:id="67"/>
      <w:bookmarkEnd w:id="68"/>
    </w:p>
    <w:p w14:paraId="7C68F31B">
      <w:pPr>
        <w:ind w:firstLine="480"/>
        <w:rPr>
          <w:rFonts w:hint="default" w:ascii="Times New Roman" w:hAnsi="Times New Roman" w:cs="Times New Roman"/>
        </w:rPr>
      </w:pPr>
      <w:r>
        <w:rPr>
          <w:rFonts w:hint="default" w:ascii="Times New Roman" w:hAnsi="Times New Roman" w:cs="Times New Roman"/>
        </w:rPr>
        <w:t>本项目在建设过程中，工程建设区及影响范围内的地表将遭受不同程度的扰动、破坏，局部地貌将发生较大的改变。如不采取任何防治措施，新增的</w:t>
      </w:r>
      <w:r>
        <w:rPr>
          <w:rFonts w:hint="eastAsia" w:cs="Times New Roman"/>
          <w:lang w:eastAsia="zh-CN"/>
        </w:rPr>
        <w:t>170.59t</w:t>
      </w:r>
      <w:r>
        <w:rPr>
          <w:rFonts w:hint="default" w:ascii="Times New Roman" w:hAnsi="Times New Roman" w:cs="Times New Roman"/>
        </w:rPr>
        <w:t>水土流失量不仅影响工程本身的建设及安全，也将对该区域的水土资源及生态环境带来不利影响，其可能产生的危害有以下几个方面：</w:t>
      </w:r>
    </w:p>
    <w:p w14:paraId="5EDC0262">
      <w:pPr>
        <w:ind w:firstLine="480"/>
        <w:rPr>
          <w:rFonts w:hint="default" w:ascii="Times New Roman" w:hAnsi="Times New Roman" w:cs="Times New Roman"/>
        </w:rPr>
      </w:pPr>
      <w:r>
        <w:rPr>
          <w:rFonts w:hint="default" w:ascii="Times New Roman" w:hAnsi="Times New Roman" w:cs="Times New Roman"/>
        </w:rPr>
        <w:t>（1）对周边生产生活的影响</w:t>
      </w:r>
    </w:p>
    <w:p w14:paraId="3CD04557">
      <w:pPr>
        <w:ind w:firstLine="480"/>
        <w:rPr>
          <w:rFonts w:hint="default" w:ascii="Times New Roman" w:hAnsi="Times New Roman" w:cs="Times New Roman"/>
        </w:rPr>
      </w:pPr>
      <w:r>
        <w:rPr>
          <w:rFonts w:hint="default" w:ascii="Times New Roman" w:hAnsi="Times New Roman" w:cs="Times New Roman"/>
        </w:rPr>
        <w:t>该工程的建设为进一步促进当地社会稳定和健康发展，具有重要意义。若工程建设区域可能产生的新增水土流失得不到有效防治，必将使建设区现有水土流失加剧，危及周边水系、道路和房屋，给建设区周边居民生产生活带来不利影响。</w:t>
      </w:r>
    </w:p>
    <w:p w14:paraId="281E6F02">
      <w:pPr>
        <w:ind w:firstLine="480"/>
        <w:rPr>
          <w:rFonts w:hint="default" w:ascii="Times New Roman" w:hAnsi="Times New Roman" w:cs="Times New Roman"/>
        </w:rPr>
      </w:pPr>
      <w:r>
        <w:rPr>
          <w:rFonts w:hint="default" w:ascii="Times New Roman" w:hAnsi="Times New Roman" w:cs="Times New Roman"/>
        </w:rPr>
        <w:t>（2）对周边排水设施的影响</w:t>
      </w:r>
    </w:p>
    <w:p w14:paraId="1ADADFB8">
      <w:pPr>
        <w:ind w:firstLine="480"/>
        <w:rPr>
          <w:rFonts w:hint="default" w:ascii="Times New Roman" w:hAnsi="Times New Roman" w:cs="Times New Roman"/>
        </w:rPr>
      </w:pPr>
      <w:r>
        <w:rPr>
          <w:rFonts w:hint="default" w:ascii="Times New Roman" w:hAnsi="Times New Roman" w:cs="Times New Roman"/>
        </w:rPr>
        <w:t>如防护不当，工程建设产生的水土流失将随降雨径流携带至周边雨水管网，影响管网运行安全。因此本方案增加本项目临时排水沟出水口处的沉沙措施，有效沉淀来水的泥沙，减少进入周边排水体系的泥沙含量。</w:t>
      </w:r>
    </w:p>
    <w:p w14:paraId="5FD69B85">
      <w:pPr>
        <w:ind w:firstLine="480"/>
        <w:rPr>
          <w:rFonts w:hint="default" w:ascii="Times New Roman" w:hAnsi="Times New Roman" w:cs="Times New Roman"/>
        </w:rPr>
      </w:pPr>
      <w:r>
        <w:rPr>
          <w:rFonts w:hint="default" w:ascii="Times New Roman" w:hAnsi="Times New Roman" w:cs="Times New Roman"/>
        </w:rPr>
        <w:t>（3）对主体工程安全运营的影响</w:t>
      </w:r>
    </w:p>
    <w:p w14:paraId="037BAD86">
      <w:pPr>
        <w:ind w:firstLine="480"/>
        <w:rPr>
          <w:rFonts w:hint="default" w:ascii="Times New Roman" w:hAnsi="Times New Roman" w:cs="Times New Roman"/>
        </w:rPr>
      </w:pPr>
      <w:r>
        <w:rPr>
          <w:rFonts w:hint="default" w:ascii="Times New Roman" w:hAnsi="Times New Roman" w:cs="Times New Roman"/>
        </w:rPr>
        <w:t>工程建设导致的水土流失与工程本身的安全息息相关。工程建设扰动地表，产生的大量土石方如不能及时有效地处理，造成水土流失将严重影响施工进度，以及工程的安全运行，也对会今后的运营安全造成一定影响。</w:t>
      </w:r>
    </w:p>
    <w:p w14:paraId="282E4FD1">
      <w:pPr>
        <w:pStyle w:val="3"/>
        <w:rPr>
          <w:rFonts w:hint="default" w:ascii="Times New Roman" w:hAnsi="Times New Roman" w:cs="Times New Roman"/>
        </w:rPr>
      </w:pPr>
      <w:bookmarkStart w:id="69" w:name="_Toc322787022"/>
      <w:bookmarkStart w:id="70" w:name="_Toc308978772"/>
      <w:bookmarkStart w:id="71" w:name="_Toc520796585"/>
      <w:bookmarkStart w:id="72" w:name="_Toc321751152"/>
      <w:bookmarkStart w:id="73" w:name="_Toc308978679"/>
      <w:bookmarkStart w:id="74" w:name="_Toc72920045"/>
      <w:bookmarkStart w:id="75" w:name="_Toc35593955"/>
      <w:bookmarkStart w:id="76" w:name="_Toc165223582"/>
      <w:r>
        <w:rPr>
          <w:rFonts w:hint="default" w:ascii="Times New Roman" w:hAnsi="Times New Roman" w:cs="Times New Roman"/>
        </w:rPr>
        <w:t>指导性意见</w:t>
      </w:r>
      <w:bookmarkEnd w:id="69"/>
      <w:bookmarkEnd w:id="70"/>
      <w:bookmarkEnd w:id="71"/>
      <w:bookmarkEnd w:id="72"/>
      <w:bookmarkEnd w:id="73"/>
      <w:bookmarkEnd w:id="74"/>
      <w:bookmarkEnd w:id="75"/>
      <w:bookmarkEnd w:id="76"/>
    </w:p>
    <w:p w14:paraId="3545E457">
      <w:pPr>
        <w:ind w:firstLine="480"/>
        <w:rPr>
          <w:rFonts w:hint="default" w:ascii="Times New Roman" w:hAnsi="Times New Roman" w:cs="Times New Roman"/>
        </w:rPr>
      </w:pPr>
      <w:r>
        <w:rPr>
          <w:rFonts w:hint="default" w:ascii="Times New Roman" w:hAnsi="Times New Roman" w:cs="Times New Roman"/>
        </w:rPr>
        <w:t>（1）防治措施的指导性意见</w:t>
      </w:r>
    </w:p>
    <w:p w14:paraId="5E641DFA">
      <w:pPr>
        <w:ind w:firstLine="480"/>
        <w:rPr>
          <w:rFonts w:hint="default" w:ascii="Times New Roman" w:hAnsi="Times New Roman" w:cs="Times New Roman"/>
        </w:rPr>
      </w:pPr>
      <w:r>
        <w:rPr>
          <w:rFonts w:hint="default" w:ascii="Times New Roman" w:hAnsi="Times New Roman" w:cs="Times New Roman"/>
        </w:rPr>
        <w:t>根据以上分析结果和项目区水土流失类型进行综合分析，项目区侵蚀类型为水力侵蚀。具体结合建设工程的布局、施工工艺，提出针对性的防治措施，减少施工过程中产生的水土流失量。场地平整、基础开挖、表土临时堆放是产生水土流失的重点来源，水土流失强度较大，应加强施工期间的防护措施。同时，在施工过程中必须加强管理，避免抛洒，杜绝临时堆土随意排放。</w:t>
      </w:r>
    </w:p>
    <w:p w14:paraId="09B4F846">
      <w:pPr>
        <w:ind w:firstLine="480"/>
        <w:rPr>
          <w:rFonts w:hint="default" w:ascii="Times New Roman" w:hAnsi="Times New Roman" w:cs="Times New Roman"/>
        </w:rPr>
      </w:pPr>
      <w:r>
        <w:rPr>
          <w:rFonts w:hint="default" w:ascii="Times New Roman" w:hAnsi="Times New Roman" w:cs="Times New Roman"/>
        </w:rPr>
        <w:t>（2）施工时序的指导性意见</w:t>
      </w:r>
    </w:p>
    <w:p w14:paraId="07B662E0">
      <w:pPr>
        <w:ind w:firstLine="480"/>
        <w:rPr>
          <w:rFonts w:hint="default" w:ascii="Times New Roman" w:hAnsi="Times New Roman" w:cs="Times New Roman"/>
        </w:rPr>
      </w:pPr>
      <w:r>
        <w:rPr>
          <w:rFonts w:hint="default" w:ascii="Times New Roman" w:hAnsi="Times New Roman" w:cs="Times New Roman"/>
        </w:rPr>
        <w:t>本项目水土流失主要为水蚀，水土流失主要发生在雨季，集中在5~10月份，雨季施工应加强临时防护。对在雨季不得不实施的工程必须做好防护措施，使水土保持工程与主体工程在施工时相互配套，特别做好临时防护工程，减少施工中的水土流失。</w:t>
      </w:r>
    </w:p>
    <w:p w14:paraId="106D3A3F">
      <w:pPr>
        <w:ind w:firstLine="480"/>
        <w:rPr>
          <w:rFonts w:hint="default" w:ascii="Times New Roman" w:hAnsi="Times New Roman" w:cs="Times New Roman"/>
        </w:rPr>
      </w:pPr>
      <w:r>
        <w:rPr>
          <w:rFonts w:hint="default" w:ascii="Times New Roman" w:hAnsi="Times New Roman" w:cs="Times New Roman"/>
        </w:rPr>
        <w:t>（3）水土保持监测的指导性意见</w:t>
      </w:r>
    </w:p>
    <w:p w14:paraId="120210C9">
      <w:pPr>
        <w:ind w:firstLine="480"/>
        <w:rPr>
          <w:rFonts w:hint="default" w:ascii="Times New Roman" w:hAnsi="Times New Roman" w:cs="Times New Roman"/>
        </w:rPr>
      </w:pPr>
      <w:r>
        <w:rPr>
          <w:rFonts w:hint="default" w:ascii="Times New Roman" w:hAnsi="Times New Roman" w:cs="Times New Roman"/>
        </w:rPr>
        <w:t>从水土流失预测结果可以看出，工程建设期对当地水土流失的影响主要表现为施工过程中对原有地貌、土体结构和植被造成不同程度地破坏，使之丧失或降低了原来所具有的保持水土的功能，在遇到不利的气候条件的情况下，即可产生严重的水土流失。</w:t>
      </w:r>
    </w:p>
    <w:p w14:paraId="1C6FDC13">
      <w:pPr>
        <w:ind w:firstLine="480"/>
        <w:rPr>
          <w:rFonts w:hint="default" w:ascii="Times New Roman" w:hAnsi="Times New Roman" w:cs="Times New Roman"/>
        </w:rPr>
      </w:pPr>
      <w:r>
        <w:rPr>
          <w:rFonts w:hint="default" w:ascii="Times New Roman" w:hAnsi="Times New Roman" w:cs="Times New Roman"/>
        </w:rPr>
        <w:t>根据水土流失预测强度和总量，本项目水土流失监测的重点时段为施工期，重点监测区为</w:t>
      </w:r>
      <w:r>
        <w:rPr>
          <w:rFonts w:hint="eastAsia" w:cs="Times New Roman"/>
          <w:lang w:eastAsia="zh-CN"/>
        </w:rPr>
        <w:t>道路及硬化区</w:t>
      </w:r>
      <w:r>
        <w:rPr>
          <w:rFonts w:hint="default" w:ascii="Times New Roman" w:hAnsi="Times New Roman" w:cs="Times New Roman"/>
        </w:rPr>
        <w:t>。</w:t>
      </w:r>
    </w:p>
    <w:p w14:paraId="55CADD3A">
      <w:pPr>
        <w:ind w:firstLine="480"/>
        <w:rPr>
          <w:rFonts w:hint="default" w:ascii="Times New Roman" w:hAnsi="Times New Roman" w:cs="Times New Roman"/>
        </w:rPr>
      </w:pPr>
      <w:r>
        <w:rPr>
          <w:rFonts w:hint="default" w:ascii="Times New Roman" w:hAnsi="Times New Roman" w:cs="Times New Roman"/>
        </w:rPr>
        <w:t>虽然项目建设存在着损坏原地貌、大量土石方开挖等可能造成水土流失的不利因素，但通过制定科学的水土保持方案，采取相应的对策措施，对可能造成的水土流失进行积极有效的防治，是可以减少工程建设所引起的水土流失及其带来的不利影响。</w:t>
      </w:r>
    </w:p>
    <w:p w14:paraId="1A2AF3EC">
      <w:pPr>
        <w:ind w:firstLine="480"/>
        <w:rPr>
          <w:rFonts w:hint="default" w:ascii="Times New Roman" w:hAnsi="Times New Roman" w:cs="Times New Roman"/>
        </w:rPr>
      </w:pPr>
      <w:r>
        <w:rPr>
          <w:rFonts w:hint="default" w:ascii="Times New Roman" w:hAnsi="Times New Roman" w:cs="Times New Roman"/>
        </w:rPr>
        <w:t>根据《中华人民共和国水土保持法》规定，适时针对不同施工区域采取相应的水土保持措施，确保工程建设过程中新增的水土流失得到有效控制，并对项目区原有的水土流失进行治理，保护并改善项目区的生态环境。建设过程中必须加强管理，文明施工，避免抛洒，杜绝开挖土方随意排放，注意加强施工过程中的临时防护措施，确保防患于未然。</w:t>
      </w:r>
    </w:p>
    <w:p w14:paraId="68E73D2C">
      <w:pPr>
        <w:ind w:firstLine="480"/>
        <w:rPr>
          <w:rFonts w:hint="default" w:ascii="Times New Roman" w:hAnsi="Times New Roman" w:cs="Times New Roman"/>
          <w:lang w:val="zh-CN"/>
        </w:rPr>
      </w:pPr>
    </w:p>
    <w:p w14:paraId="0BB1D278">
      <w:pPr>
        <w:ind w:firstLine="480"/>
        <w:rPr>
          <w:rFonts w:hint="default" w:ascii="Times New Roman" w:hAnsi="Times New Roman" w:cs="Times New Roman"/>
          <w:lang w:val="zh-CN"/>
        </w:rPr>
      </w:pPr>
    </w:p>
    <w:p w14:paraId="2EDA5B95">
      <w:pPr>
        <w:ind w:firstLine="480"/>
        <w:rPr>
          <w:rFonts w:hint="default" w:ascii="Times New Roman" w:hAnsi="Times New Roman" w:cs="Times New Roman"/>
          <w:lang w:val="zh-CN"/>
        </w:rPr>
        <w:sectPr>
          <w:headerReference r:id="rId19"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9B45BB">
      <w:pPr>
        <w:pStyle w:val="2"/>
        <w:jc w:val="center"/>
        <w:rPr>
          <w:rFonts w:hint="default" w:ascii="Times New Roman" w:hAnsi="Times New Roman" w:cs="Times New Roman"/>
        </w:rPr>
      </w:pPr>
      <w:r>
        <w:rPr>
          <w:rFonts w:hint="default" w:ascii="Times New Roman" w:hAnsi="Times New Roman" w:cs="Times New Roman"/>
        </w:rPr>
        <w:t xml:space="preserve"> </w:t>
      </w:r>
      <w:bookmarkStart w:id="77" w:name="_Toc165223583"/>
      <w:r>
        <w:rPr>
          <w:rFonts w:hint="default" w:ascii="Times New Roman" w:hAnsi="Times New Roman" w:cs="Times New Roman"/>
        </w:rPr>
        <w:t>水土保持措施</w:t>
      </w:r>
      <w:bookmarkEnd w:id="77"/>
    </w:p>
    <w:p w14:paraId="27EEAC92">
      <w:pPr>
        <w:pStyle w:val="3"/>
        <w:rPr>
          <w:rFonts w:hint="default" w:ascii="Times New Roman" w:hAnsi="Times New Roman" w:cs="Times New Roman"/>
        </w:rPr>
      </w:pPr>
      <w:bookmarkStart w:id="78" w:name="_Toc165223584"/>
      <w:bookmarkStart w:id="79" w:name="_Toc72920047"/>
      <w:r>
        <w:rPr>
          <w:rFonts w:hint="default" w:ascii="Times New Roman" w:hAnsi="Times New Roman" w:cs="Times New Roman"/>
        </w:rPr>
        <w:t>防治区划分</w:t>
      </w:r>
      <w:bookmarkEnd w:id="78"/>
      <w:bookmarkEnd w:id="79"/>
    </w:p>
    <w:p w14:paraId="48F29FBF">
      <w:pPr>
        <w:pStyle w:val="4"/>
        <w:rPr>
          <w:rFonts w:hint="default" w:ascii="Times New Roman" w:hAnsi="Times New Roman" w:cs="Times New Roman"/>
        </w:rPr>
      </w:pPr>
      <w:bookmarkStart w:id="80" w:name="_Toc322787014"/>
      <w:r>
        <w:rPr>
          <w:rFonts w:hint="default" w:ascii="Times New Roman" w:hAnsi="Times New Roman" w:cs="Times New Roman"/>
        </w:rPr>
        <w:t>水土流失防治责任范围</w:t>
      </w:r>
      <w:bookmarkEnd w:id="80"/>
    </w:p>
    <w:p w14:paraId="2506EF20">
      <w:pPr>
        <w:pStyle w:val="5"/>
        <w:rPr>
          <w:rFonts w:hint="default" w:ascii="Times New Roman" w:hAnsi="Times New Roman" w:cs="Times New Roman"/>
          <w:lang w:val="zh-CN"/>
        </w:rPr>
      </w:pPr>
      <w:r>
        <w:rPr>
          <w:rFonts w:hint="default" w:ascii="Times New Roman" w:hAnsi="Times New Roman" w:cs="Times New Roman"/>
          <w:lang w:val="zh-CN"/>
        </w:rPr>
        <w:t>防治责任范围确定依据</w:t>
      </w:r>
    </w:p>
    <w:p w14:paraId="07405521">
      <w:pPr>
        <w:ind w:firstLine="480"/>
        <w:rPr>
          <w:rFonts w:hint="default" w:ascii="Times New Roman" w:hAnsi="Times New Roman" w:cs="Times New Roman"/>
        </w:rPr>
      </w:pPr>
      <w:r>
        <w:rPr>
          <w:rFonts w:hint="default" w:ascii="Times New Roman" w:hAnsi="Times New Roman" w:cs="Times New Roman"/>
        </w:rPr>
        <w:t>根据水利部《生产建设项目水土保持技术标准》(GB50433-2018)中规定，水土流失防治责任范围为生产建设单位依法承担水土流失防治义务的区域。本项目水土流失防治责任范围包括建构筑物区、</w:t>
      </w:r>
      <w:r>
        <w:rPr>
          <w:rFonts w:hint="eastAsia" w:cs="Times New Roman"/>
          <w:lang w:eastAsia="zh-CN"/>
        </w:rPr>
        <w:t>道路及硬化区</w:t>
      </w:r>
      <w:r>
        <w:rPr>
          <w:rFonts w:hint="default" w:ascii="Times New Roman" w:hAnsi="Times New Roman" w:cs="Times New Roman"/>
        </w:rPr>
        <w:t>和绿化区。</w:t>
      </w:r>
    </w:p>
    <w:p w14:paraId="3E1AE0D5">
      <w:pPr>
        <w:pStyle w:val="5"/>
        <w:rPr>
          <w:rFonts w:hint="default" w:ascii="Times New Roman" w:hAnsi="Times New Roman" w:cs="Times New Roman"/>
          <w:lang w:val="zh-CN"/>
        </w:rPr>
      </w:pPr>
      <w:bookmarkStart w:id="81" w:name="_Toc321751144"/>
      <w:r>
        <w:rPr>
          <w:rFonts w:hint="default" w:ascii="Times New Roman" w:hAnsi="Times New Roman" w:cs="Times New Roman"/>
          <w:lang w:val="zh-CN"/>
        </w:rPr>
        <w:t>防治责任范围的确定</w:t>
      </w:r>
      <w:bookmarkEnd w:id="81"/>
    </w:p>
    <w:p w14:paraId="255CBD19">
      <w:pPr>
        <w:ind w:firstLine="480"/>
        <w:rPr>
          <w:rFonts w:hint="default" w:ascii="Times New Roman" w:hAnsi="Times New Roman" w:cs="Times New Roman"/>
        </w:rPr>
      </w:pPr>
      <w:r>
        <w:rPr>
          <w:rFonts w:hint="default" w:ascii="Times New Roman" w:hAnsi="Times New Roman" w:cs="Times New Roman"/>
        </w:rPr>
        <w:t>结合本项目特点及项目区状况，我公司作为方案编制单位拟定了项目的水土流失防治范围及面积，经建设单位、编制单位以及项目所在地会泽县水务局相关人员进行现场踏勘，经分析研究，对</w:t>
      </w:r>
      <w:r>
        <w:rPr>
          <w:rFonts w:hint="eastAsia" w:cs="Times New Roman"/>
          <w:lang w:eastAsia="zh-CN"/>
        </w:rPr>
        <w:t>待补镇安康安置点帮扶车间建设项目</w:t>
      </w:r>
      <w:r>
        <w:rPr>
          <w:rFonts w:hint="default" w:ascii="Times New Roman" w:hAnsi="Times New Roman" w:cs="Times New Roman"/>
        </w:rPr>
        <w:t>水土流失防治责任范围予以了确认。</w:t>
      </w:r>
    </w:p>
    <w:p w14:paraId="124B88E3">
      <w:pPr>
        <w:adjustRightInd w:val="0"/>
        <w:snapToGrid w:val="0"/>
        <w:ind w:firstLine="480"/>
        <w:rPr>
          <w:rFonts w:hint="default" w:ascii="Times New Roman" w:hAnsi="Times New Roman" w:eastAsia="仿宋_GB2312" w:cs="Times New Roman"/>
          <w:lang w:val="en-US" w:eastAsia="zh-CN"/>
        </w:rPr>
      </w:pPr>
      <w:r>
        <w:rPr>
          <w:rFonts w:hint="default" w:ascii="Times New Roman" w:hAnsi="Times New Roman" w:cs="Times New Roman"/>
        </w:rPr>
        <w:t>经确认，本项目水土流失防治责任范围为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。包括</w:t>
      </w:r>
      <w:r>
        <w:rPr>
          <w:rFonts w:hint="eastAsia" w:cs="Times New Roman"/>
          <w:lang w:val="en-US" w:eastAsia="zh-CN"/>
        </w:rPr>
        <w:t>地块一和地块二，各地块包括</w:t>
      </w:r>
      <w:r>
        <w:rPr>
          <w:rFonts w:hint="default" w:ascii="Times New Roman" w:hAnsi="Times New Roman" w:cs="Times New Roman"/>
          <w:lang w:val="zh-CN"/>
        </w:rPr>
        <w:t>建构筑物区、</w:t>
      </w:r>
      <w:r>
        <w:rPr>
          <w:rFonts w:hint="eastAsia" w:cs="Times New Roman"/>
          <w:lang w:val="zh-CN"/>
        </w:rPr>
        <w:t>道路及硬化区、</w:t>
      </w:r>
      <w:r>
        <w:rPr>
          <w:rFonts w:hint="default" w:ascii="Times New Roman" w:hAnsi="Times New Roman" w:cs="Times New Roman"/>
          <w:lang w:val="zh-CN"/>
        </w:rPr>
        <w:t>绿化区</w:t>
      </w:r>
      <w:r>
        <w:rPr>
          <w:rFonts w:hint="default" w:ascii="Times New Roman" w:hAnsi="Times New Roman" w:cs="Times New Roman"/>
        </w:rPr>
        <w:t>及附属配套设施等。</w:t>
      </w:r>
      <w:bookmarkStart w:id="82" w:name="_Hlk42954778"/>
      <w:r>
        <w:rPr>
          <w:rFonts w:hint="eastAsia" w:cs="Times New Roman"/>
          <w:lang w:val="en-US" w:eastAsia="zh-CN"/>
        </w:rPr>
        <w:t>其中地块一</w:t>
      </w:r>
      <w:r>
        <w:rPr>
          <w:rFonts w:hint="default" w:ascii="Times New Roman" w:hAnsi="Times New Roman" w:cs="Times New Roman"/>
          <w:lang w:val="zh-CN"/>
        </w:rPr>
        <w:t>占地面积为</w:t>
      </w:r>
      <w:r>
        <w:rPr>
          <w:rFonts w:hint="eastAsia" w:cs="Times New Roman"/>
          <w:lang w:val="en-US" w:eastAsia="zh-CN"/>
        </w:rPr>
        <w:t>0.60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30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0.0</w:t>
      </w:r>
      <w:r>
        <w:rPr>
          <w:rFonts w:hint="eastAsia" w:cs="Times New Roman"/>
          <w:lang w:val="en-US" w:eastAsia="zh-CN"/>
        </w:rPr>
        <w:t>9</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地块二</w:t>
      </w:r>
      <w:r>
        <w:rPr>
          <w:rFonts w:hint="default" w:ascii="Times New Roman" w:hAnsi="Times New Roman" w:cs="Times New Roman"/>
          <w:lang w:val="zh-CN"/>
        </w:rPr>
        <w:t>占地面积为</w:t>
      </w:r>
      <w:r>
        <w:rPr>
          <w:rFonts w:hint="eastAsia" w:cs="Times New Roman"/>
          <w:lang w:val="en-US" w:eastAsia="zh-CN"/>
        </w:rPr>
        <w:t>0.91</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default" w:ascii="Times New Roman" w:hAnsi="Times New Roman" w:cs="Times New Roman"/>
          <w:lang w:val="zh-CN"/>
        </w:rPr>
        <w:t>包括建构筑物区0.</w:t>
      </w:r>
      <w:r>
        <w:rPr>
          <w:rFonts w:hint="eastAsia" w:cs="Times New Roman"/>
          <w:lang w:val="en-US" w:eastAsia="zh-CN"/>
        </w:rPr>
        <w:t>57</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w:t>
      </w:r>
      <w:r>
        <w:rPr>
          <w:rFonts w:hint="eastAsia" w:cs="Times New Roman"/>
          <w:lang w:val="zh-CN"/>
        </w:rPr>
        <w:t>道路及硬化区</w:t>
      </w:r>
      <w:r>
        <w:rPr>
          <w:rFonts w:hint="default" w:ascii="Times New Roman" w:hAnsi="Times New Roman" w:cs="Times New Roman"/>
          <w:lang w:val="zh-CN"/>
        </w:rPr>
        <w:t>0.</w:t>
      </w:r>
      <w:r>
        <w:rPr>
          <w:rFonts w:hint="eastAsia" w:cs="Times New Roman"/>
          <w:lang w:val="en-US" w:eastAsia="zh-CN"/>
        </w:rPr>
        <w:t>20</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default" w:ascii="Times New Roman" w:hAnsi="Times New Roman" w:cs="Times New Roman"/>
          <w:lang w:val="zh-CN"/>
        </w:rPr>
        <w:t>，绿化区</w:t>
      </w:r>
      <w:r>
        <w:rPr>
          <w:rFonts w:hint="default" w:ascii="Times New Roman" w:hAnsi="Times New Roman" w:cs="Times New Roman"/>
        </w:rPr>
        <w:t>0.</w:t>
      </w:r>
      <w:r>
        <w:rPr>
          <w:rFonts w:hint="eastAsia" w:cs="Times New Roman"/>
          <w:lang w:val="en-US" w:eastAsia="zh-CN"/>
        </w:rPr>
        <w:t>14</w:t>
      </w:r>
      <w:r>
        <w:rPr>
          <w:rFonts w:hint="default" w:ascii="Times New Roman" w:hAnsi="Times New Roman" w:cs="Times New Roman"/>
          <w:lang w:val="zh-CN"/>
        </w:rPr>
        <w:t>hm</w:t>
      </w:r>
      <w:r>
        <w:rPr>
          <w:rFonts w:hint="default" w:ascii="Times New Roman" w:hAnsi="Times New Roman" w:cs="Times New Roman"/>
          <w:vertAlign w:val="superscript"/>
          <w:lang w:val="zh-CN"/>
        </w:rPr>
        <w:t>2</w:t>
      </w:r>
      <w:r>
        <w:rPr>
          <w:rFonts w:hint="eastAsia" w:cs="Times New Roman"/>
          <w:lang w:val="zh-CN"/>
        </w:rPr>
        <w:t>）</w:t>
      </w:r>
      <w:r>
        <w:rPr>
          <w:rFonts w:hint="eastAsia" w:cs="Times New Roman"/>
          <w:lang w:val="en-US" w:eastAsia="zh-CN"/>
        </w:rPr>
        <w:t>。</w:t>
      </w:r>
    </w:p>
    <w:bookmarkEnd w:id="82"/>
    <w:p w14:paraId="355A6BBC">
      <w:pPr>
        <w:ind w:firstLine="480"/>
        <w:rPr>
          <w:rFonts w:hint="default" w:ascii="Times New Roman" w:hAnsi="Times New Roman" w:cs="Times New Roman"/>
        </w:rPr>
      </w:pPr>
      <w:r>
        <w:rPr>
          <w:rFonts w:hint="default" w:ascii="Times New Roman" w:hAnsi="Times New Roman" w:cs="Times New Roman"/>
        </w:rPr>
        <w:t>综上所述，本项目防治责任范围面积为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，项目区水土流失防治责任范围面积详见表5-1。</w:t>
      </w:r>
    </w:p>
    <w:p w14:paraId="01D85391">
      <w:pPr>
        <w:pStyle w:val="83"/>
        <w:jc w:val="left"/>
        <w:rPr>
          <w:rFonts w:hint="default" w:ascii="Times New Roman" w:hAnsi="Times New Roman" w:eastAsia="仿宋_GB2312" w:cs="Times New Roman"/>
          <w:b/>
          <w:bCs w:val="0"/>
          <w:vertAlign w:val="superscript"/>
        </w:rPr>
      </w:pPr>
      <w:r>
        <w:rPr>
          <w:rFonts w:hint="default" w:ascii="Times New Roman" w:hAnsi="Times New Roman" w:eastAsia="仿宋_GB2312" w:cs="Times New Roman"/>
          <w:b/>
          <w:bCs w:val="0"/>
        </w:rPr>
        <w:t>表5-1                  水土流失防治责任范围面积统计表           单位：hm</w:t>
      </w:r>
      <w:r>
        <w:rPr>
          <w:rFonts w:hint="default" w:ascii="Times New Roman" w:hAnsi="Times New Roman" w:eastAsia="仿宋_GB2312" w:cs="Times New Roman"/>
          <w:b/>
          <w:bCs w:val="0"/>
          <w:vertAlign w:val="superscript"/>
        </w:rPr>
        <w:t>2</w:t>
      </w:r>
    </w:p>
    <w:tbl>
      <w:tblPr>
        <w:tblStyle w:val="27"/>
        <w:tblW w:w="9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64"/>
        <w:gridCol w:w="2018"/>
        <w:gridCol w:w="2537"/>
        <w:gridCol w:w="1815"/>
        <w:gridCol w:w="1546"/>
      </w:tblGrid>
      <w:tr w14:paraId="2031C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restart"/>
            <w:tcBorders>
              <w:top w:val="single" w:color="000000" w:sz="12"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4DC952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w:t>
            </w:r>
          </w:p>
        </w:tc>
        <w:tc>
          <w:tcPr>
            <w:tcW w:w="2018" w:type="dxa"/>
            <w:vMerge w:val="restart"/>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640086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项目分区</w:t>
            </w:r>
          </w:p>
        </w:tc>
        <w:tc>
          <w:tcPr>
            <w:tcW w:w="2537" w:type="dxa"/>
            <w:tcBorders>
              <w:top w:val="single" w:color="000000" w:sz="12"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71F10B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占地类型及数量（hm</w:t>
            </w:r>
            <w:r>
              <w:rPr>
                <w:rFonts w:hint="eastAsia" w:ascii="Times New Roman" w:hAnsi="Times New Roman" w:cs="Times New Roman"/>
                <w:color w:val="000000"/>
                <w:kern w:val="0"/>
                <w:sz w:val="21"/>
                <w:szCs w:val="21"/>
                <w:vertAlign w:val="superscript"/>
                <w:lang w:val="en-US" w:eastAsia="zh-CN"/>
              </w:rPr>
              <w:t>2</w:t>
            </w:r>
            <w:r>
              <w:rPr>
                <w:rFonts w:hint="eastAsia" w:ascii="Times New Roman" w:hAnsi="Times New Roman" w:cs="Times New Roman"/>
                <w:color w:val="000000"/>
                <w:kern w:val="0"/>
                <w:sz w:val="21"/>
                <w:szCs w:val="21"/>
                <w:lang w:val="en-US" w:eastAsia="zh-CN"/>
              </w:rPr>
              <w:t>）</w:t>
            </w:r>
          </w:p>
        </w:tc>
        <w:tc>
          <w:tcPr>
            <w:tcW w:w="1815" w:type="dxa"/>
            <w:vMerge w:val="restart"/>
            <w:tcBorders>
              <w:top w:val="single" w:color="000000" w:sz="12"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2B0D33A6">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占地面积（hm2）</w:t>
            </w:r>
          </w:p>
        </w:tc>
        <w:tc>
          <w:tcPr>
            <w:tcW w:w="1546" w:type="dxa"/>
            <w:vMerge w:val="restart"/>
            <w:tcBorders>
              <w:top w:val="single" w:color="000000" w:sz="12"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29AB108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占地性质</w:t>
            </w:r>
          </w:p>
        </w:tc>
      </w:tr>
      <w:tr w14:paraId="5097D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D0EE5A7">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DC19902">
            <w:pPr>
              <w:spacing w:line="240" w:lineRule="auto"/>
              <w:ind w:firstLine="0" w:firstLineChars="0"/>
              <w:jc w:val="center"/>
              <w:rPr>
                <w:rFonts w:hint="eastAsia" w:ascii="Times New Roman" w:hAnsi="Times New Roman" w:cs="Times New Roman"/>
                <w:color w:val="000000"/>
                <w:kern w:val="0"/>
                <w:sz w:val="21"/>
                <w:szCs w:val="21"/>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5E63D8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建设用地</w:t>
            </w:r>
          </w:p>
        </w:tc>
        <w:tc>
          <w:tcPr>
            <w:tcW w:w="1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vAlign w:val="center"/>
          </w:tcPr>
          <w:p w14:paraId="00336111">
            <w:pPr>
              <w:spacing w:line="240" w:lineRule="auto"/>
              <w:ind w:firstLine="0" w:firstLineChars="0"/>
              <w:jc w:val="center"/>
              <w:rPr>
                <w:rFonts w:hint="eastAsia" w:ascii="Times New Roman" w:hAnsi="Times New Roman" w:cs="Times New Roman"/>
                <w:color w:val="000000"/>
                <w:kern w:val="0"/>
                <w:sz w:val="21"/>
                <w:szCs w:val="21"/>
              </w:rPr>
            </w:pPr>
          </w:p>
        </w:tc>
        <w:tc>
          <w:tcPr>
            <w:tcW w:w="1546" w:type="dxa"/>
            <w:vMerge w:val="continue"/>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474B5BC5">
            <w:pPr>
              <w:spacing w:line="240" w:lineRule="auto"/>
              <w:ind w:firstLine="0" w:firstLineChars="0"/>
              <w:jc w:val="center"/>
              <w:rPr>
                <w:rFonts w:hint="eastAsia" w:ascii="Times New Roman" w:hAnsi="Times New Roman" w:cs="Times New Roman"/>
                <w:color w:val="000000"/>
                <w:kern w:val="0"/>
                <w:sz w:val="21"/>
                <w:szCs w:val="21"/>
              </w:rPr>
            </w:pPr>
          </w:p>
        </w:tc>
      </w:tr>
      <w:tr w14:paraId="6E6AC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2799C4F">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地块一</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4555FED">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0437926">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0.30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1F92A0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0.30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311C24E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496B1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3C20678">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87E4FC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984386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007E6B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0.21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672800E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27BC3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0CC2682">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D1DAE42">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9F1BED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0.09</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D83C57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0.09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0621060">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34EEA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86D4CEA">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1818AC4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0086A2C">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0.60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EBAFCF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0.60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31A19B1C">
            <w:pPr>
              <w:spacing w:line="240" w:lineRule="auto"/>
              <w:ind w:firstLine="0" w:firstLineChars="0"/>
              <w:jc w:val="center"/>
              <w:rPr>
                <w:rFonts w:hint="eastAsia" w:ascii="Times New Roman" w:hAnsi="Times New Roman" w:cs="Times New Roman"/>
                <w:color w:val="000000"/>
                <w:kern w:val="0"/>
                <w:sz w:val="21"/>
                <w:szCs w:val="21"/>
              </w:rPr>
            </w:pPr>
          </w:p>
        </w:tc>
      </w:tr>
      <w:tr w14:paraId="1E08C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restart"/>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F87AFC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地块二</w:t>
            </w: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F7E639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建构筑物区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34CA59F">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0.57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A00059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0.57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10BEADE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421A8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9FAA9E6">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3C57C5B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道路及硬化区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838B41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0.20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23E329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0.20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01D3A878">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6BD22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878E53A">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4AF560A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绿化区</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9B6C9FE">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0.14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66E4EE8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0.14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4D0D3A23">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永久占地</w:t>
            </w:r>
          </w:p>
        </w:tc>
      </w:tr>
      <w:tr w14:paraId="731C3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1464" w:type="dxa"/>
            <w:vMerge w:val="continue"/>
            <w:tcBorders>
              <w:top w:val="single" w:color="000000" w:sz="4" w:space="0"/>
              <w:left w:val="single" w:color="000000" w:sz="12"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5198ACD8">
            <w:pPr>
              <w:spacing w:line="240" w:lineRule="auto"/>
              <w:ind w:firstLine="0" w:firstLineChars="0"/>
              <w:jc w:val="center"/>
              <w:rPr>
                <w:rFonts w:hint="eastAsia" w:ascii="Times New Roman" w:hAnsi="Times New Roman" w:cs="Times New Roman"/>
                <w:color w:val="000000"/>
                <w:kern w:val="0"/>
                <w:sz w:val="21"/>
                <w:szCs w:val="21"/>
              </w:rPr>
            </w:pPr>
          </w:p>
        </w:tc>
        <w:tc>
          <w:tcPr>
            <w:tcW w:w="2018"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7D89AE9A">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小计</w:t>
            </w:r>
          </w:p>
        </w:tc>
        <w:tc>
          <w:tcPr>
            <w:tcW w:w="2537"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267E6404">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0.91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0" w:type="dxa"/>
              <w:left w:w="0" w:type="dxa"/>
              <w:bottom w:w="0" w:type="dxa"/>
              <w:right w:w="0" w:type="dxa"/>
            </w:tcMar>
            <w:vAlign w:val="center"/>
          </w:tcPr>
          <w:p w14:paraId="06235325">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 xml:space="preserve">0.91 </w:t>
            </w:r>
          </w:p>
        </w:tc>
        <w:tc>
          <w:tcPr>
            <w:tcW w:w="1546" w:type="dxa"/>
            <w:tcBorders>
              <w:top w:val="single" w:color="000000" w:sz="4" w:space="0"/>
              <w:left w:val="single" w:color="000000" w:sz="4" w:space="0"/>
              <w:bottom w:val="single" w:color="000000" w:sz="4" w:space="0"/>
              <w:right w:val="single" w:color="000000" w:sz="12" w:space="0"/>
            </w:tcBorders>
            <w:shd w:val="clear" w:color="auto" w:fill="auto"/>
            <w:noWrap/>
            <w:tcMar>
              <w:top w:w="0" w:type="dxa"/>
              <w:left w:w="0" w:type="dxa"/>
              <w:bottom w:w="0" w:type="dxa"/>
              <w:right w:w="0" w:type="dxa"/>
            </w:tcMar>
            <w:vAlign w:val="center"/>
          </w:tcPr>
          <w:p w14:paraId="03916271">
            <w:pPr>
              <w:spacing w:line="240" w:lineRule="auto"/>
              <w:ind w:firstLine="0" w:firstLineChars="0"/>
              <w:jc w:val="center"/>
              <w:rPr>
                <w:rFonts w:hint="eastAsia" w:ascii="Times New Roman" w:hAnsi="Times New Roman" w:cs="Times New Roman"/>
                <w:color w:val="000000"/>
                <w:kern w:val="0"/>
                <w:sz w:val="21"/>
                <w:szCs w:val="21"/>
              </w:rPr>
            </w:pPr>
          </w:p>
        </w:tc>
      </w:tr>
      <w:tr w14:paraId="7E433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7" w:hRule="atLeast"/>
          <w:jc w:val="center"/>
        </w:trPr>
        <w:tc>
          <w:tcPr>
            <w:tcW w:w="3482" w:type="dxa"/>
            <w:gridSpan w:val="2"/>
            <w:tcBorders>
              <w:top w:val="single" w:color="000000" w:sz="4" w:space="0"/>
              <w:left w:val="single" w:color="000000" w:sz="12"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168F0FD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合计</w:t>
            </w:r>
          </w:p>
        </w:tc>
        <w:tc>
          <w:tcPr>
            <w:tcW w:w="2537"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71EA3D71">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1.51</w:t>
            </w:r>
          </w:p>
        </w:tc>
        <w:tc>
          <w:tcPr>
            <w:tcW w:w="1815" w:type="dxa"/>
            <w:tcBorders>
              <w:top w:val="single" w:color="000000" w:sz="4" w:space="0"/>
              <w:left w:val="single" w:color="000000" w:sz="4" w:space="0"/>
              <w:bottom w:val="single" w:color="000000" w:sz="12" w:space="0"/>
              <w:right w:val="single" w:color="000000" w:sz="4" w:space="0"/>
            </w:tcBorders>
            <w:shd w:val="clear" w:color="auto" w:fill="auto"/>
            <w:noWrap/>
            <w:tcMar>
              <w:top w:w="0" w:type="dxa"/>
              <w:left w:w="0" w:type="dxa"/>
              <w:bottom w:w="0" w:type="dxa"/>
              <w:right w:w="0" w:type="dxa"/>
            </w:tcMar>
            <w:vAlign w:val="center"/>
          </w:tcPr>
          <w:p w14:paraId="1E331B07">
            <w:pPr>
              <w:spacing w:line="240" w:lineRule="auto"/>
              <w:ind w:firstLine="0" w:firstLineChars="0"/>
              <w:jc w:val="center"/>
              <w:rPr>
                <w:rFonts w:hint="eastAsia"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1.51</w:t>
            </w:r>
          </w:p>
        </w:tc>
        <w:tc>
          <w:tcPr>
            <w:tcW w:w="1546" w:type="dxa"/>
            <w:tcBorders>
              <w:top w:val="single" w:color="000000" w:sz="4" w:space="0"/>
              <w:left w:val="single" w:color="000000" w:sz="4" w:space="0"/>
              <w:bottom w:val="single" w:color="000000" w:sz="12" w:space="0"/>
              <w:right w:val="single" w:color="000000" w:sz="12" w:space="0"/>
            </w:tcBorders>
            <w:shd w:val="clear" w:color="auto" w:fill="auto"/>
            <w:noWrap/>
            <w:tcMar>
              <w:top w:w="0" w:type="dxa"/>
              <w:left w:w="0" w:type="dxa"/>
              <w:bottom w:w="0" w:type="dxa"/>
              <w:right w:w="0" w:type="dxa"/>
            </w:tcMar>
            <w:vAlign w:val="center"/>
          </w:tcPr>
          <w:p w14:paraId="7AC1F853">
            <w:pPr>
              <w:spacing w:line="240" w:lineRule="auto"/>
              <w:ind w:firstLine="0" w:firstLineChars="0"/>
              <w:jc w:val="center"/>
              <w:rPr>
                <w:rFonts w:hint="eastAsia" w:ascii="Times New Roman" w:hAnsi="Times New Roman" w:cs="Times New Roman"/>
                <w:color w:val="000000"/>
                <w:kern w:val="0"/>
                <w:sz w:val="21"/>
                <w:szCs w:val="21"/>
              </w:rPr>
            </w:pPr>
          </w:p>
        </w:tc>
      </w:tr>
    </w:tbl>
    <w:p w14:paraId="6508CE33">
      <w:pPr>
        <w:pStyle w:val="4"/>
        <w:rPr>
          <w:rFonts w:hint="default" w:ascii="Times New Roman" w:hAnsi="Times New Roman" w:cs="Times New Roman"/>
        </w:rPr>
      </w:pPr>
      <w:bookmarkStart w:id="83" w:name="_Toc322787015"/>
      <w:bookmarkStart w:id="84" w:name="_Toc321751145"/>
      <w:r>
        <w:rPr>
          <w:rFonts w:hint="default" w:ascii="Times New Roman" w:hAnsi="Times New Roman" w:cs="Times New Roman"/>
        </w:rPr>
        <w:t>水土流失防治分区</w:t>
      </w:r>
      <w:bookmarkEnd w:id="83"/>
      <w:bookmarkEnd w:id="84"/>
    </w:p>
    <w:p w14:paraId="09CFB1D7">
      <w:pPr>
        <w:pStyle w:val="5"/>
        <w:jc w:val="left"/>
        <w:rPr>
          <w:rFonts w:hint="default" w:ascii="Times New Roman" w:hAnsi="Times New Roman" w:cs="Times New Roman"/>
        </w:rPr>
      </w:pPr>
      <w:r>
        <w:rPr>
          <w:rFonts w:hint="default" w:ascii="Times New Roman" w:hAnsi="Times New Roman" w:cs="Times New Roman"/>
        </w:rPr>
        <w:t>分区依据</w:t>
      </w:r>
    </w:p>
    <w:p w14:paraId="5BB6BD0E">
      <w:pPr>
        <w:ind w:firstLine="480"/>
        <w:rPr>
          <w:rFonts w:hint="default" w:ascii="Times New Roman" w:hAnsi="Times New Roman" w:cs="Times New Roman"/>
        </w:rPr>
      </w:pPr>
      <w:r>
        <w:rPr>
          <w:rFonts w:hint="default" w:ascii="Times New Roman" w:hAnsi="Times New Roman" w:cs="Times New Roman"/>
        </w:rPr>
        <w:t>依据主体工程布局、施工扰动特点、建设时序、地貌特征、自然属性、水土流失影响等进行分区。</w:t>
      </w:r>
    </w:p>
    <w:p w14:paraId="7A5F7268">
      <w:pPr>
        <w:pStyle w:val="5"/>
        <w:jc w:val="left"/>
        <w:rPr>
          <w:rFonts w:hint="default" w:ascii="Times New Roman" w:hAnsi="Times New Roman" w:cs="Times New Roman"/>
        </w:rPr>
      </w:pPr>
      <w:r>
        <w:rPr>
          <w:rFonts w:hint="default" w:ascii="Times New Roman" w:hAnsi="Times New Roman" w:cs="Times New Roman"/>
        </w:rPr>
        <w:t>分区原则</w:t>
      </w:r>
    </w:p>
    <w:p w14:paraId="12B93236">
      <w:pPr>
        <w:ind w:firstLine="480"/>
        <w:rPr>
          <w:rFonts w:hint="default" w:ascii="Times New Roman" w:hAnsi="Times New Roman" w:cs="Times New Roman"/>
        </w:rPr>
      </w:pPr>
      <w:r>
        <w:rPr>
          <w:rFonts w:hint="default" w:ascii="Times New Roman" w:hAnsi="Times New Roman" w:cs="Times New Roman"/>
        </w:rPr>
        <w:t>（1）各区之间具有显著差异性。</w:t>
      </w:r>
    </w:p>
    <w:p w14:paraId="00DB6F8B">
      <w:pPr>
        <w:ind w:firstLine="480"/>
        <w:rPr>
          <w:rFonts w:hint="default" w:ascii="Times New Roman" w:hAnsi="Times New Roman" w:cs="Times New Roman"/>
        </w:rPr>
      </w:pPr>
      <w:r>
        <w:rPr>
          <w:rFonts w:hint="default" w:ascii="Times New Roman" w:hAnsi="Times New Roman" w:cs="Times New Roman"/>
        </w:rPr>
        <w:t>（2）相同分区内造成水土流失的主导因子相近或相似。</w:t>
      </w:r>
    </w:p>
    <w:p w14:paraId="730D8FB6">
      <w:pPr>
        <w:ind w:firstLine="480"/>
        <w:rPr>
          <w:rFonts w:hint="default" w:ascii="Times New Roman" w:hAnsi="Times New Roman" w:cs="Times New Roman"/>
        </w:rPr>
      </w:pPr>
      <w:r>
        <w:rPr>
          <w:rFonts w:hint="default" w:ascii="Times New Roman" w:hAnsi="Times New Roman" w:cs="Times New Roman"/>
        </w:rPr>
        <w:t>（3）分区中，一级分区应具有控制性、整体性、全局性；结合工程布局和施工特点进行二级分区。</w:t>
      </w:r>
    </w:p>
    <w:p w14:paraId="2E277176">
      <w:pPr>
        <w:ind w:firstLine="480"/>
        <w:rPr>
          <w:rFonts w:hint="default" w:ascii="Times New Roman" w:hAnsi="Times New Roman" w:cs="Times New Roman"/>
        </w:rPr>
      </w:pPr>
      <w:r>
        <w:rPr>
          <w:rFonts w:hint="default" w:ascii="Times New Roman" w:hAnsi="Times New Roman" w:cs="Times New Roman"/>
        </w:rPr>
        <w:t>（4）各级分区应层次分明，具有关联性和系统性。</w:t>
      </w:r>
    </w:p>
    <w:p w14:paraId="4421FCCB">
      <w:pPr>
        <w:pStyle w:val="5"/>
        <w:jc w:val="left"/>
        <w:rPr>
          <w:rFonts w:hint="default" w:ascii="Times New Roman" w:hAnsi="Times New Roman" w:cs="Times New Roman"/>
        </w:rPr>
      </w:pPr>
      <w:r>
        <w:rPr>
          <w:rFonts w:hint="default" w:ascii="Times New Roman" w:hAnsi="Times New Roman" w:cs="Times New Roman"/>
        </w:rPr>
        <w:t>分区方法</w:t>
      </w:r>
    </w:p>
    <w:p w14:paraId="7C9D58B9">
      <w:pPr>
        <w:ind w:firstLine="480"/>
        <w:rPr>
          <w:rFonts w:hint="default" w:ascii="Times New Roman" w:hAnsi="Times New Roman" w:cs="Times New Roman"/>
        </w:rPr>
      </w:pPr>
      <w:r>
        <w:rPr>
          <w:rFonts w:hint="default" w:ascii="Times New Roman" w:hAnsi="Times New Roman" w:cs="Times New Roman"/>
        </w:rPr>
        <w:t>根据项目建设情况，分区方法主要采取实地调查勘测、资料收集和数据分析相结合的方法进行分区。</w:t>
      </w:r>
    </w:p>
    <w:p w14:paraId="7527D814">
      <w:pPr>
        <w:pStyle w:val="5"/>
        <w:jc w:val="left"/>
        <w:rPr>
          <w:rFonts w:hint="default" w:ascii="Times New Roman" w:hAnsi="Times New Roman" w:cs="Times New Roman"/>
        </w:rPr>
      </w:pPr>
      <w:r>
        <w:rPr>
          <w:rFonts w:hint="default" w:ascii="Times New Roman" w:hAnsi="Times New Roman" w:cs="Times New Roman"/>
        </w:rPr>
        <w:t>防治分区</w:t>
      </w:r>
    </w:p>
    <w:p w14:paraId="0A76F7D8">
      <w:pPr>
        <w:ind w:firstLine="480"/>
        <w:rPr>
          <w:rFonts w:hint="default" w:ascii="Times New Roman" w:hAnsi="Times New Roman" w:cs="Times New Roman"/>
        </w:rPr>
      </w:pPr>
      <w:r>
        <w:rPr>
          <w:rFonts w:hint="default" w:ascii="Times New Roman" w:hAnsi="Times New Roman" w:cs="Times New Roman"/>
        </w:rPr>
        <w:t>根据该项目建设的实际情况，结合外业调查和资料分析，</w:t>
      </w:r>
      <w:bookmarkStart w:id="85" w:name="_Hlk42955997"/>
      <w:r>
        <w:rPr>
          <w:rFonts w:hint="default" w:ascii="Times New Roman" w:hAnsi="Times New Roman" w:cs="Times New Roman"/>
        </w:rPr>
        <w:t>将本工程水土流失防治责任范围划分为</w:t>
      </w:r>
      <w:r>
        <w:rPr>
          <w:rFonts w:hint="eastAsia" w:cs="Times New Roman"/>
          <w:lang w:val="en-US" w:eastAsia="zh-CN"/>
        </w:rPr>
        <w:t>地块一和地块二</w:t>
      </w:r>
      <w:r>
        <w:rPr>
          <w:rFonts w:hint="eastAsia" w:ascii="Times New Roman" w:hAnsi="Times New Roman" w:cs="Times New Roman"/>
          <w:lang w:val="en-US" w:eastAsia="zh-CN"/>
        </w:rPr>
        <w:t>2</w:t>
      </w:r>
      <w:r>
        <w:rPr>
          <w:rFonts w:hint="default" w:ascii="Times New Roman" w:hAnsi="Times New Roman" w:cs="Times New Roman"/>
        </w:rPr>
        <w:t>个防治分区</w:t>
      </w:r>
      <w:r>
        <w:rPr>
          <w:rFonts w:hint="eastAsia" w:cs="Times New Roman"/>
          <w:lang w:val="en-US" w:eastAsia="zh-CN"/>
        </w:rPr>
        <w:t>，各地块又包括</w:t>
      </w:r>
      <w:r>
        <w:rPr>
          <w:rFonts w:hint="default" w:ascii="Times New Roman" w:hAnsi="Times New Roman" w:cs="Times New Roman"/>
          <w:lang w:val="zh-CN"/>
        </w:rPr>
        <w:t>建构筑物区、</w:t>
      </w:r>
      <w:r>
        <w:rPr>
          <w:rFonts w:hint="eastAsia" w:cs="Times New Roman"/>
          <w:lang w:val="zh-CN"/>
        </w:rPr>
        <w:t>道路及硬化区、</w:t>
      </w:r>
      <w:r>
        <w:rPr>
          <w:rFonts w:hint="default" w:ascii="Times New Roman" w:hAnsi="Times New Roman" w:cs="Times New Roman"/>
          <w:lang w:val="zh-CN"/>
        </w:rPr>
        <w:t>绿化区</w:t>
      </w:r>
      <w:r>
        <w:rPr>
          <w:rFonts w:hint="default" w:ascii="Times New Roman" w:hAnsi="Times New Roman" w:cs="Times New Roman"/>
        </w:rPr>
        <w:t>共</w:t>
      </w:r>
      <w:r>
        <w:rPr>
          <w:rFonts w:hint="eastAsia" w:cs="Times New Roman"/>
          <w:lang w:val="en-US" w:eastAsia="zh-CN"/>
        </w:rPr>
        <w:t>6</w:t>
      </w:r>
      <w:r>
        <w:rPr>
          <w:rFonts w:hint="default" w:ascii="Times New Roman" w:hAnsi="Times New Roman" w:cs="Times New Roman"/>
        </w:rPr>
        <w:t>个防治分区。</w:t>
      </w:r>
      <w:bookmarkEnd w:id="85"/>
      <w:r>
        <w:rPr>
          <w:rFonts w:hint="default" w:ascii="Times New Roman" w:hAnsi="Times New Roman" w:cs="Times New Roman"/>
        </w:rPr>
        <w:t>水土流失防治分区见框图5-1。</w:t>
      </w:r>
    </w:p>
    <w:p w14:paraId="648BB8C1">
      <w:pPr>
        <w:pStyle w:val="12"/>
        <w:ind w:firstLine="482"/>
        <w:rPr>
          <w:rFonts w:hint="default" w:ascii="Times New Roman" w:hAnsi="Times New Roman" w:cs="Times New Roman"/>
        </w:rPr>
      </w:pPr>
      <w:r>
        <w:rPr>
          <w:rFonts w:hint="default" w:ascii="Times New Roman" w:hAnsi="Times New Roman" w:cs="Times New Roman"/>
        </w:rPr>
        <w:object>
          <v:shape id="_x0000_i1026" o:spt="75" type="#_x0000_t75" style="height:172.2pt;width:418.45pt;" o:ole="t" filled="f" o:preferrelative="t" stroked="f" coordsize="21600,21600">
            <v:path/>
            <v:fill on="f" focussize="0,0"/>
            <v:stroke on="f"/>
            <v:imagedata r:id="rId48" o:title=""/>
            <o:lock v:ext="edit" aspectratio="t"/>
            <w10:wrap type="none"/>
            <w10:anchorlock/>
          </v:shape>
          <o:OLEObject Type="Embed" ProgID="Visio.Drawing.11" ShapeID="_x0000_i1026" DrawAspect="Content" ObjectID="_1468075726" r:id="rId47">
            <o:LockedField>false</o:LockedField>
          </o:OLEObject>
        </w:object>
      </w:r>
    </w:p>
    <w:p w14:paraId="48ADA784">
      <w:pPr>
        <w:pStyle w:val="12"/>
        <w:ind w:firstLine="482"/>
        <w:rPr>
          <w:rFonts w:hint="default" w:ascii="Times New Roman" w:hAnsi="Times New Roman" w:cs="Times New Roman"/>
        </w:rPr>
      </w:pPr>
      <w:r>
        <w:rPr>
          <w:rFonts w:hint="default" w:ascii="Times New Roman" w:hAnsi="Times New Roman" w:cs="Times New Roman"/>
        </w:rPr>
        <w:t>图5-1   水土流失防治分区</w:t>
      </w:r>
    </w:p>
    <w:p w14:paraId="1D31493B">
      <w:pPr>
        <w:pStyle w:val="3"/>
        <w:rPr>
          <w:rFonts w:hint="default" w:ascii="Times New Roman" w:hAnsi="Times New Roman" w:cs="Times New Roman"/>
        </w:rPr>
      </w:pPr>
      <w:bookmarkStart w:id="86" w:name="_Toc72920048"/>
      <w:bookmarkStart w:id="87" w:name="_Toc165223585"/>
      <w:bookmarkStart w:id="88" w:name="_Toc5198461"/>
      <w:bookmarkStart w:id="89" w:name="_Toc35593958"/>
      <w:bookmarkStart w:id="90" w:name="_Toc37172405"/>
      <w:r>
        <w:rPr>
          <w:rFonts w:hint="default" w:ascii="Times New Roman" w:hAnsi="Times New Roman" w:cs="Times New Roman"/>
        </w:rPr>
        <w:t>措施总体布局</w:t>
      </w:r>
      <w:bookmarkEnd w:id="86"/>
      <w:bookmarkEnd w:id="87"/>
      <w:bookmarkEnd w:id="88"/>
      <w:bookmarkEnd w:id="89"/>
      <w:bookmarkEnd w:id="90"/>
    </w:p>
    <w:p w14:paraId="05C39974">
      <w:pPr>
        <w:pStyle w:val="4"/>
        <w:rPr>
          <w:rFonts w:hint="default" w:ascii="Times New Roman" w:hAnsi="Times New Roman" w:cs="Times New Roman"/>
        </w:rPr>
      </w:pPr>
      <w:r>
        <w:rPr>
          <w:rFonts w:hint="default" w:ascii="Times New Roman" w:hAnsi="Times New Roman" w:cs="Times New Roman"/>
        </w:rPr>
        <w:t>防治措施布设指导思想</w:t>
      </w:r>
    </w:p>
    <w:p w14:paraId="186A95B1">
      <w:pPr>
        <w:ind w:firstLine="480"/>
        <w:rPr>
          <w:rFonts w:hint="default" w:ascii="Times New Roman" w:hAnsi="Times New Roman" w:cs="Times New Roman"/>
        </w:rPr>
      </w:pPr>
      <w:r>
        <w:rPr>
          <w:rFonts w:hint="default" w:ascii="Times New Roman" w:hAnsi="Times New Roman" w:cs="Times New Roman"/>
        </w:rPr>
        <w:t>根据《中华人民共和国水土保持法》、《中华人民共和国水土保持法实施条例》以及《生产建设项目水土保持方案管理办法》（水利部第5号令）及“云南省实施《中华人民共和国水土保持法》办法”和有关技术规范要求，结合本工程特点及所在区域的自然条件，提出本方案的指导思想为：以预防和保护为主，开发建设与防治并重，边建设边防治，以防治保障开发建设；采取必要的工程措施、植物措施以及临时防护措施；因地制宜，因害设防，合理布局，以防治新增人为水土流失，保障安全施工，恢复和改善区域生态环境为目标。</w:t>
      </w:r>
    </w:p>
    <w:p w14:paraId="026547DA">
      <w:pPr>
        <w:ind w:firstLine="480"/>
        <w:rPr>
          <w:rFonts w:hint="default" w:ascii="Times New Roman" w:hAnsi="Times New Roman" w:cs="Times New Roman"/>
        </w:rPr>
      </w:pPr>
      <w:r>
        <w:rPr>
          <w:rFonts w:hint="default" w:ascii="Times New Roman" w:hAnsi="Times New Roman" w:cs="Times New Roman"/>
        </w:rPr>
        <w:t>结合项目建设特点及所在区域的自然环境状况，提出本方案的指导思想如下：</w:t>
      </w:r>
    </w:p>
    <w:p w14:paraId="2C999E85">
      <w:pPr>
        <w:ind w:firstLine="480"/>
        <w:rPr>
          <w:rFonts w:hint="default" w:ascii="Times New Roman" w:hAnsi="Times New Roman" w:cs="Times New Roman"/>
        </w:rPr>
      </w:pPr>
      <w:r>
        <w:rPr>
          <w:rFonts w:hint="default" w:ascii="Times New Roman" w:hAnsi="Times New Roman" w:cs="Times New Roman"/>
        </w:rPr>
        <w:t>（1）从水土保持、生态环境保护角度出发，在论证主体工程设计合理性的基础上，提出优化方案。</w:t>
      </w:r>
    </w:p>
    <w:p w14:paraId="148E8FEC">
      <w:pPr>
        <w:ind w:firstLine="480"/>
        <w:rPr>
          <w:rFonts w:hint="default" w:ascii="Times New Roman" w:hAnsi="Times New Roman" w:cs="Times New Roman"/>
        </w:rPr>
      </w:pPr>
      <w:r>
        <w:rPr>
          <w:rFonts w:hint="default" w:ascii="Times New Roman" w:hAnsi="Times New Roman" w:cs="Times New Roman"/>
        </w:rPr>
        <w:t>（2）全面贯彻国家和地方有关法律、法规，以及服务于项目区建设为基本出发点，解决好工程建设与环境保护之间的关系，防止项目区建设新增水土流失并保障主体工程安全运行，促进项目建设与自然环境的和谐发展。</w:t>
      </w:r>
    </w:p>
    <w:p w14:paraId="1F751023">
      <w:pPr>
        <w:ind w:firstLine="480"/>
        <w:rPr>
          <w:rFonts w:hint="default" w:ascii="Times New Roman" w:hAnsi="Times New Roman" w:cs="Times New Roman"/>
        </w:rPr>
      </w:pPr>
      <w:r>
        <w:rPr>
          <w:rFonts w:hint="default" w:ascii="Times New Roman" w:hAnsi="Times New Roman" w:cs="Times New Roman"/>
        </w:rPr>
        <w:t>（3）针对该工程建设可能造成的水土流失量和重点流失区域，结合工程区水土流失现状，遵循防治结合、因害设防、因地制宜的原则和坚持全局观点，采用水土保持措施与主体工程建设及其它环保措施相结合的方法，使水土保持措施与工程安全及环境保护紧密协调、互为裨益。</w:t>
      </w:r>
    </w:p>
    <w:p w14:paraId="34F4AB10">
      <w:pPr>
        <w:pStyle w:val="4"/>
        <w:rPr>
          <w:rFonts w:hint="default" w:ascii="Times New Roman" w:hAnsi="Times New Roman" w:cs="Times New Roman"/>
        </w:rPr>
      </w:pPr>
      <w:r>
        <w:rPr>
          <w:rFonts w:hint="default" w:ascii="Times New Roman" w:hAnsi="Times New Roman" w:cs="Times New Roman"/>
        </w:rPr>
        <w:t>布设原则</w:t>
      </w:r>
    </w:p>
    <w:p w14:paraId="4892237D">
      <w:pPr>
        <w:ind w:firstLine="480"/>
        <w:rPr>
          <w:rFonts w:hint="default" w:ascii="Times New Roman" w:hAnsi="Times New Roman" w:cs="Times New Roman"/>
        </w:rPr>
      </w:pPr>
      <w:r>
        <w:rPr>
          <w:rFonts w:hint="default" w:ascii="Times New Roman" w:hAnsi="Times New Roman" w:cs="Times New Roman"/>
        </w:rPr>
        <w:t>项目区水土保持建设以防治新增水土流失为目标，促进城市建设与环境的协调发展。在遵守水土保持法律法规、水土保持技术标准以及环境保护总体要求原则的同时，针对项目特点确定措施的布设原则如下：</w:t>
      </w:r>
    </w:p>
    <w:p w14:paraId="3B4131F3">
      <w:pPr>
        <w:ind w:firstLine="480"/>
        <w:rPr>
          <w:rFonts w:hint="default" w:ascii="Times New Roman" w:hAnsi="Times New Roman" w:cs="Times New Roman"/>
        </w:rPr>
      </w:pPr>
      <w:r>
        <w:rPr>
          <w:rFonts w:hint="default" w:ascii="Times New Roman" w:hAnsi="Times New Roman" w:cs="Times New Roman"/>
        </w:rPr>
        <w:t>（1）结合工程实际和项目区水土流失现状，因地制宜，因害设防、防治结合、全面布局、科学配置；</w:t>
      </w:r>
    </w:p>
    <w:p w14:paraId="58E4B4A8">
      <w:pPr>
        <w:ind w:firstLine="480"/>
        <w:rPr>
          <w:rFonts w:hint="default" w:ascii="Times New Roman" w:hAnsi="Times New Roman" w:cs="Times New Roman"/>
        </w:rPr>
      </w:pPr>
      <w:r>
        <w:rPr>
          <w:rFonts w:hint="default" w:ascii="Times New Roman" w:hAnsi="Times New Roman" w:cs="Times New Roman"/>
        </w:rPr>
        <w:t>（2）项目建设过程中应注重生态环境的保护，设置临时性防护措施，减少施工过程中造成的人为扰动及产生的废弃土；</w:t>
      </w:r>
    </w:p>
    <w:p w14:paraId="0D69486B">
      <w:pPr>
        <w:ind w:firstLine="480"/>
        <w:rPr>
          <w:rFonts w:hint="default" w:ascii="Times New Roman" w:hAnsi="Times New Roman" w:cs="Times New Roman"/>
        </w:rPr>
      </w:pPr>
      <w:r>
        <w:rPr>
          <w:rFonts w:hint="default" w:ascii="Times New Roman" w:hAnsi="Times New Roman" w:cs="Times New Roman"/>
        </w:rPr>
        <w:t>（3）注重吸收当地水土保持的成功经验，借鉴国内外先进技术；</w:t>
      </w:r>
    </w:p>
    <w:p w14:paraId="6CD3545F">
      <w:pPr>
        <w:ind w:firstLine="480"/>
        <w:rPr>
          <w:rFonts w:hint="default" w:ascii="Times New Roman" w:hAnsi="Times New Roman" w:cs="Times New Roman"/>
        </w:rPr>
      </w:pPr>
      <w:r>
        <w:rPr>
          <w:rFonts w:hint="default" w:ascii="Times New Roman" w:hAnsi="Times New Roman" w:cs="Times New Roman"/>
        </w:rPr>
        <w:t>（4）树立人与自然和谐相处的理念，尊重自然规律，注重与周边景观相协调；</w:t>
      </w:r>
    </w:p>
    <w:p w14:paraId="32122788">
      <w:pPr>
        <w:ind w:firstLine="480"/>
        <w:rPr>
          <w:rFonts w:hint="default" w:ascii="Times New Roman" w:hAnsi="Times New Roman" w:cs="Times New Roman"/>
        </w:rPr>
      </w:pPr>
      <w:r>
        <w:rPr>
          <w:rFonts w:hint="default" w:ascii="Times New Roman" w:hAnsi="Times New Roman" w:cs="Times New Roman"/>
        </w:rPr>
        <w:t>（5）工程措施、植物措施、临时措施合理配置、统筹兼顾，形成综合的防护体系；</w:t>
      </w:r>
    </w:p>
    <w:p w14:paraId="3038A77E">
      <w:pPr>
        <w:ind w:firstLine="480"/>
        <w:rPr>
          <w:rFonts w:hint="default" w:ascii="Times New Roman" w:hAnsi="Times New Roman" w:cs="Times New Roman"/>
        </w:rPr>
      </w:pPr>
      <w:r>
        <w:rPr>
          <w:rFonts w:hint="default" w:ascii="Times New Roman" w:hAnsi="Times New Roman" w:cs="Times New Roman"/>
        </w:rPr>
        <w:t>（6）工程措施要尽量选用当地材料，做到技术上可靠、经济上合理；</w:t>
      </w:r>
    </w:p>
    <w:p w14:paraId="7D46F711">
      <w:pPr>
        <w:ind w:firstLine="480"/>
        <w:rPr>
          <w:rFonts w:hint="default" w:ascii="Times New Roman" w:hAnsi="Times New Roman" w:cs="Times New Roman"/>
        </w:rPr>
      </w:pPr>
      <w:r>
        <w:rPr>
          <w:rFonts w:hint="default" w:ascii="Times New Roman" w:hAnsi="Times New Roman" w:cs="Times New Roman"/>
        </w:rPr>
        <w:t>（7）植物措施要尽量选用适合当地的品种，并考虑绿化美化效果；</w:t>
      </w:r>
    </w:p>
    <w:p w14:paraId="390EEEC5">
      <w:pPr>
        <w:ind w:firstLine="480"/>
        <w:rPr>
          <w:rFonts w:hint="default" w:ascii="Times New Roman" w:hAnsi="Times New Roman" w:cs="Times New Roman"/>
        </w:rPr>
      </w:pPr>
      <w:r>
        <w:rPr>
          <w:rFonts w:hint="default" w:ascii="Times New Roman" w:hAnsi="Times New Roman" w:cs="Times New Roman"/>
        </w:rPr>
        <w:t>（8）防治措施布设要与主体工程密切配合，相互协调，形成整体。</w:t>
      </w:r>
    </w:p>
    <w:p w14:paraId="46E53F5F">
      <w:pPr>
        <w:pStyle w:val="4"/>
        <w:rPr>
          <w:rFonts w:hint="default" w:ascii="Times New Roman" w:hAnsi="Times New Roman" w:cs="Times New Roman"/>
        </w:rPr>
      </w:pPr>
      <w:r>
        <w:rPr>
          <w:rFonts w:hint="default" w:ascii="Times New Roman" w:hAnsi="Times New Roman" w:cs="Times New Roman"/>
        </w:rPr>
        <w:t>防治措施布局</w:t>
      </w:r>
    </w:p>
    <w:p w14:paraId="2702EA88">
      <w:pPr>
        <w:ind w:firstLine="480"/>
        <w:rPr>
          <w:rFonts w:hint="default" w:ascii="Times New Roman" w:hAnsi="Times New Roman" w:cs="Times New Roman"/>
        </w:rPr>
      </w:pPr>
      <w:bookmarkStart w:id="91" w:name="_Hlk82441495"/>
      <w:r>
        <w:rPr>
          <w:rFonts w:hint="default" w:ascii="Times New Roman" w:hAnsi="Times New Roman" w:cs="Times New Roman"/>
        </w:rPr>
        <w:t>根据主体工程设计实施的水土保持措施及施工组织安排、施工工艺等分析，主体工程设计具有水土保持功能的防护措施主要为建构筑物区、</w:t>
      </w:r>
      <w:r>
        <w:rPr>
          <w:rFonts w:hint="eastAsia" w:cs="Times New Roman"/>
          <w:lang w:eastAsia="zh-CN"/>
        </w:rPr>
        <w:t>道路及硬化区</w:t>
      </w:r>
      <w:r>
        <w:rPr>
          <w:rFonts w:hint="default" w:ascii="Times New Roman" w:hAnsi="Times New Roman" w:cs="Times New Roman"/>
        </w:rPr>
        <w:t>和绿化区的工程措施、植物措施等永久措施，缺乏施工过程中临时防护措施，因此方案将补充施工过程中的临时防护措施。措施主要按照工程项目分区进行设计。</w:t>
      </w:r>
    </w:p>
    <w:p w14:paraId="6A3CA479">
      <w:pPr>
        <w:ind w:firstLine="480"/>
        <w:rPr>
          <w:rFonts w:hint="default" w:ascii="Times New Roman" w:hAnsi="Times New Roman" w:eastAsia="仿宋_GB2312" w:cs="Times New Roman"/>
          <w:lang w:val="en-US" w:eastAsia="zh-CN"/>
        </w:rPr>
      </w:pPr>
      <w:bookmarkStart w:id="92" w:name="_Hlk73371624"/>
      <w:r>
        <w:rPr>
          <w:rFonts w:hint="eastAsia" w:cs="Times New Roman"/>
          <w:lang w:val="en-US" w:eastAsia="zh-CN"/>
        </w:rPr>
        <w:t>一、地块一</w:t>
      </w:r>
    </w:p>
    <w:p w14:paraId="36EA079C">
      <w:pPr>
        <w:ind w:firstLine="480"/>
        <w:rPr>
          <w:rFonts w:hint="default" w:ascii="Times New Roman" w:hAnsi="Times New Roman" w:cs="Times New Roman"/>
        </w:rPr>
      </w:pPr>
      <w:r>
        <w:rPr>
          <w:rFonts w:hint="default" w:ascii="Times New Roman" w:hAnsi="Times New Roman" w:cs="Times New Roman"/>
        </w:rPr>
        <w:t>（1）建构筑物区：主体</w:t>
      </w:r>
      <w:r>
        <w:rPr>
          <w:rFonts w:hint="eastAsia" w:cs="Times New Roman"/>
          <w:lang w:val="en-US" w:eastAsia="zh-CN"/>
        </w:rPr>
        <w:t>考虑了该区</w:t>
      </w:r>
      <w:r>
        <w:rPr>
          <w:rFonts w:hint="default" w:ascii="Times New Roman" w:hAnsi="Times New Roman" w:cs="Times New Roman"/>
        </w:rPr>
        <w:t>施工前期的表土剥离措施</w:t>
      </w:r>
      <w:r>
        <w:rPr>
          <w:rFonts w:hint="eastAsia" w:cs="Times New Roman"/>
          <w:lang w:eastAsia="zh-CN"/>
        </w:rPr>
        <w:t>，</w:t>
      </w:r>
      <w:r>
        <w:rPr>
          <w:rFonts w:hint="eastAsia" w:cs="Times New Roman"/>
          <w:lang w:val="en-US" w:eastAsia="zh-CN"/>
        </w:rPr>
        <w:t>方案补充</w:t>
      </w:r>
      <w:r>
        <w:rPr>
          <w:rFonts w:hint="default" w:ascii="Times New Roman" w:hAnsi="Times New Roman" w:cs="Times New Roman"/>
        </w:rPr>
        <w:t>设计施工前期的表土剥离措施</w:t>
      </w:r>
      <w:r>
        <w:rPr>
          <w:rFonts w:hint="eastAsia" w:cs="Times New Roman"/>
          <w:lang w:eastAsia="zh-CN"/>
        </w:rPr>
        <w:t>，</w:t>
      </w:r>
      <w:r>
        <w:rPr>
          <w:rFonts w:hint="default" w:ascii="Times New Roman" w:hAnsi="Times New Roman" w:cs="Times New Roman"/>
        </w:rPr>
        <w:t>施工期间基础开挖区域的临时苫盖措施，并提出水土保持管理要求。</w:t>
      </w:r>
    </w:p>
    <w:p w14:paraId="16734BFE">
      <w:pPr>
        <w:ind w:firstLine="48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道路及硬化区</w:t>
      </w:r>
      <w:r>
        <w:rPr>
          <w:rFonts w:hint="default" w:ascii="Times New Roman" w:hAnsi="Times New Roman" w:cs="Times New Roman"/>
        </w:rPr>
        <w:t>：主体设计</w:t>
      </w:r>
      <w:r>
        <w:rPr>
          <w:rFonts w:hint="eastAsia" w:cs="Times New Roman"/>
          <w:lang w:val="en-US" w:eastAsia="zh-CN"/>
        </w:rPr>
        <w:t>考虑了</w:t>
      </w:r>
      <w:r>
        <w:rPr>
          <w:rFonts w:hint="default" w:ascii="Times New Roman" w:hAnsi="Times New Roman" w:cs="Times New Roman"/>
        </w:rPr>
        <w:t>施工前期的表土剥离措</w:t>
      </w:r>
      <w:r>
        <w:rPr>
          <w:rFonts w:hint="eastAsia" w:ascii="Times New Roman" w:hAnsi="Times New Roman" w:cs="Times New Roman"/>
          <w:lang w:eastAsia="zh-CN"/>
        </w:rPr>
        <w:t>、</w:t>
      </w:r>
      <w:r>
        <w:rPr>
          <w:rFonts w:hint="eastAsia" w:cs="Times New Roman"/>
          <w:lang w:val="en-US" w:eastAsia="zh-CN"/>
        </w:rPr>
        <w:t>雨水管网措施，方案补充</w:t>
      </w:r>
      <w:r>
        <w:rPr>
          <w:rFonts w:hint="default" w:ascii="Times New Roman" w:hAnsi="Times New Roman" w:cs="Times New Roman"/>
        </w:rPr>
        <w:t>设计施工期间新增施工区域临时苫盖、</w:t>
      </w:r>
      <w:r>
        <w:rPr>
          <w:rFonts w:hint="default" w:ascii="Times New Roman" w:hAnsi="Times New Roman" w:cs="Times New Roman"/>
          <w:lang w:eastAsia="zh-CN"/>
        </w:rPr>
        <w:t>车辆</w:t>
      </w:r>
      <w:r>
        <w:rPr>
          <w:rFonts w:hint="eastAsia" w:cs="Times New Roman"/>
          <w:lang w:val="en-US" w:eastAsia="zh-CN"/>
        </w:rPr>
        <w:t>进出口的</w:t>
      </w:r>
      <w:r>
        <w:rPr>
          <w:rFonts w:hint="default" w:ascii="Times New Roman" w:hAnsi="Times New Roman" w:cs="Times New Roman"/>
          <w:lang w:eastAsia="zh-CN"/>
        </w:rPr>
        <w:t>清洗</w:t>
      </w:r>
      <w:r>
        <w:rPr>
          <w:rFonts w:hint="default" w:ascii="Times New Roman" w:hAnsi="Times New Roman" w:cs="Times New Roman"/>
        </w:rPr>
        <w:t>措施，永临结合布设临时排水沟（工程量不单独计列），</w:t>
      </w:r>
      <w:r>
        <w:rPr>
          <w:rFonts w:hint="eastAsia" w:ascii="Times New Roman" w:hAnsi="Times New Roman" w:cs="Times New Roman"/>
          <w:lang w:val="en-US" w:eastAsia="zh-CN"/>
        </w:rPr>
        <w:t>并在排水出口布设临时沉砂池，</w:t>
      </w:r>
      <w:r>
        <w:rPr>
          <w:rFonts w:hint="default" w:ascii="Times New Roman" w:hAnsi="Times New Roman" w:cs="Times New Roman"/>
        </w:rPr>
        <w:t>并提出水土保持管理要求。</w:t>
      </w:r>
    </w:p>
    <w:p w14:paraId="5461043A">
      <w:pPr>
        <w:ind w:firstLine="480"/>
        <w:rPr>
          <w:rFonts w:hint="default" w:ascii="Times New Roman" w:hAnsi="Times New Roman" w:cs="Times New Roman"/>
        </w:rPr>
      </w:pPr>
      <w:r>
        <w:rPr>
          <w:rFonts w:hint="default" w:ascii="Times New Roman" w:hAnsi="Times New Roman" w:cs="Times New Roman"/>
        </w:rPr>
        <w:t>（3）绿化区：主体设计</w:t>
      </w:r>
      <w:r>
        <w:rPr>
          <w:rFonts w:hint="eastAsia" w:cs="Times New Roman"/>
          <w:lang w:val="en-US" w:eastAsia="zh-CN"/>
        </w:rPr>
        <w:t>考虑了</w:t>
      </w:r>
      <w:r>
        <w:rPr>
          <w:rFonts w:hint="default" w:ascii="Times New Roman" w:hAnsi="Times New Roman" w:cs="Times New Roman"/>
        </w:rPr>
        <w:t>施工前期的表土剥离措施</w:t>
      </w:r>
      <w:r>
        <w:rPr>
          <w:rFonts w:hint="eastAsia" w:ascii="Times New Roman" w:hAnsi="Times New Roman" w:cs="Times New Roman"/>
          <w:lang w:eastAsia="zh-CN"/>
        </w:rPr>
        <w:t>、</w:t>
      </w:r>
      <w:r>
        <w:rPr>
          <w:rFonts w:hint="eastAsia" w:cs="Times New Roman"/>
          <w:lang w:val="en-US" w:eastAsia="zh-CN"/>
        </w:rPr>
        <w:t>项目区空地的绿化措施，</w:t>
      </w:r>
      <w:r>
        <w:rPr>
          <w:rFonts w:hint="default" w:ascii="Times New Roman" w:hAnsi="Times New Roman" w:cs="Times New Roman"/>
        </w:rPr>
        <w:t>为保障植物成活率，</w:t>
      </w:r>
      <w:r>
        <w:rPr>
          <w:rFonts w:hint="eastAsia" w:cs="Times New Roman"/>
          <w:lang w:val="en-US" w:eastAsia="zh-CN"/>
        </w:rPr>
        <w:t>方案补充</w:t>
      </w:r>
      <w:r>
        <w:rPr>
          <w:rFonts w:hint="default" w:ascii="Times New Roman" w:hAnsi="Times New Roman" w:cs="Times New Roman"/>
        </w:rPr>
        <w:t>设计绿化片区的临时苫盖措施，</w:t>
      </w:r>
      <w:r>
        <w:rPr>
          <w:rFonts w:hint="eastAsia" w:cs="Times New Roman"/>
          <w:lang w:val="en-US" w:eastAsia="zh-CN"/>
        </w:rPr>
        <w:t>补充表土堆场的临时苫盖及临时拦挡措施，</w:t>
      </w:r>
      <w:r>
        <w:rPr>
          <w:rFonts w:hint="default" w:ascii="Times New Roman" w:hAnsi="Times New Roman" w:cs="Times New Roman"/>
        </w:rPr>
        <w:t>并提出水土保持管理要求。</w:t>
      </w:r>
    </w:p>
    <w:bookmarkEnd w:id="91"/>
    <w:bookmarkEnd w:id="92"/>
    <w:p w14:paraId="4D66EB4A">
      <w:pPr>
        <w:ind w:firstLine="480"/>
        <w:rPr>
          <w:rFonts w:hint="default" w:ascii="Times New Roman" w:hAnsi="Times New Roman" w:eastAsia="仿宋_GB2312" w:cs="Times New Roman"/>
          <w:lang w:val="en-US" w:eastAsia="zh-CN"/>
        </w:rPr>
      </w:pPr>
      <w:r>
        <w:rPr>
          <w:rFonts w:hint="eastAsia" w:cs="Times New Roman"/>
          <w:lang w:val="en-US" w:eastAsia="zh-CN"/>
        </w:rPr>
        <w:t>二、地块二</w:t>
      </w:r>
    </w:p>
    <w:p w14:paraId="083E0368">
      <w:pPr>
        <w:ind w:firstLine="480"/>
        <w:rPr>
          <w:rFonts w:hint="default" w:ascii="Times New Roman" w:hAnsi="Times New Roman" w:cs="Times New Roman"/>
        </w:rPr>
      </w:pPr>
      <w:r>
        <w:rPr>
          <w:rFonts w:hint="default" w:ascii="Times New Roman" w:hAnsi="Times New Roman" w:cs="Times New Roman"/>
        </w:rPr>
        <w:t>（1）建构筑物区：</w:t>
      </w:r>
      <w:r>
        <w:rPr>
          <w:rFonts w:hint="eastAsia" w:ascii="Times New Roman" w:hAnsi="Times New Roman" w:cs="Times New Roman"/>
          <w:lang w:val="en-US" w:eastAsia="zh-CN"/>
        </w:rPr>
        <w:t>目前已完成表土剥离，</w:t>
      </w:r>
      <w:r>
        <w:rPr>
          <w:rFonts w:hint="default" w:ascii="Times New Roman" w:hAnsi="Times New Roman" w:cs="Times New Roman"/>
        </w:rPr>
        <w:t>主体</w:t>
      </w:r>
      <w:r>
        <w:rPr>
          <w:rFonts w:hint="eastAsia" w:cs="Times New Roman"/>
          <w:lang w:val="en-US" w:eastAsia="zh-CN"/>
        </w:rPr>
        <w:t>未考虑其余水保措施，方案补充</w:t>
      </w:r>
      <w:r>
        <w:rPr>
          <w:rFonts w:hint="default" w:ascii="Times New Roman" w:hAnsi="Times New Roman" w:cs="Times New Roman"/>
        </w:rPr>
        <w:t>设计施工期间基础开挖区域的临时苫盖措施，并提出水土保持管理要求。</w:t>
      </w:r>
    </w:p>
    <w:p w14:paraId="48F07CBA">
      <w:pPr>
        <w:ind w:firstLine="48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道路及硬化区</w:t>
      </w:r>
      <w:r>
        <w:rPr>
          <w:rFonts w:hint="default" w:ascii="Times New Roman" w:hAnsi="Times New Roman" w:cs="Times New Roman"/>
        </w:rPr>
        <w:t>：</w:t>
      </w:r>
      <w:r>
        <w:rPr>
          <w:rFonts w:hint="eastAsia" w:ascii="Times New Roman" w:hAnsi="Times New Roman" w:cs="Times New Roman"/>
          <w:lang w:val="en-US" w:eastAsia="zh-CN"/>
        </w:rPr>
        <w:t>目前已完成表土剥离，</w:t>
      </w:r>
      <w:r>
        <w:rPr>
          <w:rFonts w:hint="default" w:ascii="Times New Roman" w:hAnsi="Times New Roman" w:cs="Times New Roman"/>
        </w:rPr>
        <w:t>主体设计</w:t>
      </w:r>
      <w:r>
        <w:rPr>
          <w:rFonts w:hint="eastAsia" w:cs="Times New Roman"/>
          <w:lang w:val="en-US" w:eastAsia="zh-CN"/>
        </w:rPr>
        <w:t>考虑了雨水管网措施，方案补充</w:t>
      </w:r>
      <w:r>
        <w:rPr>
          <w:rFonts w:hint="default" w:ascii="Times New Roman" w:hAnsi="Times New Roman" w:cs="Times New Roman"/>
        </w:rPr>
        <w:t>设计施工期间施工区域临时苫盖、</w:t>
      </w:r>
      <w:r>
        <w:rPr>
          <w:rFonts w:hint="default" w:ascii="Times New Roman" w:hAnsi="Times New Roman" w:cs="Times New Roman"/>
          <w:lang w:eastAsia="zh-CN"/>
        </w:rPr>
        <w:t>车辆</w:t>
      </w:r>
      <w:r>
        <w:rPr>
          <w:rFonts w:hint="eastAsia" w:cs="Times New Roman"/>
          <w:lang w:val="en-US" w:eastAsia="zh-CN"/>
        </w:rPr>
        <w:t>进出口的</w:t>
      </w:r>
      <w:r>
        <w:rPr>
          <w:rFonts w:hint="default" w:ascii="Times New Roman" w:hAnsi="Times New Roman" w:cs="Times New Roman"/>
          <w:lang w:eastAsia="zh-CN"/>
        </w:rPr>
        <w:t>清洗</w:t>
      </w:r>
      <w:r>
        <w:rPr>
          <w:rFonts w:hint="default" w:ascii="Times New Roman" w:hAnsi="Times New Roman" w:cs="Times New Roman"/>
        </w:rPr>
        <w:t>措施，永临结合布设临时排水沟（工程量不单独计列），</w:t>
      </w:r>
      <w:r>
        <w:rPr>
          <w:rFonts w:hint="eastAsia" w:ascii="Times New Roman" w:hAnsi="Times New Roman" w:cs="Times New Roman"/>
          <w:lang w:val="en-US" w:eastAsia="zh-CN"/>
        </w:rPr>
        <w:t>并在排水出口布设临时沉砂池，</w:t>
      </w:r>
      <w:r>
        <w:rPr>
          <w:rFonts w:hint="default" w:ascii="Times New Roman" w:hAnsi="Times New Roman" w:cs="Times New Roman"/>
        </w:rPr>
        <w:t>并提出水土保持管理要求。</w:t>
      </w:r>
    </w:p>
    <w:p w14:paraId="23AAFE92">
      <w:pPr>
        <w:ind w:firstLine="480"/>
        <w:rPr>
          <w:rFonts w:hint="default" w:ascii="Times New Roman" w:hAnsi="Times New Roman" w:cs="Times New Roman"/>
        </w:rPr>
      </w:pPr>
      <w:r>
        <w:rPr>
          <w:rFonts w:hint="default" w:ascii="Times New Roman" w:hAnsi="Times New Roman" w:cs="Times New Roman"/>
        </w:rPr>
        <w:t>（3）绿化区：</w:t>
      </w:r>
      <w:r>
        <w:rPr>
          <w:rFonts w:hint="eastAsia" w:ascii="Times New Roman" w:hAnsi="Times New Roman" w:cs="Times New Roman"/>
          <w:lang w:val="en-US" w:eastAsia="zh-CN"/>
        </w:rPr>
        <w:t>目前已完成表土剥离，</w:t>
      </w:r>
      <w:r>
        <w:rPr>
          <w:rFonts w:hint="default" w:ascii="Times New Roman" w:hAnsi="Times New Roman" w:cs="Times New Roman"/>
        </w:rPr>
        <w:t>主体设计</w:t>
      </w:r>
      <w:r>
        <w:rPr>
          <w:rFonts w:hint="eastAsia" w:cs="Times New Roman"/>
          <w:lang w:val="en-US" w:eastAsia="zh-CN"/>
        </w:rPr>
        <w:t>考虑了项目区空地的绿化措施，</w:t>
      </w:r>
      <w:r>
        <w:rPr>
          <w:rFonts w:hint="default" w:ascii="Times New Roman" w:hAnsi="Times New Roman" w:cs="Times New Roman"/>
        </w:rPr>
        <w:t>为保障植物成活率，</w:t>
      </w:r>
      <w:r>
        <w:rPr>
          <w:rFonts w:hint="eastAsia" w:cs="Times New Roman"/>
          <w:lang w:val="en-US" w:eastAsia="zh-CN"/>
        </w:rPr>
        <w:t>方案补充</w:t>
      </w:r>
      <w:r>
        <w:rPr>
          <w:rFonts w:hint="default" w:ascii="Times New Roman" w:hAnsi="Times New Roman" w:cs="Times New Roman"/>
        </w:rPr>
        <w:t>设计绿化片区的临时苫盖措施，</w:t>
      </w:r>
      <w:r>
        <w:rPr>
          <w:rFonts w:hint="eastAsia" w:cs="Times New Roman"/>
          <w:lang w:val="en-US" w:eastAsia="zh-CN"/>
        </w:rPr>
        <w:t>补充表土堆场的临时苫盖及临时拦挡措施，</w:t>
      </w:r>
      <w:r>
        <w:rPr>
          <w:rFonts w:hint="default" w:ascii="Times New Roman" w:hAnsi="Times New Roman" w:cs="Times New Roman"/>
        </w:rPr>
        <w:t>并提出水土保持管理要求。</w:t>
      </w:r>
    </w:p>
    <w:p w14:paraId="5000D177">
      <w:pPr>
        <w:ind w:firstLine="480"/>
        <w:rPr>
          <w:rFonts w:hint="default" w:ascii="Times New Roman" w:hAnsi="Times New Roman" w:cs="Times New Roman"/>
        </w:rPr>
      </w:pPr>
      <w:r>
        <w:rPr>
          <w:rFonts w:hint="default" w:ascii="Times New Roman" w:hAnsi="Times New Roman" w:cs="Times New Roman"/>
        </w:rPr>
        <w:t>各防治分区水土保持措施详见表5-2。措施体系框图见5-2。</w:t>
      </w:r>
    </w:p>
    <w:p w14:paraId="0EEFFD89">
      <w:pPr>
        <w:rPr>
          <w:rFonts w:hint="default" w:ascii="Times New Roman" w:hAnsi="Times New Roman" w:eastAsia="仿宋_GB2312" w:cs="Times New Roman"/>
          <w:b/>
          <w:bCs w:val="0"/>
        </w:rPr>
      </w:pPr>
      <w:r>
        <w:rPr>
          <w:rFonts w:hint="default" w:ascii="Times New Roman" w:hAnsi="Times New Roman" w:eastAsia="仿宋_GB2312" w:cs="Times New Roman"/>
          <w:b/>
          <w:bCs w:val="0"/>
        </w:rPr>
        <w:br w:type="page"/>
      </w:r>
    </w:p>
    <w:p w14:paraId="3EA6E112">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表5-2                         水土保持措施体系表</w:t>
      </w:r>
    </w:p>
    <w:tbl>
      <w:tblPr>
        <w:tblStyle w:val="27"/>
        <w:tblW w:w="956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94"/>
        <w:gridCol w:w="1885"/>
        <w:gridCol w:w="1677"/>
        <w:gridCol w:w="1235"/>
        <w:gridCol w:w="2214"/>
        <w:gridCol w:w="1361"/>
      </w:tblGrid>
      <w:tr w14:paraId="2FE2E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3079" w:type="dxa"/>
            <w:gridSpan w:val="2"/>
            <w:tcBorders>
              <w:tl2br w:val="nil"/>
              <w:tr2bl w:val="nil"/>
            </w:tcBorders>
            <w:shd w:val="clear" w:color="auto" w:fill="auto"/>
            <w:vAlign w:val="center"/>
          </w:tcPr>
          <w:p w14:paraId="679390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1677" w:type="dxa"/>
            <w:tcBorders>
              <w:tl2br w:val="nil"/>
              <w:tr2bl w:val="nil"/>
            </w:tcBorders>
            <w:shd w:val="clear" w:color="auto" w:fill="auto"/>
            <w:vAlign w:val="center"/>
          </w:tcPr>
          <w:p w14:paraId="364F87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防治措施</w:t>
            </w:r>
          </w:p>
        </w:tc>
        <w:tc>
          <w:tcPr>
            <w:tcW w:w="1235" w:type="dxa"/>
            <w:tcBorders>
              <w:tl2br w:val="nil"/>
              <w:tr2bl w:val="nil"/>
            </w:tcBorders>
            <w:shd w:val="clear" w:color="auto" w:fill="auto"/>
            <w:vAlign w:val="center"/>
          </w:tcPr>
          <w:p w14:paraId="5D03EB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措施类型</w:t>
            </w:r>
          </w:p>
        </w:tc>
        <w:tc>
          <w:tcPr>
            <w:tcW w:w="2214" w:type="dxa"/>
            <w:tcBorders>
              <w:tl2br w:val="nil"/>
              <w:tr2bl w:val="nil"/>
            </w:tcBorders>
            <w:shd w:val="clear" w:color="auto" w:fill="auto"/>
            <w:vAlign w:val="center"/>
          </w:tcPr>
          <w:p w14:paraId="1BEB5A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备注</w:t>
            </w:r>
          </w:p>
        </w:tc>
        <w:tc>
          <w:tcPr>
            <w:tcW w:w="1361" w:type="dxa"/>
            <w:tcBorders>
              <w:tl2br w:val="nil"/>
              <w:tr2bl w:val="nil"/>
            </w:tcBorders>
            <w:shd w:val="clear" w:color="auto" w:fill="auto"/>
            <w:noWrap/>
            <w:vAlign w:val="center"/>
          </w:tcPr>
          <w:p w14:paraId="1BA035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实施情况</w:t>
            </w:r>
          </w:p>
        </w:tc>
      </w:tr>
      <w:tr w14:paraId="1DD9DD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restart"/>
            <w:tcBorders>
              <w:tl2br w:val="nil"/>
              <w:tr2bl w:val="nil"/>
            </w:tcBorders>
            <w:shd w:val="clear" w:color="auto" w:fill="auto"/>
            <w:noWrap/>
            <w:vAlign w:val="center"/>
          </w:tcPr>
          <w:p w14:paraId="00FA42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885" w:type="dxa"/>
            <w:vMerge w:val="restart"/>
            <w:tcBorders>
              <w:tl2br w:val="nil"/>
              <w:tr2bl w:val="nil"/>
            </w:tcBorders>
            <w:shd w:val="clear" w:color="auto" w:fill="auto"/>
            <w:vAlign w:val="center"/>
          </w:tcPr>
          <w:p w14:paraId="71A718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677" w:type="dxa"/>
            <w:tcBorders>
              <w:tl2br w:val="nil"/>
              <w:tr2bl w:val="nil"/>
            </w:tcBorders>
            <w:shd w:val="clear" w:color="auto" w:fill="auto"/>
            <w:vAlign w:val="center"/>
          </w:tcPr>
          <w:p w14:paraId="1583B8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1235" w:type="dxa"/>
            <w:tcBorders>
              <w:tl2br w:val="nil"/>
              <w:tr2bl w:val="nil"/>
            </w:tcBorders>
            <w:shd w:val="clear" w:color="auto" w:fill="auto"/>
            <w:vAlign w:val="center"/>
          </w:tcPr>
          <w:p w14:paraId="2C8FAB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2BB320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6F1644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0756A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31D248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180A07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0A713A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临时苫盖</w:t>
            </w:r>
          </w:p>
        </w:tc>
        <w:tc>
          <w:tcPr>
            <w:tcW w:w="1235" w:type="dxa"/>
            <w:tcBorders>
              <w:tl2br w:val="nil"/>
              <w:tr2bl w:val="nil"/>
            </w:tcBorders>
            <w:shd w:val="clear" w:color="auto" w:fill="auto"/>
            <w:vAlign w:val="center"/>
          </w:tcPr>
          <w:p w14:paraId="6B8B58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312B92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60290D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E00F6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3A8038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646BA5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0BAB69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水土保持管理要求</w:t>
            </w:r>
          </w:p>
        </w:tc>
        <w:tc>
          <w:tcPr>
            <w:tcW w:w="1235" w:type="dxa"/>
            <w:tcBorders>
              <w:tl2br w:val="nil"/>
              <w:tr2bl w:val="nil"/>
            </w:tcBorders>
            <w:shd w:val="clear" w:color="auto" w:fill="auto"/>
            <w:vAlign w:val="center"/>
          </w:tcPr>
          <w:p w14:paraId="56ED29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管理措施</w:t>
            </w:r>
          </w:p>
        </w:tc>
        <w:tc>
          <w:tcPr>
            <w:tcW w:w="2214" w:type="dxa"/>
            <w:tcBorders>
              <w:tl2br w:val="nil"/>
              <w:tr2bl w:val="nil"/>
            </w:tcBorders>
            <w:shd w:val="clear" w:color="auto" w:fill="auto"/>
            <w:vAlign w:val="center"/>
          </w:tcPr>
          <w:p w14:paraId="2E1D53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2BD749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28E265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0093C0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restart"/>
            <w:tcBorders>
              <w:tl2br w:val="nil"/>
              <w:tr2bl w:val="nil"/>
            </w:tcBorders>
            <w:shd w:val="clear" w:color="auto" w:fill="auto"/>
            <w:vAlign w:val="center"/>
          </w:tcPr>
          <w:p w14:paraId="315ED6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677" w:type="dxa"/>
            <w:tcBorders>
              <w:tl2br w:val="nil"/>
              <w:tr2bl w:val="nil"/>
            </w:tcBorders>
            <w:shd w:val="clear" w:color="auto" w:fill="auto"/>
            <w:vAlign w:val="center"/>
          </w:tcPr>
          <w:p w14:paraId="463AD0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1235" w:type="dxa"/>
            <w:tcBorders>
              <w:tl2br w:val="nil"/>
              <w:tr2bl w:val="nil"/>
            </w:tcBorders>
            <w:shd w:val="clear" w:color="auto" w:fill="auto"/>
            <w:vAlign w:val="center"/>
          </w:tcPr>
          <w:p w14:paraId="7960E2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0B8393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2CC276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79D1BE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5304B2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238E0F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18138C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w:t>
            </w:r>
          </w:p>
        </w:tc>
        <w:tc>
          <w:tcPr>
            <w:tcW w:w="1235" w:type="dxa"/>
            <w:tcBorders>
              <w:tl2br w:val="nil"/>
              <w:tr2bl w:val="nil"/>
            </w:tcBorders>
            <w:shd w:val="clear" w:color="auto" w:fill="auto"/>
            <w:vAlign w:val="center"/>
          </w:tcPr>
          <w:p w14:paraId="32B997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60FFBD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2D6ED6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AD125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07A67B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605717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6021C8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车辆清洁池</w:t>
            </w:r>
          </w:p>
        </w:tc>
        <w:tc>
          <w:tcPr>
            <w:tcW w:w="1235" w:type="dxa"/>
            <w:tcBorders>
              <w:tl2br w:val="nil"/>
              <w:tr2bl w:val="nil"/>
            </w:tcBorders>
            <w:shd w:val="clear" w:color="auto" w:fill="auto"/>
            <w:vAlign w:val="center"/>
          </w:tcPr>
          <w:p w14:paraId="44B75E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1E36A3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18F6E9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33BC8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1D8B33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718F7C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3C2675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车辆冲洗设备</w:t>
            </w:r>
          </w:p>
        </w:tc>
        <w:tc>
          <w:tcPr>
            <w:tcW w:w="1235" w:type="dxa"/>
            <w:tcBorders>
              <w:tl2br w:val="nil"/>
              <w:tr2bl w:val="nil"/>
            </w:tcBorders>
            <w:shd w:val="clear" w:color="auto" w:fill="auto"/>
            <w:vAlign w:val="center"/>
          </w:tcPr>
          <w:p w14:paraId="7789E1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7DBDA6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3CB440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2D1A3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36CDA25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25D666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621F06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临时沉砂池</w:t>
            </w:r>
          </w:p>
        </w:tc>
        <w:tc>
          <w:tcPr>
            <w:tcW w:w="1235" w:type="dxa"/>
            <w:tcBorders>
              <w:tl2br w:val="nil"/>
              <w:tr2bl w:val="nil"/>
            </w:tcBorders>
            <w:shd w:val="clear" w:color="auto" w:fill="auto"/>
            <w:vAlign w:val="center"/>
          </w:tcPr>
          <w:p w14:paraId="5BDCF8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41D152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37C5F7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0B536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19AE7B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70076A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273CE7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临时苫盖</w:t>
            </w:r>
          </w:p>
        </w:tc>
        <w:tc>
          <w:tcPr>
            <w:tcW w:w="1235" w:type="dxa"/>
            <w:tcBorders>
              <w:tl2br w:val="nil"/>
              <w:tr2bl w:val="nil"/>
            </w:tcBorders>
            <w:shd w:val="clear" w:color="auto" w:fill="auto"/>
            <w:vAlign w:val="center"/>
          </w:tcPr>
          <w:p w14:paraId="4BCCD9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72BB11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6F3D47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EFA84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6CB171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6C781A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77A2E8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水土保持管理要求</w:t>
            </w:r>
          </w:p>
        </w:tc>
        <w:tc>
          <w:tcPr>
            <w:tcW w:w="1235" w:type="dxa"/>
            <w:tcBorders>
              <w:tl2br w:val="nil"/>
              <w:tr2bl w:val="nil"/>
            </w:tcBorders>
            <w:shd w:val="clear" w:color="auto" w:fill="auto"/>
            <w:vAlign w:val="center"/>
          </w:tcPr>
          <w:p w14:paraId="6C23AC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管理措施</w:t>
            </w:r>
          </w:p>
        </w:tc>
        <w:tc>
          <w:tcPr>
            <w:tcW w:w="2214" w:type="dxa"/>
            <w:tcBorders>
              <w:tl2br w:val="nil"/>
              <w:tr2bl w:val="nil"/>
            </w:tcBorders>
            <w:shd w:val="clear" w:color="auto" w:fill="auto"/>
            <w:vAlign w:val="center"/>
          </w:tcPr>
          <w:p w14:paraId="71202C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1D1F13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8BEA4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5245F6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restart"/>
            <w:tcBorders>
              <w:tl2br w:val="nil"/>
              <w:tr2bl w:val="nil"/>
            </w:tcBorders>
            <w:shd w:val="clear" w:color="auto" w:fill="auto"/>
            <w:vAlign w:val="center"/>
          </w:tcPr>
          <w:p w14:paraId="640AFD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绿化工程区</w:t>
            </w:r>
          </w:p>
        </w:tc>
        <w:tc>
          <w:tcPr>
            <w:tcW w:w="1677" w:type="dxa"/>
            <w:tcBorders>
              <w:tl2br w:val="nil"/>
              <w:tr2bl w:val="nil"/>
            </w:tcBorders>
            <w:shd w:val="clear" w:color="auto" w:fill="auto"/>
            <w:vAlign w:val="center"/>
          </w:tcPr>
          <w:p w14:paraId="16A94C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1235" w:type="dxa"/>
            <w:tcBorders>
              <w:tl2br w:val="nil"/>
              <w:tr2bl w:val="nil"/>
            </w:tcBorders>
            <w:shd w:val="clear" w:color="auto" w:fill="auto"/>
            <w:vAlign w:val="center"/>
          </w:tcPr>
          <w:p w14:paraId="0DD20F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4E56D1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0DF392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C0C60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37CD98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30B1D5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06B145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1235" w:type="dxa"/>
            <w:tcBorders>
              <w:tl2br w:val="nil"/>
              <w:tr2bl w:val="nil"/>
            </w:tcBorders>
            <w:shd w:val="clear" w:color="auto" w:fill="auto"/>
            <w:vAlign w:val="center"/>
          </w:tcPr>
          <w:p w14:paraId="20B042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植物措施</w:t>
            </w:r>
          </w:p>
        </w:tc>
        <w:tc>
          <w:tcPr>
            <w:tcW w:w="2214" w:type="dxa"/>
            <w:tcBorders>
              <w:tl2br w:val="nil"/>
              <w:tr2bl w:val="nil"/>
            </w:tcBorders>
            <w:shd w:val="clear" w:color="auto" w:fill="auto"/>
            <w:vAlign w:val="center"/>
          </w:tcPr>
          <w:p w14:paraId="3BF404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136B73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45FF8F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6CC686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258AB8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7AB629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临时苫盖</w:t>
            </w:r>
          </w:p>
        </w:tc>
        <w:tc>
          <w:tcPr>
            <w:tcW w:w="1235" w:type="dxa"/>
            <w:tcBorders>
              <w:tl2br w:val="nil"/>
              <w:tr2bl w:val="nil"/>
            </w:tcBorders>
            <w:shd w:val="clear" w:color="auto" w:fill="auto"/>
            <w:vAlign w:val="center"/>
          </w:tcPr>
          <w:p w14:paraId="584698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4D4AE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4754C7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BC1F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5E391D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353090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33810F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水土保持管理要求</w:t>
            </w:r>
          </w:p>
        </w:tc>
        <w:tc>
          <w:tcPr>
            <w:tcW w:w="1235" w:type="dxa"/>
            <w:tcBorders>
              <w:tl2br w:val="nil"/>
              <w:tr2bl w:val="nil"/>
            </w:tcBorders>
            <w:shd w:val="clear" w:color="auto" w:fill="auto"/>
            <w:vAlign w:val="center"/>
          </w:tcPr>
          <w:p w14:paraId="4361A6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管理措施</w:t>
            </w:r>
          </w:p>
        </w:tc>
        <w:tc>
          <w:tcPr>
            <w:tcW w:w="2214" w:type="dxa"/>
            <w:tcBorders>
              <w:tl2br w:val="nil"/>
              <w:tr2bl w:val="nil"/>
            </w:tcBorders>
            <w:shd w:val="clear" w:color="auto" w:fill="auto"/>
            <w:vAlign w:val="center"/>
          </w:tcPr>
          <w:p w14:paraId="1CE1B9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3714DF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D2EA1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restart"/>
            <w:tcBorders>
              <w:tl2br w:val="nil"/>
              <w:tr2bl w:val="nil"/>
            </w:tcBorders>
            <w:shd w:val="clear" w:color="auto" w:fill="auto"/>
            <w:noWrap/>
            <w:vAlign w:val="center"/>
          </w:tcPr>
          <w:p w14:paraId="6684B3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lang w:val="en-US"/>
              </w:rPr>
            </w:pPr>
            <w:r>
              <w:rPr>
                <w:rFonts w:hint="default" w:ascii="Times New Roman" w:hAnsi="Times New Roman" w:eastAsia="仿宋_GB2312" w:cs="Times New Roman"/>
                <w:i w:val="0"/>
                <w:iCs w:val="0"/>
                <w:color w:val="000000"/>
                <w:kern w:val="0"/>
                <w:sz w:val="21"/>
                <w:szCs w:val="21"/>
                <w:u w:val="none"/>
                <w:lang w:val="en-US" w:eastAsia="zh-CN" w:bidi="ar"/>
              </w:rPr>
              <w:t>地块</w:t>
            </w:r>
            <w:r>
              <w:rPr>
                <w:rFonts w:hint="eastAsia" w:ascii="Times New Roman" w:hAnsi="Times New Roman" w:cs="Times New Roman"/>
                <w:i w:val="0"/>
                <w:iCs w:val="0"/>
                <w:color w:val="000000"/>
                <w:kern w:val="0"/>
                <w:sz w:val="21"/>
                <w:szCs w:val="21"/>
                <w:u w:val="none"/>
                <w:lang w:val="en-US" w:eastAsia="zh-CN" w:bidi="ar"/>
              </w:rPr>
              <w:t>二</w:t>
            </w:r>
          </w:p>
        </w:tc>
        <w:tc>
          <w:tcPr>
            <w:tcW w:w="1885" w:type="dxa"/>
            <w:vMerge w:val="restart"/>
            <w:tcBorders>
              <w:tl2br w:val="nil"/>
              <w:tr2bl w:val="nil"/>
            </w:tcBorders>
            <w:shd w:val="clear" w:color="auto" w:fill="auto"/>
            <w:vAlign w:val="center"/>
          </w:tcPr>
          <w:p w14:paraId="08EAAD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677" w:type="dxa"/>
            <w:tcBorders>
              <w:tl2br w:val="nil"/>
              <w:tr2bl w:val="nil"/>
            </w:tcBorders>
            <w:shd w:val="clear" w:color="auto" w:fill="auto"/>
            <w:vAlign w:val="center"/>
          </w:tcPr>
          <w:p w14:paraId="608936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1235" w:type="dxa"/>
            <w:tcBorders>
              <w:tl2br w:val="nil"/>
              <w:tr2bl w:val="nil"/>
            </w:tcBorders>
            <w:shd w:val="clear" w:color="auto" w:fill="auto"/>
            <w:vAlign w:val="center"/>
          </w:tcPr>
          <w:p w14:paraId="01682C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4CB889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7A7251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3A307F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009C48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00DC62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5CE8C1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临时苫盖</w:t>
            </w:r>
          </w:p>
        </w:tc>
        <w:tc>
          <w:tcPr>
            <w:tcW w:w="1235" w:type="dxa"/>
            <w:tcBorders>
              <w:tl2br w:val="nil"/>
              <w:tr2bl w:val="nil"/>
            </w:tcBorders>
            <w:shd w:val="clear" w:color="auto" w:fill="auto"/>
            <w:vAlign w:val="center"/>
          </w:tcPr>
          <w:p w14:paraId="6E53AB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5920DA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0B1A91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898B2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61CEBC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39B387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10DFA5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水土保持管理要求</w:t>
            </w:r>
          </w:p>
        </w:tc>
        <w:tc>
          <w:tcPr>
            <w:tcW w:w="1235" w:type="dxa"/>
            <w:tcBorders>
              <w:tl2br w:val="nil"/>
              <w:tr2bl w:val="nil"/>
            </w:tcBorders>
            <w:shd w:val="clear" w:color="auto" w:fill="auto"/>
            <w:vAlign w:val="center"/>
          </w:tcPr>
          <w:p w14:paraId="67A13E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管理措施</w:t>
            </w:r>
          </w:p>
        </w:tc>
        <w:tc>
          <w:tcPr>
            <w:tcW w:w="2214" w:type="dxa"/>
            <w:tcBorders>
              <w:tl2br w:val="nil"/>
              <w:tr2bl w:val="nil"/>
            </w:tcBorders>
            <w:shd w:val="clear" w:color="auto" w:fill="auto"/>
            <w:vAlign w:val="center"/>
          </w:tcPr>
          <w:p w14:paraId="47351C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211020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0A275E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300" w:hRule="atLeast"/>
        </w:trPr>
        <w:tc>
          <w:tcPr>
            <w:tcW w:w="1194" w:type="dxa"/>
            <w:vMerge w:val="continue"/>
            <w:tcBorders>
              <w:tl2br w:val="nil"/>
              <w:tr2bl w:val="nil"/>
            </w:tcBorders>
            <w:shd w:val="clear" w:color="auto" w:fill="auto"/>
            <w:noWrap/>
            <w:vAlign w:val="center"/>
          </w:tcPr>
          <w:p w14:paraId="38643D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restart"/>
            <w:tcBorders>
              <w:tl2br w:val="nil"/>
              <w:tr2bl w:val="nil"/>
            </w:tcBorders>
            <w:shd w:val="clear" w:color="auto" w:fill="auto"/>
            <w:vAlign w:val="center"/>
          </w:tcPr>
          <w:p w14:paraId="5634A5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677" w:type="dxa"/>
            <w:tcBorders>
              <w:tl2br w:val="nil"/>
              <w:tr2bl w:val="nil"/>
            </w:tcBorders>
            <w:shd w:val="clear" w:color="auto" w:fill="auto"/>
            <w:vAlign w:val="center"/>
          </w:tcPr>
          <w:p w14:paraId="0BE5A8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1235" w:type="dxa"/>
            <w:tcBorders>
              <w:tl2br w:val="nil"/>
              <w:tr2bl w:val="nil"/>
            </w:tcBorders>
            <w:shd w:val="clear" w:color="auto" w:fill="auto"/>
            <w:vAlign w:val="center"/>
          </w:tcPr>
          <w:p w14:paraId="20755E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4D7A38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565F7D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771109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27EB45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120614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27613B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w:t>
            </w:r>
          </w:p>
        </w:tc>
        <w:tc>
          <w:tcPr>
            <w:tcW w:w="1235" w:type="dxa"/>
            <w:tcBorders>
              <w:tl2br w:val="nil"/>
              <w:tr2bl w:val="nil"/>
            </w:tcBorders>
            <w:shd w:val="clear" w:color="auto" w:fill="auto"/>
            <w:vAlign w:val="center"/>
          </w:tcPr>
          <w:p w14:paraId="4818D9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1D3013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38A45B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27F21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39167D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6CA0EC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4A4627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车辆清洁池</w:t>
            </w:r>
          </w:p>
        </w:tc>
        <w:tc>
          <w:tcPr>
            <w:tcW w:w="1235" w:type="dxa"/>
            <w:tcBorders>
              <w:tl2br w:val="nil"/>
              <w:tr2bl w:val="nil"/>
            </w:tcBorders>
            <w:shd w:val="clear" w:color="auto" w:fill="auto"/>
            <w:vAlign w:val="center"/>
          </w:tcPr>
          <w:p w14:paraId="5A898C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75EB33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41DA77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25F261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5B733E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53CE2D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7E8594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车辆冲洗设备</w:t>
            </w:r>
          </w:p>
        </w:tc>
        <w:tc>
          <w:tcPr>
            <w:tcW w:w="1235" w:type="dxa"/>
            <w:tcBorders>
              <w:tl2br w:val="nil"/>
              <w:tr2bl w:val="nil"/>
            </w:tcBorders>
            <w:shd w:val="clear" w:color="auto" w:fill="auto"/>
            <w:vAlign w:val="center"/>
          </w:tcPr>
          <w:p w14:paraId="6C0EA0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0DE766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5080F2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49688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274000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7D8BBF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5303F0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临时沉砂池</w:t>
            </w:r>
          </w:p>
        </w:tc>
        <w:tc>
          <w:tcPr>
            <w:tcW w:w="1235" w:type="dxa"/>
            <w:tcBorders>
              <w:tl2br w:val="nil"/>
              <w:tr2bl w:val="nil"/>
            </w:tcBorders>
            <w:shd w:val="clear" w:color="auto" w:fill="auto"/>
            <w:vAlign w:val="center"/>
          </w:tcPr>
          <w:p w14:paraId="2D2B69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49A7B9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30A818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E7B8B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7E67A0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4F2FB5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3B083F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临时苫盖</w:t>
            </w:r>
          </w:p>
        </w:tc>
        <w:tc>
          <w:tcPr>
            <w:tcW w:w="1235" w:type="dxa"/>
            <w:tcBorders>
              <w:tl2br w:val="nil"/>
              <w:tr2bl w:val="nil"/>
            </w:tcBorders>
            <w:shd w:val="clear" w:color="auto" w:fill="auto"/>
            <w:vAlign w:val="center"/>
          </w:tcPr>
          <w:p w14:paraId="57B08BC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262DD3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42D81A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40F0A2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44309E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2BF390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03169F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水土保持管理要求</w:t>
            </w:r>
          </w:p>
        </w:tc>
        <w:tc>
          <w:tcPr>
            <w:tcW w:w="1235" w:type="dxa"/>
            <w:tcBorders>
              <w:tl2br w:val="nil"/>
              <w:tr2bl w:val="nil"/>
            </w:tcBorders>
            <w:shd w:val="clear" w:color="auto" w:fill="auto"/>
            <w:vAlign w:val="center"/>
          </w:tcPr>
          <w:p w14:paraId="750D25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管理措施</w:t>
            </w:r>
          </w:p>
        </w:tc>
        <w:tc>
          <w:tcPr>
            <w:tcW w:w="2214" w:type="dxa"/>
            <w:tcBorders>
              <w:tl2br w:val="nil"/>
              <w:tr2bl w:val="nil"/>
            </w:tcBorders>
            <w:shd w:val="clear" w:color="auto" w:fill="auto"/>
            <w:vAlign w:val="center"/>
          </w:tcPr>
          <w:p w14:paraId="38441C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7AFC6E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332B1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770651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restart"/>
            <w:tcBorders>
              <w:tl2br w:val="nil"/>
              <w:tr2bl w:val="nil"/>
            </w:tcBorders>
            <w:shd w:val="clear" w:color="auto" w:fill="auto"/>
            <w:vAlign w:val="center"/>
          </w:tcPr>
          <w:p w14:paraId="4CF9A2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绿化工程区</w:t>
            </w:r>
          </w:p>
        </w:tc>
        <w:tc>
          <w:tcPr>
            <w:tcW w:w="1677" w:type="dxa"/>
            <w:tcBorders>
              <w:tl2br w:val="nil"/>
              <w:tr2bl w:val="nil"/>
            </w:tcBorders>
            <w:shd w:val="clear" w:color="auto" w:fill="auto"/>
            <w:vAlign w:val="center"/>
          </w:tcPr>
          <w:p w14:paraId="2338AD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1235" w:type="dxa"/>
            <w:tcBorders>
              <w:tl2br w:val="nil"/>
              <w:tr2bl w:val="nil"/>
            </w:tcBorders>
            <w:shd w:val="clear" w:color="auto" w:fill="auto"/>
            <w:vAlign w:val="center"/>
          </w:tcPr>
          <w:p w14:paraId="2A28BD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工程措施</w:t>
            </w:r>
          </w:p>
        </w:tc>
        <w:tc>
          <w:tcPr>
            <w:tcW w:w="2214" w:type="dxa"/>
            <w:tcBorders>
              <w:tl2br w:val="nil"/>
              <w:tr2bl w:val="nil"/>
            </w:tcBorders>
            <w:shd w:val="clear" w:color="auto" w:fill="auto"/>
            <w:vAlign w:val="center"/>
          </w:tcPr>
          <w:p w14:paraId="1F8F44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141874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68B6CB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70C0DB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6D5E99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47A254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1235" w:type="dxa"/>
            <w:tcBorders>
              <w:tl2br w:val="nil"/>
              <w:tr2bl w:val="nil"/>
            </w:tcBorders>
            <w:shd w:val="clear" w:color="auto" w:fill="auto"/>
            <w:vAlign w:val="center"/>
          </w:tcPr>
          <w:p w14:paraId="08BD0A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植物措施</w:t>
            </w:r>
          </w:p>
        </w:tc>
        <w:tc>
          <w:tcPr>
            <w:tcW w:w="2214" w:type="dxa"/>
            <w:tcBorders>
              <w:tl2br w:val="nil"/>
              <w:tr2bl w:val="nil"/>
            </w:tcBorders>
            <w:shd w:val="clear" w:color="auto" w:fill="auto"/>
            <w:vAlign w:val="center"/>
          </w:tcPr>
          <w:p w14:paraId="5AFC65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主体设计</w:t>
            </w:r>
          </w:p>
        </w:tc>
        <w:tc>
          <w:tcPr>
            <w:tcW w:w="1361" w:type="dxa"/>
            <w:tcBorders>
              <w:tl2br w:val="nil"/>
              <w:tr2bl w:val="nil"/>
            </w:tcBorders>
            <w:shd w:val="clear" w:color="auto" w:fill="auto"/>
            <w:noWrap/>
            <w:vAlign w:val="center"/>
          </w:tcPr>
          <w:p w14:paraId="0379B0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FEBE2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4B939A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73E28B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2D9BD8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临时苫盖</w:t>
            </w:r>
          </w:p>
        </w:tc>
        <w:tc>
          <w:tcPr>
            <w:tcW w:w="1235" w:type="dxa"/>
            <w:tcBorders>
              <w:tl2br w:val="nil"/>
              <w:tr2bl w:val="nil"/>
            </w:tcBorders>
            <w:shd w:val="clear" w:color="auto" w:fill="auto"/>
            <w:vAlign w:val="center"/>
          </w:tcPr>
          <w:p w14:paraId="51B11B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临时措施</w:t>
            </w:r>
          </w:p>
        </w:tc>
        <w:tc>
          <w:tcPr>
            <w:tcW w:w="2214" w:type="dxa"/>
            <w:tcBorders>
              <w:tl2br w:val="nil"/>
              <w:tr2bl w:val="nil"/>
            </w:tcBorders>
            <w:shd w:val="clear" w:color="auto" w:fill="auto"/>
            <w:vAlign w:val="center"/>
          </w:tcPr>
          <w:p w14:paraId="53BC10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10062A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BA37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194" w:type="dxa"/>
            <w:vMerge w:val="continue"/>
            <w:tcBorders>
              <w:tl2br w:val="nil"/>
              <w:tr2bl w:val="nil"/>
            </w:tcBorders>
            <w:shd w:val="clear" w:color="auto" w:fill="auto"/>
            <w:noWrap/>
            <w:vAlign w:val="center"/>
          </w:tcPr>
          <w:p w14:paraId="23E1EF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885" w:type="dxa"/>
            <w:vMerge w:val="continue"/>
            <w:tcBorders>
              <w:tl2br w:val="nil"/>
              <w:tr2bl w:val="nil"/>
            </w:tcBorders>
            <w:shd w:val="clear" w:color="auto" w:fill="auto"/>
            <w:vAlign w:val="center"/>
          </w:tcPr>
          <w:p w14:paraId="0DD42B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77" w:type="dxa"/>
            <w:tcBorders>
              <w:tl2br w:val="nil"/>
              <w:tr2bl w:val="nil"/>
            </w:tcBorders>
            <w:shd w:val="clear" w:color="auto" w:fill="auto"/>
            <w:vAlign w:val="center"/>
          </w:tcPr>
          <w:p w14:paraId="15561F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水土保持管理要求</w:t>
            </w:r>
          </w:p>
        </w:tc>
        <w:tc>
          <w:tcPr>
            <w:tcW w:w="1235" w:type="dxa"/>
            <w:tcBorders>
              <w:tl2br w:val="nil"/>
              <w:tr2bl w:val="nil"/>
            </w:tcBorders>
            <w:shd w:val="clear" w:color="auto" w:fill="auto"/>
            <w:vAlign w:val="center"/>
          </w:tcPr>
          <w:p w14:paraId="23A0AB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管理措施</w:t>
            </w:r>
          </w:p>
        </w:tc>
        <w:tc>
          <w:tcPr>
            <w:tcW w:w="2214" w:type="dxa"/>
            <w:tcBorders>
              <w:tl2br w:val="nil"/>
              <w:tr2bl w:val="nil"/>
            </w:tcBorders>
            <w:shd w:val="clear" w:color="auto" w:fill="auto"/>
            <w:vAlign w:val="center"/>
          </w:tcPr>
          <w:p w14:paraId="71A832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方案新增</w:t>
            </w:r>
          </w:p>
        </w:tc>
        <w:tc>
          <w:tcPr>
            <w:tcW w:w="1361" w:type="dxa"/>
            <w:tcBorders>
              <w:tl2br w:val="nil"/>
              <w:tr2bl w:val="nil"/>
            </w:tcBorders>
            <w:shd w:val="clear" w:color="auto" w:fill="auto"/>
            <w:noWrap/>
            <w:vAlign w:val="center"/>
          </w:tcPr>
          <w:p w14:paraId="511951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bl>
    <w:p w14:paraId="24885B1A">
      <w:pPr>
        <w:pStyle w:val="83"/>
        <w:jc w:val="left"/>
        <w:rPr>
          <w:rFonts w:hint="default" w:ascii="Times New Roman" w:hAnsi="Times New Roman" w:eastAsia="仿宋_GB2312" w:cs="Times New Roman"/>
          <w:b/>
          <w:bCs w:val="0"/>
        </w:rPr>
      </w:pPr>
    </w:p>
    <w:p w14:paraId="5C3D9E05">
      <w:pPr>
        <w:ind w:firstLine="0" w:firstLineChars="0"/>
        <w:jc w:val="center"/>
        <w:rPr>
          <w:rFonts w:hint="default" w:ascii="Times New Roman" w:hAnsi="Times New Roman" w:cs="Times New Roman"/>
        </w:rPr>
      </w:pPr>
      <w:r>
        <w:rPr>
          <w:rFonts w:hint="default" w:ascii="Times New Roman" w:hAnsi="Times New Roman" w:cs="Times New Roman"/>
        </w:rPr>
        <w:br w:type="page"/>
      </w:r>
    </w:p>
    <w:p w14:paraId="214CC21B">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rPr>
      </w:pPr>
      <w:r>
        <w:rPr>
          <w:rFonts w:hint="default" w:ascii="Times New Roman" w:hAnsi="Times New Roman" w:cs="Times New Roman"/>
        </w:rPr>
        <w:object>
          <v:shape id="_x0000_i1027" o:spt="75" type="#_x0000_t75" style="height:577.3pt;width:467.3pt;" o:ole="t" filled="f" o:preferrelative="t" stroked="f" coordsize="21600,21600">
            <v:path/>
            <v:fill on="f" focussize="0,0"/>
            <v:stroke on="f"/>
            <v:imagedata r:id="rId50" o:title=""/>
            <o:lock v:ext="edit" aspectratio="f"/>
            <w10:wrap type="none"/>
            <w10:anchorlock/>
          </v:shape>
          <o:OLEObject Type="Embed" ProgID="Visio.Drawing.11" ShapeID="_x0000_i1027" DrawAspect="Content" ObjectID="_1468075727" r:id="rId49">
            <o:LockedField>false</o:LockedField>
          </o:OLEObject>
        </w:object>
      </w:r>
    </w:p>
    <w:p w14:paraId="66935273">
      <w:pPr>
        <w:ind w:firstLine="0" w:firstLineChars="0"/>
        <w:jc w:val="center"/>
        <w:rPr>
          <w:rFonts w:hint="default" w:ascii="Times New Roman" w:hAnsi="Times New Roman" w:cs="Times New Roman"/>
        </w:rPr>
      </w:pPr>
      <w:r>
        <w:rPr>
          <w:rFonts w:hint="default" w:ascii="Times New Roman" w:hAnsi="Times New Roman" w:cs="Times New Roman"/>
          <w:b/>
          <w:szCs w:val="20"/>
        </w:rPr>
        <w:t>图5-2    水土保持措施体系图</w:t>
      </w:r>
    </w:p>
    <w:p w14:paraId="0483381B">
      <w:pPr>
        <w:pStyle w:val="3"/>
        <w:rPr>
          <w:rFonts w:hint="default" w:ascii="Times New Roman" w:hAnsi="Times New Roman" w:cs="Times New Roman"/>
        </w:rPr>
      </w:pPr>
      <w:bookmarkStart w:id="93" w:name="_Toc165223586"/>
      <w:bookmarkStart w:id="94" w:name="_Toc37172406"/>
      <w:bookmarkStart w:id="95" w:name="_Toc72920049"/>
      <w:r>
        <w:rPr>
          <w:rFonts w:hint="default" w:ascii="Times New Roman" w:hAnsi="Times New Roman" w:cs="Times New Roman"/>
        </w:rPr>
        <w:t>分区措施布设</w:t>
      </w:r>
      <w:bookmarkEnd w:id="93"/>
      <w:bookmarkEnd w:id="94"/>
      <w:bookmarkEnd w:id="95"/>
    </w:p>
    <w:p w14:paraId="639528CE">
      <w:pPr>
        <w:pStyle w:val="4"/>
        <w:rPr>
          <w:rFonts w:hint="default" w:ascii="Times New Roman" w:hAnsi="Times New Roman" w:cs="Times New Roman"/>
        </w:rPr>
      </w:pPr>
      <w:r>
        <w:rPr>
          <w:rFonts w:hint="eastAsia" w:cs="Times New Roman"/>
          <w:lang w:val="en-US" w:eastAsia="zh-CN"/>
        </w:rPr>
        <w:t>地块一</w:t>
      </w:r>
    </w:p>
    <w:p w14:paraId="1BAA3D34">
      <w:pPr>
        <w:pStyle w:val="5"/>
        <w:rPr>
          <w:rFonts w:hint="default" w:ascii="Times New Roman" w:hAnsi="Times New Roman" w:cs="Times New Roman"/>
        </w:rPr>
      </w:pPr>
      <w:r>
        <w:rPr>
          <w:rFonts w:hint="default" w:ascii="Times New Roman" w:hAnsi="Times New Roman" w:cs="Times New Roman"/>
        </w:rPr>
        <w:t>建构筑物区水土保持措施设计</w:t>
      </w:r>
    </w:p>
    <w:p w14:paraId="397C5DBC">
      <w:pPr>
        <w:pStyle w:val="93"/>
        <w:rPr>
          <w:rFonts w:hint="default" w:ascii="Times New Roman" w:hAnsi="Times New Roman" w:cs="Times New Roman"/>
          <w:b/>
          <w:bCs/>
        </w:rPr>
      </w:pPr>
      <w:r>
        <w:rPr>
          <w:rFonts w:hint="default" w:ascii="Times New Roman" w:hAnsi="Times New Roman" w:cs="Times New Roman"/>
          <w:b/>
          <w:bCs/>
        </w:rPr>
        <w:t>一、主体设计水土保持措施</w:t>
      </w:r>
    </w:p>
    <w:p w14:paraId="41CD2F6A">
      <w:pPr>
        <w:pStyle w:val="93"/>
        <w:rPr>
          <w:rFonts w:hint="default" w:ascii="Times New Roman" w:hAnsi="Times New Roman" w:cs="Times New Roman"/>
        </w:rPr>
      </w:pPr>
      <w:r>
        <w:rPr>
          <w:rFonts w:hint="default" w:ascii="Times New Roman" w:hAnsi="Times New Roman" w:cs="Times New Roman"/>
        </w:rPr>
        <w:t>1、工程措施</w:t>
      </w:r>
    </w:p>
    <w:p w14:paraId="28914F35">
      <w:pPr>
        <w:pStyle w:val="93"/>
        <w:rPr>
          <w:rFonts w:hint="default" w:ascii="Times New Roman" w:hAnsi="Times New Roman" w:cs="Times New Roman"/>
        </w:rPr>
      </w:pPr>
      <w:r>
        <w:rPr>
          <w:rFonts w:hint="default" w:ascii="Times New Roman" w:hAnsi="Times New Roman" w:cs="Times New Roman"/>
        </w:rPr>
        <w:t>（1）表土剥离</w:t>
      </w:r>
    </w:p>
    <w:p w14:paraId="70D8D140">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主体设计在项目前期场地平整工作时对场地内可利用熟土进行剥离，剥离出来的表土统一堆放于表土堆场，后期用作绿化区覆土土源。经统计，建构筑物区共计剥离表土</w:t>
      </w:r>
      <w:r>
        <w:rPr>
          <w:rFonts w:hint="eastAsia" w:ascii="Times New Roman" w:hAnsi="Times New Roman" w:cs="Times New Roman"/>
          <w:lang w:val="en-US" w:eastAsia="zh-CN"/>
        </w:rPr>
        <w:t>105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5D2223D2">
      <w:pPr>
        <w:pStyle w:val="100"/>
        <w:ind w:firstLine="482"/>
        <w:rPr>
          <w:rFonts w:hint="default" w:ascii="Times New Roman" w:hAnsi="Times New Roman" w:cs="Times New Roman"/>
          <w:b/>
          <w:bCs/>
        </w:rPr>
      </w:pPr>
      <w:r>
        <w:rPr>
          <w:rFonts w:hint="default" w:ascii="Times New Roman" w:hAnsi="Times New Roman" w:cs="Times New Roman"/>
          <w:b/>
          <w:bCs/>
        </w:rPr>
        <w:t>二、方案新增措施</w:t>
      </w:r>
    </w:p>
    <w:p w14:paraId="50FE55EA">
      <w:pPr>
        <w:pStyle w:val="100"/>
        <w:ind w:firstLine="480"/>
        <w:rPr>
          <w:rFonts w:hint="default" w:ascii="Times New Roman" w:hAnsi="Times New Roman" w:cs="Times New Roman"/>
        </w:rPr>
      </w:pPr>
      <w:r>
        <w:rPr>
          <w:rFonts w:hint="default" w:ascii="Times New Roman" w:hAnsi="Times New Roman" w:cs="Times New Roman"/>
        </w:rPr>
        <w:t>1、临时措施</w:t>
      </w:r>
    </w:p>
    <w:p w14:paraId="2F849FEF">
      <w:pPr>
        <w:pStyle w:val="100"/>
        <w:ind w:firstLine="480"/>
        <w:rPr>
          <w:rFonts w:hint="default" w:ascii="Times New Roman" w:hAnsi="Times New Roman" w:cs="Times New Roman"/>
        </w:rPr>
      </w:pPr>
      <w:r>
        <w:rPr>
          <w:rFonts w:hint="default" w:ascii="Times New Roman" w:hAnsi="Times New Roman" w:cs="Times New Roman"/>
        </w:rPr>
        <w:t>（1）临时苫盖</w:t>
      </w:r>
    </w:p>
    <w:p w14:paraId="6BCC6F0C">
      <w:pPr>
        <w:pStyle w:val="100"/>
        <w:ind w:firstLine="480"/>
        <w:rPr>
          <w:rFonts w:hint="default" w:ascii="Times New Roman" w:hAnsi="Times New Roman" w:cs="Times New Roman"/>
        </w:rPr>
      </w:pPr>
      <w:r>
        <w:rPr>
          <w:rFonts w:hint="default" w:ascii="Times New Roman" w:hAnsi="Times New Roman" w:cs="Times New Roman"/>
        </w:rPr>
        <w:t>为了避免施工期间裸露的开挖面及临时堆放土石方遭到降雨的冲刷而产生水土流失，本方案设计对建构筑物区临时堆放的土石方及基础开挖裸露区域进行苫盖，参照同类工程实际经验，共设计临时苫盖1</w:t>
      </w:r>
      <w:r>
        <w:rPr>
          <w:rFonts w:hint="eastAsia" w:cs="Times New Roman"/>
          <w:lang w:val="en-US" w:eastAsia="zh-CN"/>
        </w:rPr>
        <w:t>8</w:t>
      </w:r>
      <w:r>
        <w:rPr>
          <w:rFonts w:hint="default" w:ascii="Times New Roman" w:hAnsi="Times New Roman" w:cs="Times New Roman"/>
        </w:rPr>
        <w:t>0.00m</w:t>
      </w:r>
      <w:r>
        <w:rPr>
          <w:rFonts w:hint="default" w:ascii="Times New Roman" w:hAnsi="Times New Roman" w:cs="Times New Roman"/>
          <w:vertAlign w:val="superscript"/>
        </w:rPr>
        <w:t>2</w:t>
      </w:r>
      <w:r>
        <w:rPr>
          <w:rFonts w:hint="default" w:ascii="Times New Roman" w:hAnsi="Times New Roman" w:cs="Times New Roman"/>
        </w:rPr>
        <w:t>，具体工程量为铺设彩条布1</w:t>
      </w:r>
      <w:r>
        <w:rPr>
          <w:rFonts w:hint="eastAsia" w:cs="Times New Roman"/>
          <w:lang w:val="en-US" w:eastAsia="zh-CN"/>
        </w:rPr>
        <w:t>8</w:t>
      </w:r>
      <w:r>
        <w:rPr>
          <w:rFonts w:hint="default" w:ascii="Times New Roman" w:hAnsi="Times New Roman" w:cs="Times New Roman"/>
        </w:rPr>
        <w:t>0.00m</w:t>
      </w:r>
      <w:r>
        <w:rPr>
          <w:rFonts w:hint="default" w:ascii="Times New Roman" w:hAnsi="Times New Roman" w:cs="Times New Roman"/>
          <w:vertAlign w:val="superscript"/>
        </w:rPr>
        <w:t>2</w:t>
      </w:r>
      <w:r>
        <w:rPr>
          <w:rFonts w:hint="default" w:ascii="Times New Roman" w:hAnsi="Times New Roman" w:cs="Times New Roman"/>
        </w:rPr>
        <w:t>。</w:t>
      </w:r>
    </w:p>
    <w:p w14:paraId="4061D544">
      <w:pPr>
        <w:pStyle w:val="100"/>
        <w:ind w:firstLine="480"/>
        <w:rPr>
          <w:rFonts w:hint="default" w:ascii="Times New Roman" w:hAnsi="Times New Roman" w:cs="Times New Roman"/>
        </w:rPr>
      </w:pPr>
      <w:r>
        <w:rPr>
          <w:rFonts w:hint="default" w:ascii="Times New Roman" w:hAnsi="Times New Roman" w:cs="Times New Roman"/>
        </w:rPr>
        <w:t>（2）临时排水沟</w:t>
      </w:r>
    </w:p>
    <w:p w14:paraId="3CCF39FE">
      <w:pPr>
        <w:pStyle w:val="100"/>
        <w:ind w:firstLine="480"/>
        <w:rPr>
          <w:rFonts w:hint="default" w:ascii="Times New Roman" w:hAnsi="Times New Roman" w:cs="Times New Roman"/>
        </w:rPr>
      </w:pPr>
      <w:r>
        <w:rPr>
          <w:rFonts w:hint="default" w:ascii="Times New Roman" w:hAnsi="Times New Roman" w:cs="Times New Roman"/>
        </w:rPr>
        <w:t>在工程施工期间，由于主体工程规划设计的排水工程难以及时到位发挥作用，考虑到临时排水沟与后期排水沟有效的结合，因此，根据本防治区的地形条件和布置特点，永临结合布设临时排水沟，沿雨水管网区域布设临时排水沟，临时排水沟汇集施工场地内的地表径流，最终经沉沙池沉淀后排入周边市政雨水管网。工程量及投资计入主体雨水管网中。</w:t>
      </w:r>
    </w:p>
    <w:p w14:paraId="6B45E9DA">
      <w:pPr>
        <w:pStyle w:val="100"/>
        <w:ind w:firstLine="480"/>
        <w:rPr>
          <w:rFonts w:hint="default" w:ascii="Times New Roman" w:hAnsi="Times New Roman" w:cs="Times New Roman"/>
        </w:rPr>
      </w:pPr>
      <w:r>
        <w:rPr>
          <w:rFonts w:hint="default" w:ascii="Times New Roman" w:hAnsi="Times New Roman" w:cs="Times New Roman"/>
        </w:rPr>
        <w:t>2、水土保持要求</w:t>
      </w:r>
    </w:p>
    <w:p w14:paraId="12CB3E4B">
      <w:pPr>
        <w:pStyle w:val="100"/>
        <w:ind w:firstLine="480"/>
        <w:rPr>
          <w:rFonts w:hint="default" w:ascii="Times New Roman" w:hAnsi="Times New Roman" w:cs="Times New Roman"/>
        </w:rPr>
      </w:pPr>
      <w:r>
        <w:rPr>
          <w:rFonts w:hint="default" w:ascii="Times New Roman" w:hAnsi="Times New Roman" w:cs="Times New Roman"/>
        </w:rPr>
        <w:t>（1）加强施工管理，对施工过程中不能及时回填的土石方以及散状材料在不使用时应进行苫盖遮挡。严格按照工程设计及施工进度计划进行施工，减少地表裸露时间，尽量避免在雨季进行各种土石方工程；</w:t>
      </w:r>
    </w:p>
    <w:p w14:paraId="5E1DB408">
      <w:pPr>
        <w:pStyle w:val="100"/>
        <w:ind w:firstLine="480"/>
        <w:rPr>
          <w:rFonts w:hint="default" w:ascii="Times New Roman" w:hAnsi="Times New Roman" w:cs="Times New Roman"/>
        </w:rPr>
      </w:pPr>
      <w:r>
        <w:rPr>
          <w:rFonts w:hint="default" w:ascii="Times New Roman" w:hAnsi="Times New Roman" w:cs="Times New Roman"/>
        </w:rPr>
        <w:t>（2）场地回填时要做到及时分层压实，土石方和砂石料应尽量避免过高，尽量缩短堆放周期；若造成临时堆放，应采取必要的临时防护措施。</w:t>
      </w:r>
    </w:p>
    <w:p w14:paraId="5E7057A2">
      <w:pPr>
        <w:pStyle w:val="5"/>
        <w:rPr>
          <w:rFonts w:hint="default" w:ascii="Times New Roman" w:hAnsi="Times New Roman" w:cs="Times New Roman"/>
        </w:rPr>
      </w:pPr>
      <w:r>
        <w:rPr>
          <w:rFonts w:hint="eastAsia" w:ascii="Times New Roman" w:hAnsi="Times New Roman" w:cs="Times New Roman"/>
          <w:lang w:eastAsia="zh-CN"/>
        </w:rPr>
        <w:t>道路</w:t>
      </w:r>
      <w:r>
        <w:rPr>
          <w:rFonts w:hint="eastAsia" w:cs="Times New Roman"/>
          <w:lang w:eastAsia="zh-CN"/>
        </w:rPr>
        <w:t>及硬化区</w:t>
      </w:r>
      <w:r>
        <w:rPr>
          <w:rFonts w:hint="default" w:ascii="Times New Roman" w:hAnsi="Times New Roman" w:cs="Times New Roman"/>
        </w:rPr>
        <w:t>水土保持措施设计</w:t>
      </w:r>
    </w:p>
    <w:p w14:paraId="69D87820">
      <w:pPr>
        <w:pStyle w:val="93"/>
        <w:rPr>
          <w:rFonts w:hint="default" w:ascii="Times New Roman" w:hAnsi="Times New Roman" w:cs="Times New Roman"/>
          <w:b/>
          <w:bCs/>
        </w:rPr>
      </w:pPr>
      <w:r>
        <w:rPr>
          <w:rFonts w:hint="default" w:ascii="Times New Roman" w:hAnsi="Times New Roman" w:cs="Times New Roman"/>
          <w:b/>
          <w:bCs/>
        </w:rPr>
        <w:t>一、主体设计水土保持措施</w:t>
      </w:r>
    </w:p>
    <w:p w14:paraId="71724812">
      <w:pPr>
        <w:pStyle w:val="93"/>
        <w:rPr>
          <w:rFonts w:hint="default" w:ascii="Times New Roman" w:hAnsi="Times New Roman" w:cs="Times New Roman"/>
        </w:rPr>
      </w:pPr>
      <w:r>
        <w:rPr>
          <w:rFonts w:hint="default" w:ascii="Times New Roman" w:hAnsi="Times New Roman" w:cs="Times New Roman"/>
        </w:rPr>
        <w:t>1、工程措施</w:t>
      </w:r>
    </w:p>
    <w:p w14:paraId="1477F7E1">
      <w:pPr>
        <w:pStyle w:val="93"/>
        <w:rPr>
          <w:rFonts w:hint="default" w:ascii="Times New Roman" w:hAnsi="Times New Roman" w:cs="Times New Roman"/>
        </w:rPr>
      </w:pPr>
      <w:r>
        <w:rPr>
          <w:rFonts w:hint="default" w:ascii="Times New Roman" w:hAnsi="Times New Roman" w:cs="Times New Roman"/>
        </w:rPr>
        <w:t>（1）表土剥离</w:t>
      </w:r>
    </w:p>
    <w:p w14:paraId="19907CAC">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主体设计在项目前期场地平整工作时对场地内可利用熟土进行剥离，剥离出来的表土统一堆放于表土堆场，后期用作绿化区覆土土源。经统计，</w:t>
      </w:r>
      <w:r>
        <w:rPr>
          <w:rFonts w:hint="eastAsia" w:cs="Times New Roman"/>
          <w:lang w:eastAsia="zh-CN"/>
        </w:rPr>
        <w:t>道路及硬化区</w:t>
      </w:r>
      <w:r>
        <w:rPr>
          <w:rFonts w:hint="default" w:ascii="Times New Roman" w:hAnsi="Times New Roman" w:cs="Times New Roman"/>
        </w:rPr>
        <w:t>共计剥离表土</w:t>
      </w:r>
      <w:r>
        <w:rPr>
          <w:rFonts w:hint="eastAsia" w:ascii="Times New Roman" w:hAnsi="Times New Roman" w:cs="Times New Roman"/>
          <w:lang w:val="en-US" w:eastAsia="zh-CN"/>
        </w:rPr>
        <w:t>315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25436A31">
      <w:pPr>
        <w:pStyle w:val="93"/>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）雨水管网</w:t>
      </w:r>
    </w:p>
    <w:p w14:paraId="4759A4C7">
      <w:pPr>
        <w:pStyle w:val="93"/>
        <w:rPr>
          <w:rFonts w:hint="default" w:ascii="Times New Roman" w:hAnsi="Times New Roman" w:cs="Times New Roman"/>
        </w:rPr>
      </w:pPr>
      <w:r>
        <w:rPr>
          <w:rFonts w:hint="default" w:ascii="Times New Roman" w:hAnsi="Times New Roman" w:cs="Times New Roman"/>
        </w:rPr>
        <w:t>根据主体资料，项目区</w:t>
      </w:r>
      <w:r>
        <w:rPr>
          <w:rFonts w:hint="eastAsia" w:cs="Times New Roman"/>
          <w:lang w:val="en-US" w:eastAsia="zh-CN"/>
        </w:rPr>
        <w:t>地块一</w:t>
      </w:r>
      <w:r>
        <w:rPr>
          <w:rFonts w:hint="default" w:ascii="Times New Roman" w:hAnsi="Times New Roman" w:cs="Times New Roman"/>
        </w:rPr>
        <w:t>实施雨污分流，主体设计</w:t>
      </w:r>
      <w:r>
        <w:rPr>
          <w:rFonts w:hint="eastAsia" w:cs="Times New Roman"/>
          <w:lang w:val="en-US" w:eastAsia="zh-CN"/>
        </w:rPr>
        <w:t>地块一北侧及东侧道路</w:t>
      </w:r>
      <w:r>
        <w:rPr>
          <w:rFonts w:hint="default" w:ascii="Times New Roman" w:hAnsi="Times New Roman" w:cs="Times New Roman"/>
        </w:rPr>
        <w:t>设雨水管网，将汇水顺接至项目区周边的市政雨水管网。经统计，共设计修建DN</w:t>
      </w:r>
      <w:r>
        <w:rPr>
          <w:rFonts w:hint="eastAsia" w:cs="Times New Roman"/>
          <w:lang w:val="en-US" w:eastAsia="zh-CN"/>
        </w:rPr>
        <w:t>4</w:t>
      </w:r>
      <w:r>
        <w:rPr>
          <w:rFonts w:hint="default" w:ascii="Times New Roman" w:hAnsi="Times New Roman" w:cs="Times New Roman"/>
        </w:rPr>
        <w:t>00HDPE管雨水管网</w:t>
      </w:r>
      <w:r>
        <w:rPr>
          <w:rFonts w:hint="eastAsia" w:cs="Times New Roman"/>
          <w:lang w:val="en-US" w:eastAsia="zh-CN"/>
        </w:rPr>
        <w:t>135</w:t>
      </w:r>
      <w:r>
        <w:rPr>
          <w:rFonts w:hint="default" w:ascii="Times New Roman" w:hAnsi="Times New Roman" w:cs="Times New Roman"/>
        </w:rPr>
        <w:t>m</w:t>
      </w:r>
      <w:r>
        <w:rPr>
          <w:rFonts w:hint="eastAsia" w:cs="Times New Roman"/>
          <w:lang w:eastAsia="zh-CN"/>
        </w:rPr>
        <w:t>、</w:t>
      </w:r>
      <w:r>
        <w:rPr>
          <w:rFonts w:hint="default" w:ascii="Times New Roman" w:hAnsi="Times New Roman" w:cs="Times New Roman"/>
        </w:rPr>
        <w:t>DN</w:t>
      </w:r>
      <w:r>
        <w:rPr>
          <w:rFonts w:hint="eastAsia" w:cs="Times New Roman"/>
          <w:lang w:val="en-US" w:eastAsia="zh-CN"/>
        </w:rPr>
        <w:t>5</w:t>
      </w:r>
      <w:r>
        <w:rPr>
          <w:rFonts w:hint="default" w:ascii="Times New Roman" w:hAnsi="Times New Roman" w:cs="Times New Roman"/>
        </w:rPr>
        <w:t>00HDPE管雨水管网</w:t>
      </w:r>
      <w:r>
        <w:rPr>
          <w:rFonts w:hint="eastAsia" w:cs="Times New Roman"/>
          <w:lang w:val="en-US" w:eastAsia="zh-CN"/>
        </w:rPr>
        <w:t>65m</w:t>
      </w:r>
      <w:r>
        <w:rPr>
          <w:rFonts w:hint="default" w:ascii="Times New Roman" w:hAnsi="Times New Roman" w:cs="Times New Roman"/>
        </w:rPr>
        <w:t>。</w:t>
      </w:r>
    </w:p>
    <w:p w14:paraId="45CE481E">
      <w:pPr>
        <w:pStyle w:val="100"/>
        <w:ind w:firstLine="482"/>
        <w:rPr>
          <w:rFonts w:hint="default" w:ascii="Times New Roman" w:hAnsi="Times New Roman" w:cs="Times New Roman"/>
          <w:b/>
          <w:bCs/>
        </w:rPr>
      </w:pPr>
      <w:r>
        <w:rPr>
          <w:rFonts w:hint="default" w:ascii="Times New Roman" w:hAnsi="Times New Roman" w:cs="Times New Roman"/>
          <w:b/>
          <w:bCs/>
        </w:rPr>
        <w:t>二、方案新增措施</w:t>
      </w:r>
    </w:p>
    <w:p w14:paraId="08B6A7AC">
      <w:pPr>
        <w:pStyle w:val="93"/>
        <w:rPr>
          <w:rFonts w:hint="default" w:ascii="Times New Roman" w:hAnsi="Times New Roman" w:cs="Times New Roman"/>
        </w:rPr>
      </w:pPr>
      <w:r>
        <w:rPr>
          <w:rFonts w:hint="default" w:ascii="Times New Roman" w:hAnsi="Times New Roman" w:cs="Times New Roman"/>
        </w:rPr>
        <w:t>1、临时措施</w:t>
      </w:r>
    </w:p>
    <w:p w14:paraId="06236C36">
      <w:pPr>
        <w:pStyle w:val="93"/>
        <w:rPr>
          <w:rFonts w:hint="default" w:ascii="Times New Roman" w:hAnsi="Times New Roman" w:eastAsia="仿宋_GB2312" w:cs="Times New Roman"/>
          <w:lang w:val="en-US" w:eastAsia="zh-CN"/>
        </w:rPr>
      </w:pPr>
      <w:r>
        <w:rPr>
          <w:rFonts w:hint="default" w:ascii="Times New Roman" w:hAnsi="Times New Roman" w:cs="Times New Roman"/>
        </w:rPr>
        <w:t>（1）车辆清洗</w:t>
      </w:r>
      <w:r>
        <w:rPr>
          <w:rFonts w:hint="default" w:ascii="Times New Roman" w:hAnsi="Times New Roman" w:cs="Times New Roman"/>
          <w:lang w:val="en-US" w:eastAsia="zh-CN"/>
        </w:rPr>
        <w:t>设施</w:t>
      </w:r>
    </w:p>
    <w:p w14:paraId="139AB96F">
      <w:pPr>
        <w:ind w:firstLine="480"/>
        <w:rPr>
          <w:rFonts w:cs="Times New Roman"/>
          <w:color w:val="000000" w:themeColor="text1"/>
        </w:rPr>
      </w:pPr>
      <w:r>
        <w:rPr>
          <w:rFonts w:ascii="仿宋_GB2312"/>
          <w:color w:val="000000" w:themeColor="text1"/>
        </w:rPr>
        <w:t>为了防止施工车辆对周边已建道路造成污染，引起扬尘，兼顾沉淀</w:t>
      </w:r>
      <w:r>
        <w:rPr>
          <w:rFonts w:hint="eastAsia" w:ascii="仿宋_GB2312"/>
          <w:color w:val="000000" w:themeColor="text1"/>
        </w:rPr>
        <w:t>临时排水</w:t>
      </w:r>
      <w:r>
        <w:rPr>
          <w:rFonts w:ascii="仿宋_GB2312"/>
          <w:color w:val="000000" w:themeColor="text1"/>
        </w:rPr>
        <w:t>沟汇水中的泥沙，</w:t>
      </w:r>
      <w:r>
        <w:rPr>
          <w:rFonts w:hint="eastAsia" w:ascii="仿宋_GB2312"/>
          <w:color w:val="000000" w:themeColor="text1"/>
        </w:rPr>
        <w:t>方案考虑在</w:t>
      </w:r>
      <w:r>
        <w:rPr>
          <w:rFonts w:ascii="仿宋_GB2312"/>
          <w:color w:val="000000" w:themeColor="text1"/>
        </w:rPr>
        <w:t>项目建设区</w:t>
      </w:r>
      <w:r>
        <w:rPr>
          <w:rFonts w:hint="eastAsia" w:ascii="仿宋_GB2312"/>
          <w:color w:val="000000" w:themeColor="text1"/>
          <w:lang w:val="en-US" w:eastAsia="zh-CN"/>
        </w:rPr>
        <w:t>东北</w:t>
      </w:r>
      <w:r>
        <w:rPr>
          <w:rFonts w:hint="eastAsia" w:ascii="仿宋_GB2312"/>
          <w:color w:val="000000" w:themeColor="text1"/>
        </w:rPr>
        <w:t>侧</w:t>
      </w:r>
      <w:r>
        <w:rPr>
          <w:rFonts w:ascii="仿宋_GB2312"/>
          <w:color w:val="000000" w:themeColor="text1"/>
        </w:rPr>
        <w:t>施工出入口</w:t>
      </w:r>
      <w:r>
        <w:rPr>
          <w:rFonts w:hint="eastAsia" w:ascii="仿宋_GB2312"/>
          <w:color w:val="000000" w:themeColor="text1"/>
        </w:rPr>
        <w:t>布置一座车辆清洁池（包括车辆清洗池和冲洗设备），</w:t>
      </w:r>
      <w:r>
        <w:rPr>
          <w:rFonts w:ascii="仿宋_GB2312"/>
          <w:color w:val="000000" w:themeColor="text1"/>
        </w:rPr>
        <w:t>布设的车辆清洗池设计长</w:t>
      </w:r>
      <w:r>
        <w:rPr>
          <w:rFonts w:hint="eastAsia"/>
          <w:color w:val="000000" w:themeColor="text1"/>
        </w:rPr>
        <w:t>10</w:t>
      </w:r>
      <w:r>
        <w:rPr>
          <w:color w:val="000000" w:themeColor="text1"/>
        </w:rPr>
        <w:t>m</w:t>
      </w:r>
      <w:r>
        <w:rPr>
          <w:rFonts w:ascii="仿宋_GB2312"/>
          <w:color w:val="000000" w:themeColor="text1"/>
        </w:rPr>
        <w:t>，宽</w:t>
      </w:r>
      <w:r>
        <w:rPr>
          <w:rFonts w:hint="eastAsia"/>
          <w:color w:val="000000" w:themeColor="text1"/>
        </w:rPr>
        <w:t>4.4</w:t>
      </w:r>
      <w:r>
        <w:rPr>
          <w:color w:val="000000" w:themeColor="text1"/>
        </w:rPr>
        <w:t>m</w:t>
      </w:r>
      <w:r>
        <w:rPr>
          <w:rFonts w:ascii="仿宋_GB2312"/>
          <w:color w:val="000000" w:themeColor="text1"/>
        </w:rPr>
        <w:t>，顺长方向弧形设置，即中间最深处</w:t>
      </w:r>
      <w:r>
        <w:rPr>
          <w:rFonts w:hint="eastAsia"/>
          <w:color w:val="000000" w:themeColor="text1"/>
        </w:rPr>
        <w:t>175</w:t>
      </w:r>
      <w:r>
        <w:rPr>
          <w:color w:val="000000" w:themeColor="text1"/>
        </w:rPr>
        <w:t>cm</w:t>
      </w:r>
      <w:r>
        <w:rPr>
          <w:rFonts w:ascii="仿宋_GB2312"/>
          <w:color w:val="000000" w:themeColor="text1"/>
        </w:rPr>
        <w:t>，圆弧夹角</w:t>
      </w:r>
      <w:r>
        <w:rPr>
          <w:color w:val="000000" w:themeColor="text1"/>
        </w:rPr>
        <w:t>45°</w:t>
      </w:r>
      <w:r>
        <w:rPr>
          <w:rFonts w:ascii="仿宋_GB2312"/>
          <w:color w:val="000000" w:themeColor="text1"/>
        </w:rPr>
        <w:t>，</w:t>
      </w:r>
      <w:r>
        <w:rPr>
          <w:color w:val="000000" w:themeColor="text1"/>
        </w:rPr>
        <w:t>C20</w:t>
      </w:r>
      <w:r>
        <w:rPr>
          <w:rFonts w:ascii="仿宋_GB2312"/>
          <w:color w:val="000000" w:themeColor="text1"/>
        </w:rPr>
        <w:t>砼浇筑，池底</w:t>
      </w:r>
      <w:r>
        <w:rPr>
          <w:rFonts w:hint="eastAsia" w:ascii="仿宋_GB2312"/>
          <w:color w:val="000000" w:themeColor="text1"/>
        </w:rPr>
        <w:t>平均浇筑厚度</w:t>
      </w:r>
      <w:r>
        <w:rPr>
          <w:rFonts w:hint="eastAsia"/>
          <w:color w:val="000000" w:themeColor="text1"/>
        </w:rPr>
        <w:t>30cm</w:t>
      </w:r>
      <w:r>
        <w:rPr>
          <w:rFonts w:hint="eastAsia" w:ascii="仿宋_GB2312"/>
          <w:color w:val="000000" w:themeColor="text1"/>
        </w:rPr>
        <w:t>，池壁浇筑厚度</w:t>
      </w:r>
      <w:r>
        <w:rPr>
          <w:rFonts w:hint="eastAsia"/>
          <w:color w:val="000000" w:themeColor="text1"/>
        </w:rPr>
        <w:t>20cm</w:t>
      </w:r>
      <w:r>
        <w:rPr>
          <w:rFonts w:hint="eastAsia" w:ascii="仿宋_GB2312"/>
          <w:color w:val="000000" w:themeColor="text1"/>
        </w:rPr>
        <w:t>。工程量为：</w:t>
      </w:r>
      <w:r>
        <w:rPr>
          <w:rFonts w:ascii="仿宋_GB2312"/>
          <w:color w:val="000000" w:themeColor="text1"/>
        </w:rPr>
        <w:t>土方开挖</w:t>
      </w:r>
      <w:r>
        <w:rPr>
          <w:rFonts w:hint="eastAsia"/>
          <w:color w:val="000000" w:themeColor="text1"/>
        </w:rPr>
        <w:t>42.00</w:t>
      </w:r>
      <w:r>
        <w:rPr>
          <w:color w:val="000000" w:themeColor="text1"/>
        </w:rPr>
        <w:t>m</w:t>
      </w:r>
      <w:r>
        <w:rPr>
          <w:color w:val="000000" w:themeColor="text1"/>
          <w:vertAlign w:val="superscript"/>
        </w:rPr>
        <w:t>3</w:t>
      </w:r>
      <w:r>
        <w:rPr>
          <w:rFonts w:ascii="仿宋_GB2312"/>
          <w:color w:val="000000" w:themeColor="text1"/>
        </w:rPr>
        <w:t>，土方回填</w:t>
      </w:r>
      <w:r>
        <w:rPr>
          <w:rFonts w:hint="eastAsia"/>
          <w:color w:val="000000" w:themeColor="text1"/>
        </w:rPr>
        <w:t>10.80</w:t>
      </w:r>
      <w:r>
        <w:rPr>
          <w:color w:val="000000" w:themeColor="text1"/>
        </w:rPr>
        <w:t>m</w:t>
      </w:r>
      <w:r>
        <w:rPr>
          <w:color w:val="000000" w:themeColor="text1"/>
          <w:vertAlign w:val="superscript"/>
        </w:rPr>
        <w:t>3</w:t>
      </w:r>
      <w:r>
        <w:rPr>
          <w:rFonts w:ascii="仿宋_GB2312"/>
          <w:color w:val="000000" w:themeColor="text1"/>
        </w:rPr>
        <w:t>，</w:t>
      </w:r>
      <w:r>
        <w:rPr>
          <w:rFonts w:hint="eastAsia"/>
          <w:color w:val="000000" w:themeColor="text1"/>
        </w:rPr>
        <w:t>C20</w:t>
      </w:r>
      <w:r>
        <w:rPr>
          <w:rFonts w:hint="eastAsia" w:ascii="仿宋_GB2312"/>
          <w:color w:val="000000" w:themeColor="text1"/>
        </w:rPr>
        <w:t>砼</w:t>
      </w:r>
      <w:r>
        <w:rPr>
          <w:rFonts w:hint="eastAsia"/>
          <w:color w:val="000000" w:themeColor="text1"/>
        </w:rPr>
        <w:t>21.00</w:t>
      </w:r>
      <w:r>
        <w:rPr>
          <w:color w:val="000000" w:themeColor="text1"/>
        </w:rPr>
        <w:t>m</w:t>
      </w:r>
      <w:r>
        <w:rPr>
          <w:color w:val="000000" w:themeColor="text1"/>
          <w:vertAlign w:val="superscript"/>
        </w:rPr>
        <w:t>3</w:t>
      </w:r>
      <w:r>
        <w:rPr>
          <w:rFonts w:ascii="仿宋_GB2312"/>
          <w:color w:val="000000" w:themeColor="text1"/>
        </w:rPr>
        <w:t>，</w:t>
      </w:r>
      <w:r>
        <w:rPr>
          <w:rFonts w:hint="eastAsia" w:ascii="仿宋_GB2312"/>
          <w:color w:val="000000" w:themeColor="text1"/>
        </w:rPr>
        <w:t>冲洗设备一套</w:t>
      </w:r>
      <w:r>
        <w:rPr>
          <w:rFonts w:ascii="仿宋_GB2312"/>
          <w:color w:val="000000" w:themeColor="text1"/>
        </w:rPr>
        <w:t>。</w:t>
      </w:r>
    </w:p>
    <w:p w14:paraId="6D75095A">
      <w:pPr>
        <w:pStyle w:val="100"/>
        <w:ind w:firstLine="480"/>
        <w:rPr>
          <w:rFonts w:hint="default" w:ascii="Times New Roman" w:hAnsi="Times New Roman" w:cs="Times New Roman"/>
        </w:rPr>
      </w:pPr>
      <w:r>
        <w:rPr>
          <w:rFonts w:hint="default" w:ascii="Times New Roman" w:hAnsi="Times New Roman" w:cs="Times New Roman"/>
        </w:rPr>
        <w:t>（2）临时沉砂池</w:t>
      </w:r>
    </w:p>
    <w:p w14:paraId="26956A09">
      <w:pPr>
        <w:pStyle w:val="100"/>
        <w:ind w:firstLine="480"/>
        <w:rPr>
          <w:rFonts w:hint="default" w:ascii="Times New Roman" w:hAnsi="Times New Roman" w:cs="Times New Roman"/>
        </w:rPr>
      </w:pPr>
      <w:r>
        <w:rPr>
          <w:rFonts w:hint="default" w:ascii="Times New Roman" w:hAnsi="Times New Roman" w:cs="Times New Roman"/>
        </w:rPr>
        <w:t>为了有效降低施工期间外排水的含沙率，根据工程实际情况考虑，本方案考虑采用沉砂池对泥沙进行沉淀后再进行外排，在绿化区排水出口布设沉砂池</w:t>
      </w:r>
      <w:r>
        <w:rPr>
          <w:rFonts w:hint="eastAsia" w:cs="Times New Roman"/>
          <w:lang w:val="en-US" w:eastAsia="zh-CN"/>
        </w:rPr>
        <w:t>2</w:t>
      </w:r>
      <w:r>
        <w:rPr>
          <w:rFonts w:hint="default" w:ascii="Times New Roman" w:hAnsi="Times New Roman" w:cs="Times New Roman"/>
        </w:rPr>
        <w:t>座。方案设计在临时排水沟中部及出水口处布设沉砂池，沉砂池断面尺寸为：长×宽×深=2.0m×1.0m×1.5m，单座沉砂池</w:t>
      </w:r>
      <w:r>
        <w:rPr>
          <w:rFonts w:hint="eastAsia" w:cs="Times New Roman"/>
          <w:lang w:val="en-US" w:eastAsia="zh-CN"/>
        </w:rPr>
        <w:t>工程量为：</w:t>
      </w:r>
      <w:r>
        <w:rPr>
          <w:rFonts w:hint="default" w:ascii="Times New Roman" w:hAnsi="Times New Roman" w:cs="Times New Roman"/>
        </w:rPr>
        <w:t>土方开挖4.20m</w:t>
      </w:r>
      <w:r>
        <w:rPr>
          <w:rFonts w:hint="default" w:ascii="Times New Roman" w:hAnsi="Times New Roman" w:cs="Times New Roman"/>
          <w:vertAlign w:val="superscript"/>
        </w:rPr>
        <w:t>3</w:t>
      </w:r>
      <w:r>
        <w:rPr>
          <w:rFonts w:hint="default" w:ascii="Times New Roman" w:hAnsi="Times New Roman" w:cs="Times New Roman"/>
        </w:rPr>
        <w:t>，土方回填0.80m</w:t>
      </w:r>
      <w:r>
        <w:rPr>
          <w:rFonts w:hint="default" w:ascii="Times New Roman" w:hAnsi="Times New Roman" w:cs="Times New Roman"/>
          <w:vertAlign w:val="superscript"/>
        </w:rPr>
        <w:t>3</w:t>
      </w:r>
      <w:r>
        <w:rPr>
          <w:rFonts w:hint="default" w:ascii="Times New Roman" w:hAnsi="Times New Roman" w:cs="Times New Roman"/>
        </w:rPr>
        <w:t>，M7.5砂浆砌砖1.21m</w:t>
      </w:r>
      <w:r>
        <w:rPr>
          <w:rFonts w:hint="default" w:ascii="Times New Roman" w:hAnsi="Times New Roman" w:cs="Times New Roman"/>
          <w:vertAlign w:val="superscript"/>
        </w:rPr>
        <w:t>3</w:t>
      </w:r>
      <w:r>
        <w:rPr>
          <w:rFonts w:hint="default" w:ascii="Times New Roman" w:hAnsi="Times New Roman" w:cs="Times New Roman"/>
        </w:rPr>
        <w:t>，M7.5砂浆抹面15.50m</w:t>
      </w:r>
      <w:r>
        <w:rPr>
          <w:rFonts w:hint="default" w:ascii="Times New Roman" w:hAnsi="Times New Roman" w:cs="Times New Roman"/>
          <w:vertAlign w:val="superscript"/>
        </w:rPr>
        <w:t>2</w:t>
      </w:r>
      <w:r>
        <w:rPr>
          <w:rFonts w:hint="default" w:ascii="Times New Roman" w:hAnsi="Times New Roman" w:cs="Times New Roman"/>
        </w:rPr>
        <w:t>，C20砼0.33m</w:t>
      </w:r>
      <w:r>
        <w:rPr>
          <w:rFonts w:hint="default" w:ascii="Times New Roman" w:hAnsi="Times New Roman" w:cs="Times New Roman"/>
          <w:vertAlign w:val="superscript"/>
        </w:rPr>
        <w:t>3</w:t>
      </w:r>
      <w:r>
        <w:rPr>
          <w:rFonts w:hint="eastAsia" w:cs="Times New Roman"/>
          <w:lang w:eastAsia="zh-CN"/>
        </w:rPr>
        <w:t>。</w:t>
      </w:r>
      <w:r>
        <w:rPr>
          <w:rFonts w:hint="default" w:ascii="Times New Roman" w:hAnsi="Times New Roman" w:cs="Times New Roman"/>
        </w:rPr>
        <w:t>施工期间应定期对沉砂池进行清理，将清理出的泥沙回填至绿化区域，施工结束后将沉砂池回填。</w:t>
      </w:r>
    </w:p>
    <w:p w14:paraId="5F3BD95D">
      <w:pPr>
        <w:pStyle w:val="100"/>
        <w:ind w:firstLine="48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）临时苫盖</w:t>
      </w:r>
    </w:p>
    <w:p w14:paraId="44861CD7">
      <w:pPr>
        <w:pStyle w:val="100"/>
        <w:ind w:firstLine="480"/>
        <w:rPr>
          <w:rFonts w:hint="default" w:ascii="Times New Roman" w:hAnsi="Times New Roman" w:cs="Times New Roman"/>
        </w:rPr>
      </w:pPr>
      <w:r>
        <w:rPr>
          <w:rFonts w:hint="default" w:ascii="Times New Roman" w:hAnsi="Times New Roman" w:cs="Times New Roman"/>
        </w:rPr>
        <w:t>为了避免施工期间裸露的开挖面及临时堆放土石方遭到降雨的冲刷而产生水土流失，本方案设计对</w:t>
      </w:r>
      <w:r>
        <w:rPr>
          <w:rFonts w:hint="eastAsia" w:cs="Times New Roman"/>
          <w:lang w:eastAsia="zh-CN"/>
        </w:rPr>
        <w:t>道路及硬化区</w:t>
      </w:r>
      <w:r>
        <w:rPr>
          <w:rFonts w:hint="default" w:ascii="Times New Roman" w:hAnsi="Times New Roman" w:cs="Times New Roman"/>
        </w:rPr>
        <w:t>临时堆放的土石方及开挖裸露区域进行苫盖，参照同类工程实际经验，共设计临时苫盖</w:t>
      </w:r>
      <w:r>
        <w:rPr>
          <w:rFonts w:hint="eastAsia" w:cs="Times New Roman"/>
          <w:lang w:val="en-US" w:eastAsia="zh-CN"/>
        </w:rPr>
        <w:t>231</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，具体工程量为铺设彩条布</w:t>
      </w:r>
      <w:r>
        <w:rPr>
          <w:rFonts w:hint="eastAsia" w:cs="Times New Roman"/>
          <w:lang w:val="en-US" w:eastAsia="zh-CN"/>
        </w:rPr>
        <w:t>231</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w:t>
      </w:r>
    </w:p>
    <w:p w14:paraId="1353021D">
      <w:pPr>
        <w:pStyle w:val="100"/>
        <w:ind w:firstLine="480"/>
        <w:rPr>
          <w:rFonts w:hint="default" w:ascii="Times New Roman" w:hAnsi="Times New Roman" w:cs="Times New Roman"/>
        </w:rPr>
      </w:pPr>
      <w:r>
        <w:rPr>
          <w:rFonts w:hint="default" w:ascii="Times New Roman" w:hAnsi="Times New Roman" w:cs="Times New Roman"/>
        </w:rPr>
        <w:t>2、水土保持要求</w:t>
      </w:r>
    </w:p>
    <w:p w14:paraId="78D4DF7C">
      <w:pPr>
        <w:pStyle w:val="100"/>
        <w:ind w:firstLine="480"/>
        <w:rPr>
          <w:rFonts w:hint="default" w:ascii="Times New Roman" w:hAnsi="Times New Roman" w:cs="Times New Roman"/>
        </w:rPr>
      </w:pPr>
      <w:r>
        <w:rPr>
          <w:rFonts w:hint="default" w:ascii="Times New Roman" w:hAnsi="Times New Roman" w:cs="Times New Roman"/>
        </w:rPr>
        <w:t>（1）严格按照工程设计及施工进度计划进行施工，减少地表裸露时间；</w:t>
      </w:r>
    </w:p>
    <w:p w14:paraId="0860AFBA">
      <w:pPr>
        <w:pStyle w:val="100"/>
        <w:ind w:firstLine="480"/>
        <w:rPr>
          <w:rFonts w:hint="default" w:ascii="Times New Roman" w:hAnsi="Times New Roman" w:eastAsia="仿宋_GB2312" w:cs="Times New Roman"/>
          <w:lang w:eastAsia="zh-CN"/>
        </w:rPr>
      </w:pPr>
      <w:r>
        <w:rPr>
          <w:rFonts w:hint="default" w:ascii="Times New Roman" w:hAnsi="Times New Roman" w:cs="Times New Roman"/>
        </w:rPr>
        <w:t>（2）建设单位在施工过程中应派专人对各项排水措施及其防护效果进行定期检查，对出现问题的措施应及时整改和补救</w:t>
      </w:r>
      <w:r>
        <w:rPr>
          <w:rFonts w:hint="default" w:ascii="Times New Roman" w:hAnsi="Times New Roman" w:cs="Times New Roman"/>
          <w:lang w:eastAsia="zh-CN"/>
        </w:rPr>
        <w:t>；</w:t>
      </w:r>
    </w:p>
    <w:p w14:paraId="28D99B4B">
      <w:pPr>
        <w:pStyle w:val="100"/>
        <w:ind w:firstLine="480"/>
        <w:rPr>
          <w:rFonts w:hint="default" w:ascii="Times New Roman" w:hAnsi="Times New Roman" w:cs="Times New Roman"/>
        </w:rPr>
      </w:pPr>
      <w:r>
        <w:rPr>
          <w:rFonts w:hint="default" w:ascii="Times New Roman" w:hAnsi="Times New Roman" w:cs="Times New Roman"/>
        </w:rPr>
        <w:t>（3）合理选择施工工序，尽量缩短土石方的堆放时间，避免产生大量的水土流失。</w:t>
      </w:r>
    </w:p>
    <w:p w14:paraId="2D18B894">
      <w:pPr>
        <w:pStyle w:val="5"/>
        <w:rPr>
          <w:rFonts w:hint="default" w:ascii="Times New Roman" w:hAnsi="Times New Roman" w:cs="Times New Roman"/>
        </w:rPr>
      </w:pPr>
      <w:r>
        <w:rPr>
          <w:rFonts w:hint="default" w:ascii="Times New Roman" w:hAnsi="Times New Roman" w:cs="Times New Roman"/>
        </w:rPr>
        <w:t>绿化区水土保持措施设计</w:t>
      </w:r>
    </w:p>
    <w:p w14:paraId="2CB1545A">
      <w:pPr>
        <w:pStyle w:val="93"/>
        <w:rPr>
          <w:rFonts w:hint="default" w:ascii="Times New Roman" w:hAnsi="Times New Roman" w:cs="Times New Roman"/>
          <w:b/>
          <w:bCs/>
        </w:rPr>
      </w:pPr>
      <w:r>
        <w:rPr>
          <w:rFonts w:hint="default" w:ascii="Times New Roman" w:hAnsi="Times New Roman" w:cs="Times New Roman"/>
          <w:b/>
          <w:bCs/>
        </w:rPr>
        <w:t>一、主体设计水土保持措施</w:t>
      </w:r>
    </w:p>
    <w:p w14:paraId="355FE1DC">
      <w:pPr>
        <w:pStyle w:val="93"/>
        <w:rPr>
          <w:rFonts w:hint="default" w:ascii="Times New Roman" w:hAnsi="Times New Roman" w:cs="Times New Roman"/>
        </w:rPr>
      </w:pPr>
      <w:r>
        <w:rPr>
          <w:rFonts w:hint="default" w:ascii="Times New Roman" w:hAnsi="Times New Roman" w:cs="Times New Roman"/>
        </w:rPr>
        <w:t>1、工程措施</w:t>
      </w:r>
    </w:p>
    <w:p w14:paraId="57A0CF8D">
      <w:pPr>
        <w:pStyle w:val="93"/>
        <w:rPr>
          <w:rFonts w:hint="default" w:ascii="Times New Roman" w:hAnsi="Times New Roman" w:cs="Times New Roman"/>
        </w:rPr>
      </w:pPr>
      <w:r>
        <w:rPr>
          <w:rFonts w:hint="default" w:ascii="Times New Roman" w:hAnsi="Times New Roman" w:cs="Times New Roman"/>
        </w:rPr>
        <w:t>（1）表土剥离</w:t>
      </w:r>
    </w:p>
    <w:p w14:paraId="5ED06112">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主体设计在项目前期场地平整工作时对场地内可利用熟土进行剥离，剥离出来的表土统一堆放于表土堆场，后期用作绿化区覆土土源。经统计，</w:t>
      </w:r>
      <w:r>
        <w:rPr>
          <w:rFonts w:hint="eastAsia" w:ascii="Times New Roman" w:hAnsi="Times New Roman" w:cs="Times New Roman"/>
          <w:lang w:val="en-US" w:eastAsia="zh-CN"/>
        </w:rPr>
        <w:t>绿化</w:t>
      </w:r>
      <w:r>
        <w:rPr>
          <w:rFonts w:hint="eastAsia" w:cs="Times New Roman"/>
          <w:lang w:eastAsia="zh-CN"/>
        </w:rPr>
        <w:t>区</w:t>
      </w:r>
      <w:r>
        <w:rPr>
          <w:rFonts w:hint="default" w:ascii="Times New Roman" w:hAnsi="Times New Roman" w:cs="Times New Roman"/>
        </w:rPr>
        <w:t>共计剥离表土</w:t>
      </w:r>
      <w:r>
        <w:rPr>
          <w:rFonts w:hint="eastAsia" w:ascii="Times New Roman" w:hAnsi="Times New Roman" w:cs="Times New Roman"/>
          <w:lang w:val="en-US" w:eastAsia="zh-CN"/>
        </w:rPr>
        <w:t>135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637E4E4F">
      <w:pPr>
        <w:ind w:firstLine="480"/>
        <w:rPr>
          <w:rFonts w:hint="default" w:ascii="Times New Roman" w:hAnsi="Times New Roman" w:cs="Times New Roman"/>
        </w:rPr>
      </w:pPr>
      <w:r>
        <w:rPr>
          <w:rFonts w:hint="default" w:ascii="Times New Roman" w:hAnsi="Times New Roman" w:cs="Times New Roman"/>
        </w:rPr>
        <w:t>2、植物措施</w:t>
      </w:r>
    </w:p>
    <w:p w14:paraId="4B508DA4">
      <w:pPr>
        <w:pStyle w:val="100"/>
        <w:ind w:firstLine="480"/>
        <w:rPr>
          <w:rFonts w:hint="default" w:ascii="Times New Roman" w:hAnsi="Times New Roman" w:cs="Times New Roman"/>
        </w:rPr>
      </w:pPr>
      <w:r>
        <w:rPr>
          <w:rFonts w:hint="default" w:ascii="Times New Roman" w:hAnsi="Times New Roman" w:cs="Times New Roman"/>
        </w:rPr>
        <w:t>（1）景观绿化</w:t>
      </w:r>
    </w:p>
    <w:p w14:paraId="2691CBF6">
      <w:pPr>
        <w:adjustRightInd w:val="0"/>
        <w:snapToGrid w:val="0"/>
        <w:ind w:firstLine="480"/>
        <w:rPr>
          <w:rFonts w:hint="default" w:ascii="Times New Roman" w:hAnsi="Times New Roman" w:cs="Times New Roman"/>
        </w:rPr>
      </w:pPr>
      <w:r>
        <w:rPr>
          <w:rFonts w:hint="default" w:ascii="Times New Roman" w:hAnsi="Times New Roman" w:cs="Times New Roman"/>
        </w:rPr>
        <w:t>本项目</w:t>
      </w:r>
      <w:r>
        <w:rPr>
          <w:rFonts w:hint="eastAsia" w:cs="Times New Roman"/>
          <w:lang w:val="en-US" w:eastAsia="zh-CN"/>
        </w:rPr>
        <w:t>主体</w:t>
      </w:r>
      <w:r>
        <w:rPr>
          <w:rFonts w:hint="default" w:ascii="Times New Roman" w:hAnsi="Times New Roman" w:cs="Times New Roman"/>
        </w:rPr>
        <w:t>设计中，对场区建筑物周边其他空地进行绿化，绿化采用多重复合的绿化体系，主要为乔、灌、草相结合，常绿与落叶相结合的方式进行绿化。根据设计资料及图纸，绿化区绿化面积0.0</w:t>
      </w:r>
      <w:r>
        <w:rPr>
          <w:rFonts w:hint="eastAsia" w:cs="Times New Roman"/>
          <w:lang w:val="en-US" w:eastAsia="zh-CN"/>
        </w:rPr>
        <w:t>9</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42E472C8">
      <w:pPr>
        <w:pStyle w:val="100"/>
        <w:ind w:firstLine="482"/>
        <w:rPr>
          <w:rFonts w:hint="default" w:ascii="Times New Roman" w:hAnsi="Times New Roman" w:cs="Times New Roman"/>
          <w:b/>
          <w:bCs/>
        </w:rPr>
      </w:pPr>
      <w:r>
        <w:rPr>
          <w:rFonts w:hint="default" w:ascii="Times New Roman" w:hAnsi="Times New Roman" w:cs="Times New Roman"/>
          <w:b/>
          <w:bCs/>
        </w:rPr>
        <w:t>二、方案新增措施</w:t>
      </w:r>
    </w:p>
    <w:p w14:paraId="19842B94">
      <w:pPr>
        <w:pStyle w:val="100"/>
        <w:ind w:firstLine="480"/>
        <w:rPr>
          <w:rFonts w:hint="default" w:ascii="Times New Roman" w:hAnsi="Times New Roman" w:cs="Times New Roman"/>
        </w:rPr>
      </w:pPr>
      <w:r>
        <w:rPr>
          <w:rFonts w:hint="default" w:ascii="Times New Roman" w:hAnsi="Times New Roman" w:cs="Times New Roman"/>
        </w:rPr>
        <w:t>1、临时措施</w:t>
      </w:r>
    </w:p>
    <w:p w14:paraId="0D57D1E4">
      <w:pPr>
        <w:pStyle w:val="100"/>
        <w:ind w:firstLine="480"/>
        <w:rPr>
          <w:rFonts w:hint="default" w:ascii="Times New Roman" w:hAnsi="Times New Roman" w:cs="Times New Roman"/>
        </w:rPr>
      </w:pPr>
      <w:r>
        <w:rPr>
          <w:rFonts w:hint="default" w:ascii="Times New Roman" w:hAnsi="Times New Roman" w:cs="Times New Roman"/>
        </w:rPr>
        <w:t>（1）临时苫盖</w:t>
      </w:r>
    </w:p>
    <w:p w14:paraId="1D413EA9">
      <w:pPr>
        <w:pStyle w:val="100"/>
        <w:ind w:firstLine="480"/>
        <w:rPr>
          <w:rFonts w:hint="default" w:ascii="Times New Roman" w:hAnsi="Times New Roman" w:cs="Times New Roman"/>
        </w:rPr>
      </w:pPr>
      <w:r>
        <w:rPr>
          <w:rFonts w:hint="default" w:ascii="Times New Roman" w:hAnsi="Times New Roman" w:cs="Times New Roman"/>
        </w:rPr>
        <w:t>由于绿化区植物措施需要一定的生长期才能达到蓄水保土的目的，在自然恢复期仍存在部分土体松散裸露，为了防止暴雨天气雨水的冲刷，利于植被生长与存活，方案新增临时苫盖措施，采用无纺布对绿化区域进行临时苫盖。设计临时苫盖面积为</w:t>
      </w:r>
      <w:r>
        <w:rPr>
          <w:rFonts w:hint="eastAsia" w:cs="Times New Roman"/>
          <w:lang w:val="en-US" w:eastAsia="zh-CN"/>
        </w:rPr>
        <w:t>900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，具体工程量为铺设无纺布</w:t>
      </w:r>
      <w:r>
        <w:rPr>
          <w:rFonts w:hint="eastAsia" w:cs="Times New Roman"/>
          <w:lang w:val="en-US" w:eastAsia="zh-CN"/>
        </w:rPr>
        <w:t>900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14:paraId="2E3910A8">
      <w:pPr>
        <w:pStyle w:val="109"/>
        <w:ind w:firstLine="480"/>
        <w:rPr>
          <w:lang w:val="zh-CN"/>
        </w:rPr>
      </w:pPr>
      <w:r>
        <w:rPr>
          <w:lang w:val="zh-CN"/>
        </w:rPr>
        <w:t>（</w:t>
      </w:r>
      <w:r>
        <w:rPr>
          <w:rFonts w:hint="eastAsia"/>
          <w:lang w:val="en-US" w:eastAsia="zh-CN"/>
        </w:rPr>
        <w:t>2</w:t>
      </w:r>
      <w:r>
        <w:rPr>
          <w:lang w:val="zh-CN"/>
        </w:rPr>
        <w:t>）临时苫盖</w:t>
      </w:r>
    </w:p>
    <w:p w14:paraId="16E15028">
      <w:pPr>
        <w:pStyle w:val="109"/>
        <w:ind w:firstLine="480"/>
      </w:pPr>
      <w:r>
        <w:rPr>
          <w:rFonts w:hint="eastAsia"/>
          <w:lang w:val="zh-CN"/>
        </w:rPr>
        <w:t>为了减轻降雨对表土的冲刷侵蚀，</w:t>
      </w:r>
      <w:r>
        <w:rPr>
          <w:lang w:val="zh-CN"/>
        </w:rPr>
        <w:t>方案补充对表土堆场</w:t>
      </w:r>
      <w:r>
        <w:rPr>
          <w:rFonts w:hint="eastAsia"/>
          <w:lang w:val="zh-CN"/>
        </w:rPr>
        <w:t>采用彩条布进行</w:t>
      </w:r>
      <w:r>
        <w:rPr>
          <w:lang w:val="zh-CN"/>
        </w:rPr>
        <w:t>临时苫盖</w:t>
      </w:r>
      <w:r>
        <w:rPr>
          <w:rFonts w:hint="eastAsia"/>
          <w:lang w:val="zh-CN"/>
        </w:rPr>
        <w:t>，</w:t>
      </w:r>
      <w:r>
        <w:rPr>
          <w:rFonts w:hint="eastAsia"/>
        </w:rPr>
        <w:t>彩条布苫盖</w:t>
      </w:r>
      <w:r>
        <w:rPr>
          <w:rFonts w:hint="eastAsia"/>
          <w:lang w:val="en-US" w:eastAsia="zh-CN"/>
        </w:rPr>
        <w:t>470.40m</w:t>
      </w:r>
      <w:r>
        <w:rPr>
          <w:vertAlign w:val="superscript"/>
        </w:rPr>
        <w:t>2</w:t>
      </w:r>
      <w:r>
        <w:rPr>
          <w:rFonts w:hint="eastAsia"/>
        </w:rPr>
        <w:t>。</w:t>
      </w:r>
    </w:p>
    <w:p w14:paraId="67F5123F">
      <w:pPr>
        <w:pStyle w:val="109"/>
        <w:ind w:firstLine="480"/>
      </w:pPr>
      <w:r>
        <w:rPr>
          <w:rFonts w:hint="eastAsia"/>
        </w:rPr>
        <w:t>（</w:t>
      </w:r>
      <w:r>
        <w:rPr>
          <w:rFonts w:hint="eastAsia"/>
          <w:lang w:val="en-US" w:eastAsia="zh-CN"/>
        </w:rPr>
        <w:t>3</w:t>
      </w:r>
      <w:r>
        <w:rPr>
          <w:rFonts w:hint="eastAsia"/>
        </w:rPr>
        <w:t>）临时拦挡</w:t>
      </w:r>
    </w:p>
    <w:p w14:paraId="78505744">
      <w:pPr>
        <w:pStyle w:val="109"/>
        <w:ind w:firstLine="480"/>
        <w:rPr>
          <w:rFonts w:hint="eastAsia" w:eastAsia="仿宋_GB2312"/>
          <w:lang w:eastAsia="zh-CN"/>
        </w:rPr>
      </w:pPr>
      <w:r>
        <w:rPr>
          <w:lang w:val="zh-CN"/>
        </w:rPr>
        <w:t>方案设计表土堆场四周设置临时拦挡，临时拦挡采用编织袋挡墙，编织袋码砌高为</w:t>
      </w:r>
      <w:r>
        <w:rPr>
          <w:rFonts w:hint="eastAsia"/>
        </w:rPr>
        <w:t>50cm，顶宽20cm，底宽50cm。</w:t>
      </w:r>
      <w:r>
        <w:rPr>
          <w:lang w:val="zh-CN"/>
        </w:rPr>
        <w:t>设计编织袋挡墙长</w:t>
      </w:r>
      <w:r>
        <w:rPr>
          <w:rFonts w:hint="eastAsia"/>
          <w:lang w:val="en-US" w:eastAsia="zh-CN"/>
        </w:rPr>
        <w:t>82</w:t>
      </w:r>
      <w:r>
        <w:rPr>
          <w:lang w:val="zh-CN"/>
        </w:rPr>
        <w:t>m，</w:t>
      </w:r>
      <w:r>
        <w:rPr>
          <w:rFonts w:cs="Times New Roman"/>
        </w:rPr>
        <w:t>编织袋</w:t>
      </w:r>
      <w:r>
        <w:rPr>
          <w:rFonts w:hint="eastAsia" w:cs="Times New Roman"/>
          <w:lang w:val="en-US" w:eastAsia="zh-CN"/>
        </w:rPr>
        <w:t>填筑</w:t>
      </w:r>
      <w:r>
        <w:rPr>
          <w:rFonts w:cs="Times New Roman"/>
        </w:rPr>
        <w:t>土方量</w:t>
      </w:r>
      <w:r>
        <w:rPr>
          <w:rFonts w:hint="eastAsia" w:cs="Times New Roman"/>
          <w:lang w:val="en-US" w:eastAsia="zh-CN"/>
        </w:rPr>
        <w:t>14.35</w:t>
      </w:r>
      <w:r>
        <w:rPr>
          <w:rFonts w:cs="Times New Roman"/>
        </w:rPr>
        <w:t>m</w:t>
      </w:r>
      <w:r>
        <w:rPr>
          <w:rFonts w:cs="Times New Roman"/>
          <w:vertAlign w:val="superscript"/>
        </w:rPr>
        <w:t>3</w:t>
      </w:r>
      <w:r>
        <w:rPr>
          <w:rFonts w:hint="eastAsia" w:cs="Times New Roman"/>
          <w:lang w:eastAsia="zh-CN"/>
        </w:rPr>
        <w:t>，</w:t>
      </w:r>
      <w:r>
        <w:rPr>
          <w:rFonts w:cs="Times New Roman"/>
        </w:rPr>
        <w:t>编织袋</w:t>
      </w:r>
      <w:r>
        <w:rPr>
          <w:rFonts w:hint="eastAsia" w:cs="Times New Roman"/>
          <w:lang w:val="en-US" w:eastAsia="zh-CN"/>
        </w:rPr>
        <w:t>拆除</w:t>
      </w:r>
      <w:r>
        <w:rPr>
          <w:rFonts w:cs="Times New Roman"/>
        </w:rPr>
        <w:t>土方量</w:t>
      </w:r>
      <w:r>
        <w:rPr>
          <w:rFonts w:hint="eastAsia" w:cs="Times New Roman"/>
          <w:lang w:val="en-US" w:eastAsia="zh-CN"/>
        </w:rPr>
        <w:t>14.35</w:t>
      </w:r>
      <w:r>
        <w:rPr>
          <w:rFonts w:cs="Times New Roman"/>
        </w:rPr>
        <w:t>m</w:t>
      </w:r>
      <w:r>
        <w:rPr>
          <w:rFonts w:cs="Times New Roman"/>
          <w:vertAlign w:val="superscript"/>
        </w:rPr>
        <w:t>3</w:t>
      </w:r>
      <w:r>
        <w:rPr>
          <w:rFonts w:hint="eastAsia" w:cs="Times New Roman"/>
          <w:lang w:eastAsia="zh-CN"/>
        </w:rPr>
        <w:t>。</w:t>
      </w:r>
    </w:p>
    <w:p w14:paraId="3839F964">
      <w:pPr>
        <w:pStyle w:val="100"/>
        <w:ind w:firstLine="480"/>
        <w:rPr>
          <w:rFonts w:hint="default" w:ascii="Times New Roman" w:hAnsi="Times New Roman" w:cs="Times New Roman"/>
        </w:rPr>
      </w:pPr>
      <w:r>
        <w:rPr>
          <w:rFonts w:hint="default" w:ascii="Times New Roman" w:hAnsi="Times New Roman" w:cs="Times New Roman"/>
        </w:rPr>
        <w:t>2、水土保持要求</w:t>
      </w:r>
    </w:p>
    <w:p w14:paraId="7FEB0FE4">
      <w:pPr>
        <w:pStyle w:val="100"/>
        <w:ind w:firstLine="480"/>
        <w:rPr>
          <w:rFonts w:hint="default" w:ascii="Times New Roman" w:hAnsi="Times New Roman" w:cs="Times New Roman"/>
        </w:rPr>
      </w:pPr>
      <w:r>
        <w:rPr>
          <w:rFonts w:hint="default" w:ascii="Times New Roman" w:hAnsi="Times New Roman" w:cs="Times New Roman"/>
        </w:rPr>
        <w:t>（1）加强工程施工管理，严格按照工程设计及施工进度计划进行施工，尽量减少地表裸露时间；</w:t>
      </w:r>
    </w:p>
    <w:p w14:paraId="41036E0D">
      <w:pPr>
        <w:pStyle w:val="100"/>
        <w:ind w:firstLine="480"/>
        <w:rPr>
          <w:rFonts w:hint="default" w:ascii="Times New Roman" w:hAnsi="Times New Roman" w:cs="Times New Roman"/>
        </w:rPr>
      </w:pPr>
      <w:r>
        <w:rPr>
          <w:rFonts w:hint="default" w:ascii="Times New Roman" w:hAnsi="Times New Roman" w:cs="Times New Roman"/>
        </w:rPr>
        <w:t>（2）绿化施工时应做好临时防护措施，覆土时若遇突然降雨，可及时采取临时苫盖，对土料进行苫盖防护；</w:t>
      </w:r>
    </w:p>
    <w:p w14:paraId="210628DD">
      <w:pPr>
        <w:pStyle w:val="100"/>
        <w:ind w:firstLine="480"/>
        <w:rPr>
          <w:rFonts w:hint="default" w:ascii="Times New Roman" w:hAnsi="Times New Roman" w:cs="Times New Roman"/>
        </w:rPr>
      </w:pPr>
      <w:r>
        <w:rPr>
          <w:rFonts w:hint="default" w:ascii="Times New Roman" w:hAnsi="Times New Roman" w:cs="Times New Roman"/>
        </w:rPr>
        <w:t>（3）在完成项目建设区绿化后，应加强绿地管护工作，不能随意攀折、践踏，重视补栽工作，保证林草成活率。</w:t>
      </w:r>
    </w:p>
    <w:p w14:paraId="35F51C4F">
      <w:pPr>
        <w:pStyle w:val="4"/>
        <w:rPr>
          <w:rFonts w:hint="default" w:ascii="Times New Roman" w:hAnsi="Times New Roman" w:cs="Times New Roman"/>
        </w:rPr>
      </w:pPr>
      <w:r>
        <w:rPr>
          <w:rFonts w:hint="eastAsia" w:cs="Times New Roman"/>
          <w:lang w:val="en-US" w:eastAsia="zh-CN"/>
        </w:rPr>
        <w:t>地块二</w:t>
      </w:r>
    </w:p>
    <w:p w14:paraId="43A7B2FD">
      <w:pPr>
        <w:pStyle w:val="5"/>
        <w:rPr>
          <w:rFonts w:hint="default" w:ascii="Times New Roman" w:hAnsi="Times New Roman" w:cs="Times New Roman"/>
        </w:rPr>
      </w:pPr>
      <w:r>
        <w:rPr>
          <w:rFonts w:hint="default" w:ascii="Times New Roman" w:hAnsi="Times New Roman" w:cs="Times New Roman"/>
        </w:rPr>
        <w:t>建构筑物区水土保持措施设计</w:t>
      </w:r>
    </w:p>
    <w:p w14:paraId="151F4F4F">
      <w:pPr>
        <w:pStyle w:val="93"/>
        <w:rPr>
          <w:rFonts w:hint="default" w:ascii="Times New Roman" w:hAnsi="Times New Roman" w:cs="Times New Roman"/>
          <w:b/>
          <w:bCs/>
        </w:rPr>
      </w:pPr>
      <w:r>
        <w:rPr>
          <w:rFonts w:hint="default" w:ascii="Times New Roman" w:hAnsi="Times New Roman" w:cs="Times New Roman"/>
          <w:b/>
          <w:bCs/>
        </w:rPr>
        <w:t>一、主体设计水土保持措施</w:t>
      </w:r>
    </w:p>
    <w:p w14:paraId="7DED5084">
      <w:pPr>
        <w:pStyle w:val="93"/>
        <w:rPr>
          <w:rFonts w:hint="default" w:ascii="Times New Roman" w:hAnsi="Times New Roman" w:cs="Times New Roman"/>
        </w:rPr>
      </w:pPr>
      <w:r>
        <w:rPr>
          <w:rFonts w:hint="default" w:ascii="Times New Roman" w:hAnsi="Times New Roman" w:cs="Times New Roman"/>
        </w:rPr>
        <w:t>1、工程措施</w:t>
      </w:r>
    </w:p>
    <w:p w14:paraId="069BE3AF">
      <w:pPr>
        <w:pStyle w:val="93"/>
        <w:rPr>
          <w:rFonts w:hint="default" w:ascii="Times New Roman" w:hAnsi="Times New Roman" w:cs="Times New Roman"/>
        </w:rPr>
      </w:pPr>
      <w:r>
        <w:rPr>
          <w:rFonts w:hint="default" w:ascii="Times New Roman" w:hAnsi="Times New Roman" w:cs="Times New Roman"/>
        </w:rPr>
        <w:t>（1）表土剥离</w:t>
      </w:r>
    </w:p>
    <w:p w14:paraId="44438C4A">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为保护珍贵的表土资源，提高项目区绿化苗木成活率，保障绿化工程质量，在项目前期场地平整工作时对场地内可利用熟土进行</w:t>
      </w:r>
      <w:r>
        <w:rPr>
          <w:rFonts w:hint="eastAsia" w:ascii="Times New Roman" w:hAnsi="Times New Roman" w:cs="Times New Roman"/>
          <w:lang w:val="en-US" w:eastAsia="zh-CN"/>
        </w:rPr>
        <w:t>了</w:t>
      </w:r>
      <w:r>
        <w:rPr>
          <w:rFonts w:hint="default" w:ascii="Times New Roman" w:hAnsi="Times New Roman" w:cs="Times New Roman"/>
        </w:rPr>
        <w:t>剥离，剥离出来的表土</w:t>
      </w:r>
      <w:r>
        <w:rPr>
          <w:rFonts w:hint="eastAsia" w:ascii="Times New Roman" w:hAnsi="Times New Roman" w:cs="Times New Roman"/>
          <w:lang w:val="en-US" w:eastAsia="zh-CN"/>
        </w:rPr>
        <w:t>目前堆放在项目区西侧，要求建设单位统一</w:t>
      </w:r>
      <w:r>
        <w:rPr>
          <w:rFonts w:hint="default" w:ascii="Times New Roman" w:hAnsi="Times New Roman" w:cs="Times New Roman"/>
        </w:rPr>
        <w:t>堆放</w:t>
      </w:r>
      <w:r>
        <w:rPr>
          <w:rFonts w:hint="eastAsia" w:ascii="Times New Roman" w:hAnsi="Times New Roman" w:cs="Times New Roman"/>
          <w:lang w:val="en-US" w:eastAsia="zh-CN"/>
        </w:rPr>
        <w:t>至</w:t>
      </w:r>
      <w:r>
        <w:rPr>
          <w:rFonts w:hint="default" w:ascii="Times New Roman" w:hAnsi="Times New Roman" w:cs="Times New Roman"/>
        </w:rPr>
        <w:t>表土堆场，后期用作绿化区覆土土源。经统计，建构筑物区共计剥离表土</w:t>
      </w:r>
      <w:r>
        <w:rPr>
          <w:rFonts w:hint="eastAsia" w:ascii="Times New Roman" w:hAnsi="Times New Roman" w:cs="Times New Roman"/>
          <w:lang w:val="en-US" w:eastAsia="zh-CN"/>
        </w:rPr>
        <w:t>855</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236BA75E">
      <w:pPr>
        <w:pStyle w:val="100"/>
        <w:ind w:firstLine="482"/>
        <w:rPr>
          <w:rFonts w:hint="default" w:ascii="Times New Roman" w:hAnsi="Times New Roman" w:cs="Times New Roman"/>
          <w:b/>
          <w:bCs/>
        </w:rPr>
      </w:pPr>
      <w:r>
        <w:rPr>
          <w:rFonts w:hint="default" w:ascii="Times New Roman" w:hAnsi="Times New Roman" w:cs="Times New Roman"/>
          <w:b/>
          <w:bCs/>
        </w:rPr>
        <w:t>二、方案新增措施</w:t>
      </w:r>
    </w:p>
    <w:p w14:paraId="16E925C7">
      <w:pPr>
        <w:pStyle w:val="100"/>
        <w:ind w:firstLine="480"/>
        <w:rPr>
          <w:rFonts w:hint="default" w:ascii="Times New Roman" w:hAnsi="Times New Roman" w:cs="Times New Roman"/>
        </w:rPr>
      </w:pPr>
      <w:r>
        <w:rPr>
          <w:rFonts w:hint="default" w:ascii="Times New Roman" w:hAnsi="Times New Roman" w:cs="Times New Roman"/>
        </w:rPr>
        <w:t>1、临时措施</w:t>
      </w:r>
    </w:p>
    <w:p w14:paraId="3FE9F2B9">
      <w:pPr>
        <w:pStyle w:val="100"/>
        <w:ind w:firstLine="480"/>
        <w:rPr>
          <w:rFonts w:hint="default" w:ascii="Times New Roman" w:hAnsi="Times New Roman" w:cs="Times New Roman"/>
        </w:rPr>
      </w:pPr>
      <w:r>
        <w:rPr>
          <w:rFonts w:hint="default" w:ascii="Times New Roman" w:hAnsi="Times New Roman" w:cs="Times New Roman"/>
        </w:rPr>
        <w:t>（1）临时苫盖</w:t>
      </w:r>
    </w:p>
    <w:p w14:paraId="12D5634F">
      <w:pPr>
        <w:pStyle w:val="100"/>
        <w:ind w:firstLine="480"/>
        <w:rPr>
          <w:rFonts w:hint="default" w:ascii="Times New Roman" w:hAnsi="Times New Roman" w:cs="Times New Roman"/>
        </w:rPr>
      </w:pPr>
      <w:r>
        <w:rPr>
          <w:rFonts w:hint="default" w:ascii="Times New Roman" w:hAnsi="Times New Roman" w:cs="Times New Roman"/>
        </w:rPr>
        <w:t>为了避免施工期间裸露的开挖面及临时堆放土石方遭到降雨的冲刷而产生水土流失，本方案设计对建构筑物区临时堆放的土石方及基础开挖裸露区域进行苫盖，参照同类工程实际经验，共设计临时苫盖</w:t>
      </w:r>
      <w:r>
        <w:rPr>
          <w:rFonts w:hint="eastAsia" w:ascii="Times New Roman" w:hAnsi="Times New Roman" w:cs="Times New Roman"/>
          <w:lang w:val="en-US" w:eastAsia="zh-CN"/>
        </w:rPr>
        <w:t>342</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，具体工程量为铺设彩条布</w:t>
      </w:r>
      <w:r>
        <w:rPr>
          <w:rFonts w:hint="eastAsia" w:ascii="Times New Roman" w:hAnsi="Times New Roman" w:cs="Times New Roman"/>
          <w:lang w:val="en-US" w:eastAsia="zh-CN"/>
        </w:rPr>
        <w:t>342</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w:t>
      </w:r>
    </w:p>
    <w:p w14:paraId="6281FD82">
      <w:pPr>
        <w:pStyle w:val="100"/>
        <w:ind w:firstLine="480"/>
        <w:rPr>
          <w:rFonts w:hint="default" w:ascii="Times New Roman" w:hAnsi="Times New Roman" w:cs="Times New Roman"/>
        </w:rPr>
      </w:pPr>
      <w:r>
        <w:rPr>
          <w:rFonts w:hint="default" w:ascii="Times New Roman" w:hAnsi="Times New Roman" w:cs="Times New Roman"/>
        </w:rPr>
        <w:t>（2）临时排水沟</w:t>
      </w:r>
    </w:p>
    <w:p w14:paraId="2536A158">
      <w:pPr>
        <w:pStyle w:val="100"/>
        <w:ind w:firstLine="480"/>
        <w:rPr>
          <w:rFonts w:hint="default" w:ascii="Times New Roman" w:hAnsi="Times New Roman" w:cs="Times New Roman"/>
        </w:rPr>
      </w:pPr>
      <w:r>
        <w:rPr>
          <w:rFonts w:hint="default" w:ascii="Times New Roman" w:hAnsi="Times New Roman" w:cs="Times New Roman"/>
        </w:rPr>
        <w:t>在工程施工期间，由于主体工程规划设计的排水工程难以及时到位发挥作用，考虑到临时排水沟与后期排水沟有效的结合，因此，根据本防治区的地形条件和布置特点，永临结合布设临时排水沟，沿雨水管网区域布设临时排水沟，临时排水沟汇集施工场地内的地表径流，最终经沉沙池沉淀后排入周边市政雨水管网。工程量及投资计入主体雨水管网中。</w:t>
      </w:r>
    </w:p>
    <w:p w14:paraId="1B323E7F">
      <w:pPr>
        <w:pStyle w:val="100"/>
        <w:ind w:firstLine="480"/>
        <w:rPr>
          <w:rFonts w:hint="default" w:ascii="Times New Roman" w:hAnsi="Times New Roman" w:cs="Times New Roman"/>
        </w:rPr>
      </w:pPr>
      <w:r>
        <w:rPr>
          <w:rFonts w:hint="default" w:ascii="Times New Roman" w:hAnsi="Times New Roman" w:cs="Times New Roman"/>
        </w:rPr>
        <w:t>2、水土保持要求</w:t>
      </w:r>
    </w:p>
    <w:p w14:paraId="636E508D">
      <w:pPr>
        <w:pStyle w:val="100"/>
        <w:ind w:firstLine="480"/>
        <w:rPr>
          <w:rFonts w:hint="default" w:ascii="Times New Roman" w:hAnsi="Times New Roman" w:cs="Times New Roman"/>
        </w:rPr>
      </w:pPr>
      <w:r>
        <w:rPr>
          <w:rFonts w:hint="default" w:ascii="Times New Roman" w:hAnsi="Times New Roman" w:cs="Times New Roman"/>
        </w:rPr>
        <w:t>（1）加强施工管理，对施工过程中不能及时回填的土石方以及散状材料在不使用时应进行苫盖遮挡。严格按照工程设计及施工进度计划进行施工，减少地表裸露时间，尽量避免在雨季进行各种土石方工程；</w:t>
      </w:r>
    </w:p>
    <w:p w14:paraId="005B1AE6">
      <w:pPr>
        <w:pStyle w:val="100"/>
        <w:ind w:firstLine="480"/>
        <w:rPr>
          <w:rFonts w:hint="default" w:ascii="Times New Roman" w:hAnsi="Times New Roman" w:cs="Times New Roman"/>
        </w:rPr>
      </w:pPr>
      <w:r>
        <w:rPr>
          <w:rFonts w:hint="default" w:ascii="Times New Roman" w:hAnsi="Times New Roman" w:cs="Times New Roman"/>
        </w:rPr>
        <w:t>（2）场地回填时要做到及时分层压实，土石方和砂石料应尽量避免过高，尽量缩短堆放周期；若造成临时堆放，应采取必要的临时防护措施。</w:t>
      </w:r>
    </w:p>
    <w:p w14:paraId="48DECF30">
      <w:pPr>
        <w:pStyle w:val="5"/>
        <w:rPr>
          <w:rFonts w:hint="default" w:ascii="Times New Roman" w:hAnsi="Times New Roman" w:cs="Times New Roman"/>
        </w:rPr>
      </w:pPr>
      <w:r>
        <w:rPr>
          <w:rFonts w:hint="eastAsia" w:ascii="Times New Roman" w:hAnsi="Times New Roman" w:cs="Times New Roman"/>
          <w:lang w:eastAsia="zh-CN"/>
        </w:rPr>
        <w:t>道路</w:t>
      </w:r>
      <w:r>
        <w:rPr>
          <w:rFonts w:hint="eastAsia" w:cs="Times New Roman"/>
          <w:lang w:eastAsia="zh-CN"/>
        </w:rPr>
        <w:t>及硬化区</w:t>
      </w:r>
      <w:r>
        <w:rPr>
          <w:rFonts w:hint="default" w:ascii="Times New Roman" w:hAnsi="Times New Roman" w:cs="Times New Roman"/>
        </w:rPr>
        <w:t>水土保持措施设计</w:t>
      </w:r>
    </w:p>
    <w:p w14:paraId="1060823F">
      <w:pPr>
        <w:pStyle w:val="93"/>
        <w:rPr>
          <w:rFonts w:hint="default" w:ascii="Times New Roman" w:hAnsi="Times New Roman" w:cs="Times New Roman"/>
          <w:b/>
          <w:bCs/>
        </w:rPr>
      </w:pPr>
      <w:r>
        <w:rPr>
          <w:rFonts w:hint="default" w:ascii="Times New Roman" w:hAnsi="Times New Roman" w:cs="Times New Roman"/>
          <w:b/>
          <w:bCs/>
        </w:rPr>
        <w:t>一、主体设计水土保持措施</w:t>
      </w:r>
    </w:p>
    <w:p w14:paraId="09F79447">
      <w:pPr>
        <w:pStyle w:val="93"/>
        <w:rPr>
          <w:rFonts w:hint="default" w:ascii="Times New Roman" w:hAnsi="Times New Roman" w:cs="Times New Roman"/>
        </w:rPr>
      </w:pPr>
      <w:r>
        <w:rPr>
          <w:rFonts w:hint="default" w:ascii="Times New Roman" w:hAnsi="Times New Roman" w:cs="Times New Roman"/>
        </w:rPr>
        <w:t>1、工程措施</w:t>
      </w:r>
    </w:p>
    <w:p w14:paraId="1E1980E0">
      <w:pPr>
        <w:pStyle w:val="93"/>
        <w:rPr>
          <w:rFonts w:hint="default" w:ascii="Times New Roman" w:hAnsi="Times New Roman" w:cs="Times New Roman"/>
        </w:rPr>
      </w:pPr>
      <w:r>
        <w:rPr>
          <w:rFonts w:hint="default" w:ascii="Times New Roman" w:hAnsi="Times New Roman" w:cs="Times New Roman"/>
        </w:rPr>
        <w:t>（1）表土剥离</w:t>
      </w:r>
    </w:p>
    <w:p w14:paraId="105DE8E2">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为保护珍贵的表土资源，提高项目区绿化苗木成活率，保障绿化工程质量，在项目前期场地平整工作时对场地内可利用熟土进行</w:t>
      </w:r>
      <w:r>
        <w:rPr>
          <w:rFonts w:hint="eastAsia" w:ascii="Times New Roman" w:hAnsi="Times New Roman" w:cs="Times New Roman"/>
          <w:lang w:val="en-US" w:eastAsia="zh-CN"/>
        </w:rPr>
        <w:t>了</w:t>
      </w:r>
      <w:r>
        <w:rPr>
          <w:rFonts w:hint="default" w:ascii="Times New Roman" w:hAnsi="Times New Roman" w:cs="Times New Roman"/>
        </w:rPr>
        <w:t>剥离，剥离出来的表土</w:t>
      </w:r>
      <w:r>
        <w:rPr>
          <w:rFonts w:hint="eastAsia" w:ascii="Times New Roman" w:hAnsi="Times New Roman" w:cs="Times New Roman"/>
          <w:lang w:val="en-US" w:eastAsia="zh-CN"/>
        </w:rPr>
        <w:t>目前堆放在项目区西侧，要求建设单位统一</w:t>
      </w:r>
      <w:r>
        <w:rPr>
          <w:rFonts w:hint="default" w:ascii="Times New Roman" w:hAnsi="Times New Roman" w:cs="Times New Roman"/>
        </w:rPr>
        <w:t>堆放</w:t>
      </w:r>
      <w:r>
        <w:rPr>
          <w:rFonts w:hint="eastAsia" w:ascii="Times New Roman" w:hAnsi="Times New Roman" w:cs="Times New Roman"/>
          <w:lang w:val="en-US" w:eastAsia="zh-CN"/>
        </w:rPr>
        <w:t>至</w:t>
      </w:r>
      <w:r>
        <w:rPr>
          <w:rFonts w:hint="default" w:ascii="Times New Roman" w:hAnsi="Times New Roman" w:cs="Times New Roman"/>
        </w:rPr>
        <w:t>表土堆场，后期用作绿化区覆土土源。经统计，</w:t>
      </w:r>
      <w:r>
        <w:rPr>
          <w:rFonts w:hint="eastAsia" w:cs="Times New Roman"/>
          <w:lang w:eastAsia="zh-CN"/>
        </w:rPr>
        <w:t>道路及硬化区</w:t>
      </w:r>
      <w:r>
        <w:rPr>
          <w:rFonts w:hint="default" w:ascii="Times New Roman" w:hAnsi="Times New Roman" w:cs="Times New Roman"/>
        </w:rPr>
        <w:t>共计剥离表土</w:t>
      </w:r>
      <w:r>
        <w:rPr>
          <w:rFonts w:hint="eastAsia" w:ascii="Times New Roman" w:hAnsi="Times New Roman" w:cs="Times New Roman"/>
          <w:lang w:val="en-US" w:eastAsia="zh-CN"/>
        </w:rPr>
        <w:t>300</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223F7516">
      <w:pPr>
        <w:pStyle w:val="93"/>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2</w:t>
      </w:r>
      <w:r>
        <w:rPr>
          <w:rFonts w:hint="default" w:ascii="Times New Roman" w:hAnsi="Times New Roman" w:cs="Times New Roman"/>
        </w:rPr>
        <w:t>）雨水管网</w:t>
      </w:r>
    </w:p>
    <w:p w14:paraId="26FF0C5C">
      <w:pPr>
        <w:pStyle w:val="93"/>
        <w:rPr>
          <w:rFonts w:hint="default" w:ascii="Times New Roman" w:hAnsi="Times New Roman" w:cs="Times New Roman"/>
        </w:rPr>
      </w:pPr>
      <w:r>
        <w:rPr>
          <w:rFonts w:hint="default" w:ascii="Times New Roman" w:hAnsi="Times New Roman" w:cs="Times New Roman"/>
        </w:rPr>
        <w:t>根据主体资料，项目区</w:t>
      </w:r>
      <w:r>
        <w:rPr>
          <w:rFonts w:hint="eastAsia" w:cs="Times New Roman"/>
          <w:lang w:val="en-US" w:eastAsia="zh-CN"/>
        </w:rPr>
        <w:t>地块二</w:t>
      </w:r>
      <w:r>
        <w:rPr>
          <w:rFonts w:hint="default" w:ascii="Times New Roman" w:hAnsi="Times New Roman" w:cs="Times New Roman"/>
        </w:rPr>
        <w:t>实施雨污分流，主体设计</w:t>
      </w:r>
      <w:r>
        <w:rPr>
          <w:rFonts w:hint="eastAsia" w:cs="Times New Roman"/>
          <w:lang w:val="en-US" w:eastAsia="zh-CN"/>
        </w:rPr>
        <w:t>地块一北侧及东侧道路</w:t>
      </w:r>
      <w:r>
        <w:rPr>
          <w:rFonts w:hint="default" w:ascii="Times New Roman" w:hAnsi="Times New Roman" w:cs="Times New Roman"/>
        </w:rPr>
        <w:t>设雨水管网，将汇水顺接至项目区周边的市政雨水管网。经统计，共设计修建DN</w:t>
      </w:r>
      <w:r>
        <w:rPr>
          <w:rFonts w:hint="eastAsia" w:cs="Times New Roman"/>
          <w:lang w:val="en-US" w:eastAsia="zh-CN"/>
        </w:rPr>
        <w:t>4</w:t>
      </w:r>
      <w:r>
        <w:rPr>
          <w:rFonts w:hint="default" w:ascii="Times New Roman" w:hAnsi="Times New Roman" w:cs="Times New Roman"/>
        </w:rPr>
        <w:t>00HDPE管雨水管网</w:t>
      </w:r>
      <w:r>
        <w:rPr>
          <w:rFonts w:hint="eastAsia" w:cs="Times New Roman"/>
          <w:lang w:val="en-US" w:eastAsia="zh-CN"/>
        </w:rPr>
        <w:t>165</w:t>
      </w:r>
      <w:r>
        <w:rPr>
          <w:rFonts w:hint="default" w:ascii="Times New Roman" w:hAnsi="Times New Roman" w:cs="Times New Roman"/>
        </w:rPr>
        <w:t>m</w:t>
      </w:r>
      <w:r>
        <w:rPr>
          <w:rFonts w:hint="eastAsia" w:cs="Times New Roman"/>
          <w:lang w:eastAsia="zh-CN"/>
        </w:rPr>
        <w:t>、</w:t>
      </w:r>
      <w:r>
        <w:rPr>
          <w:rFonts w:hint="default" w:ascii="Times New Roman" w:hAnsi="Times New Roman" w:cs="Times New Roman"/>
        </w:rPr>
        <w:t>DN</w:t>
      </w:r>
      <w:r>
        <w:rPr>
          <w:rFonts w:hint="eastAsia" w:cs="Times New Roman"/>
          <w:lang w:val="en-US" w:eastAsia="zh-CN"/>
        </w:rPr>
        <w:t>5</w:t>
      </w:r>
      <w:r>
        <w:rPr>
          <w:rFonts w:hint="default" w:ascii="Times New Roman" w:hAnsi="Times New Roman" w:cs="Times New Roman"/>
        </w:rPr>
        <w:t>00HDPE管雨水管网</w:t>
      </w:r>
      <w:r>
        <w:rPr>
          <w:rFonts w:hint="eastAsia" w:cs="Times New Roman"/>
          <w:lang w:val="en-US" w:eastAsia="zh-CN"/>
        </w:rPr>
        <w:t>80m</w:t>
      </w:r>
      <w:r>
        <w:rPr>
          <w:rFonts w:hint="default" w:ascii="Times New Roman" w:hAnsi="Times New Roman" w:cs="Times New Roman"/>
        </w:rPr>
        <w:t>。</w:t>
      </w:r>
    </w:p>
    <w:p w14:paraId="7219BB36">
      <w:pPr>
        <w:pStyle w:val="100"/>
        <w:ind w:firstLine="482"/>
        <w:rPr>
          <w:rFonts w:hint="default" w:ascii="Times New Roman" w:hAnsi="Times New Roman" w:cs="Times New Roman"/>
          <w:b/>
          <w:bCs/>
        </w:rPr>
      </w:pPr>
      <w:r>
        <w:rPr>
          <w:rFonts w:hint="default" w:ascii="Times New Roman" w:hAnsi="Times New Roman" w:cs="Times New Roman"/>
          <w:b/>
          <w:bCs/>
        </w:rPr>
        <w:t>二、方案新增措施</w:t>
      </w:r>
    </w:p>
    <w:p w14:paraId="35498513">
      <w:pPr>
        <w:pStyle w:val="93"/>
        <w:rPr>
          <w:rFonts w:hint="default" w:ascii="Times New Roman" w:hAnsi="Times New Roman" w:cs="Times New Roman"/>
        </w:rPr>
      </w:pPr>
      <w:r>
        <w:rPr>
          <w:rFonts w:hint="default" w:ascii="Times New Roman" w:hAnsi="Times New Roman" w:cs="Times New Roman"/>
        </w:rPr>
        <w:t>1、临时措施</w:t>
      </w:r>
    </w:p>
    <w:p w14:paraId="42EE0607">
      <w:pPr>
        <w:pStyle w:val="93"/>
        <w:rPr>
          <w:rFonts w:hint="default" w:ascii="Times New Roman" w:hAnsi="Times New Roman" w:eastAsia="仿宋_GB2312" w:cs="Times New Roman"/>
          <w:lang w:val="en-US" w:eastAsia="zh-CN"/>
        </w:rPr>
      </w:pPr>
      <w:r>
        <w:rPr>
          <w:rFonts w:hint="default" w:ascii="Times New Roman" w:hAnsi="Times New Roman" w:cs="Times New Roman"/>
        </w:rPr>
        <w:t>（1）车辆清洗</w:t>
      </w:r>
      <w:r>
        <w:rPr>
          <w:rFonts w:hint="default" w:ascii="Times New Roman" w:hAnsi="Times New Roman" w:cs="Times New Roman"/>
          <w:lang w:val="en-US" w:eastAsia="zh-CN"/>
        </w:rPr>
        <w:t>设施</w:t>
      </w:r>
    </w:p>
    <w:p w14:paraId="5C0371EC">
      <w:pPr>
        <w:ind w:firstLine="480"/>
        <w:rPr>
          <w:rFonts w:cs="Times New Roman"/>
          <w:color w:val="000000" w:themeColor="text1"/>
        </w:rPr>
      </w:pPr>
      <w:r>
        <w:rPr>
          <w:rFonts w:ascii="仿宋_GB2312"/>
          <w:color w:val="000000" w:themeColor="text1"/>
        </w:rPr>
        <w:t>为了防止施工车辆对周边已建道路造成污染，引起扬尘，兼顾沉淀</w:t>
      </w:r>
      <w:r>
        <w:rPr>
          <w:rFonts w:hint="eastAsia" w:ascii="仿宋_GB2312"/>
          <w:color w:val="000000" w:themeColor="text1"/>
        </w:rPr>
        <w:t>临时排水</w:t>
      </w:r>
      <w:r>
        <w:rPr>
          <w:rFonts w:ascii="仿宋_GB2312"/>
          <w:color w:val="000000" w:themeColor="text1"/>
        </w:rPr>
        <w:t>沟汇水中的泥沙，</w:t>
      </w:r>
      <w:r>
        <w:rPr>
          <w:rFonts w:hint="eastAsia" w:ascii="仿宋_GB2312"/>
          <w:color w:val="000000" w:themeColor="text1"/>
        </w:rPr>
        <w:t>方案考虑在</w:t>
      </w:r>
      <w:r>
        <w:rPr>
          <w:rFonts w:ascii="仿宋_GB2312"/>
          <w:color w:val="000000" w:themeColor="text1"/>
        </w:rPr>
        <w:t>项目建设区</w:t>
      </w:r>
      <w:r>
        <w:rPr>
          <w:rFonts w:hint="eastAsia" w:ascii="仿宋_GB2312"/>
          <w:color w:val="000000" w:themeColor="text1"/>
          <w:lang w:val="en-US" w:eastAsia="zh-CN"/>
        </w:rPr>
        <w:t>东北</w:t>
      </w:r>
      <w:r>
        <w:rPr>
          <w:rFonts w:hint="eastAsia" w:ascii="仿宋_GB2312"/>
          <w:color w:val="000000" w:themeColor="text1"/>
        </w:rPr>
        <w:t>侧</w:t>
      </w:r>
      <w:r>
        <w:rPr>
          <w:rFonts w:ascii="仿宋_GB2312"/>
          <w:color w:val="000000" w:themeColor="text1"/>
        </w:rPr>
        <w:t>施工出入口</w:t>
      </w:r>
      <w:r>
        <w:rPr>
          <w:rFonts w:hint="eastAsia" w:ascii="仿宋_GB2312"/>
          <w:color w:val="000000" w:themeColor="text1"/>
        </w:rPr>
        <w:t>布置一座车辆清洁池（包括车辆清洗池和冲洗设备），</w:t>
      </w:r>
      <w:r>
        <w:rPr>
          <w:rFonts w:ascii="仿宋_GB2312"/>
          <w:color w:val="000000" w:themeColor="text1"/>
        </w:rPr>
        <w:t>布设的车辆清洗池设计长</w:t>
      </w:r>
      <w:r>
        <w:rPr>
          <w:rFonts w:hint="eastAsia"/>
          <w:color w:val="000000" w:themeColor="text1"/>
        </w:rPr>
        <w:t>10</w:t>
      </w:r>
      <w:r>
        <w:rPr>
          <w:color w:val="000000" w:themeColor="text1"/>
        </w:rPr>
        <w:t>m</w:t>
      </w:r>
      <w:r>
        <w:rPr>
          <w:rFonts w:ascii="仿宋_GB2312"/>
          <w:color w:val="000000" w:themeColor="text1"/>
        </w:rPr>
        <w:t>，宽</w:t>
      </w:r>
      <w:r>
        <w:rPr>
          <w:rFonts w:hint="eastAsia"/>
          <w:color w:val="000000" w:themeColor="text1"/>
        </w:rPr>
        <w:t>4.4</w:t>
      </w:r>
      <w:r>
        <w:rPr>
          <w:color w:val="000000" w:themeColor="text1"/>
        </w:rPr>
        <w:t>m</w:t>
      </w:r>
      <w:r>
        <w:rPr>
          <w:rFonts w:ascii="仿宋_GB2312"/>
          <w:color w:val="000000" w:themeColor="text1"/>
        </w:rPr>
        <w:t>，顺长方向弧形设置，即中间最深处</w:t>
      </w:r>
      <w:r>
        <w:rPr>
          <w:rFonts w:hint="eastAsia"/>
          <w:color w:val="000000" w:themeColor="text1"/>
        </w:rPr>
        <w:t>175</w:t>
      </w:r>
      <w:r>
        <w:rPr>
          <w:color w:val="000000" w:themeColor="text1"/>
        </w:rPr>
        <w:t>cm</w:t>
      </w:r>
      <w:r>
        <w:rPr>
          <w:rFonts w:ascii="仿宋_GB2312"/>
          <w:color w:val="000000" w:themeColor="text1"/>
        </w:rPr>
        <w:t>，圆弧夹角</w:t>
      </w:r>
      <w:r>
        <w:rPr>
          <w:color w:val="000000" w:themeColor="text1"/>
        </w:rPr>
        <w:t>45°</w:t>
      </w:r>
      <w:r>
        <w:rPr>
          <w:rFonts w:ascii="仿宋_GB2312"/>
          <w:color w:val="000000" w:themeColor="text1"/>
        </w:rPr>
        <w:t>，</w:t>
      </w:r>
      <w:r>
        <w:rPr>
          <w:color w:val="000000" w:themeColor="text1"/>
        </w:rPr>
        <w:t>C20</w:t>
      </w:r>
      <w:r>
        <w:rPr>
          <w:rFonts w:ascii="仿宋_GB2312"/>
          <w:color w:val="000000" w:themeColor="text1"/>
        </w:rPr>
        <w:t>砼浇筑，池底</w:t>
      </w:r>
      <w:r>
        <w:rPr>
          <w:rFonts w:hint="eastAsia" w:ascii="仿宋_GB2312"/>
          <w:color w:val="000000" w:themeColor="text1"/>
        </w:rPr>
        <w:t>平均浇筑厚度</w:t>
      </w:r>
      <w:r>
        <w:rPr>
          <w:rFonts w:hint="eastAsia"/>
          <w:color w:val="000000" w:themeColor="text1"/>
        </w:rPr>
        <w:t>30cm</w:t>
      </w:r>
      <w:r>
        <w:rPr>
          <w:rFonts w:hint="eastAsia" w:ascii="仿宋_GB2312"/>
          <w:color w:val="000000" w:themeColor="text1"/>
        </w:rPr>
        <w:t>，池壁浇筑厚度</w:t>
      </w:r>
      <w:r>
        <w:rPr>
          <w:rFonts w:hint="eastAsia"/>
          <w:color w:val="000000" w:themeColor="text1"/>
        </w:rPr>
        <w:t>20cm</w:t>
      </w:r>
      <w:r>
        <w:rPr>
          <w:rFonts w:hint="eastAsia" w:ascii="仿宋_GB2312"/>
          <w:color w:val="000000" w:themeColor="text1"/>
        </w:rPr>
        <w:t>。工程量为：</w:t>
      </w:r>
      <w:r>
        <w:rPr>
          <w:rFonts w:ascii="仿宋_GB2312"/>
          <w:color w:val="000000" w:themeColor="text1"/>
        </w:rPr>
        <w:t>土方开挖</w:t>
      </w:r>
      <w:r>
        <w:rPr>
          <w:rFonts w:hint="eastAsia"/>
          <w:color w:val="000000" w:themeColor="text1"/>
        </w:rPr>
        <w:t>42.00</w:t>
      </w:r>
      <w:r>
        <w:rPr>
          <w:color w:val="000000" w:themeColor="text1"/>
        </w:rPr>
        <w:t>m</w:t>
      </w:r>
      <w:r>
        <w:rPr>
          <w:color w:val="000000" w:themeColor="text1"/>
          <w:vertAlign w:val="superscript"/>
        </w:rPr>
        <w:t>3</w:t>
      </w:r>
      <w:r>
        <w:rPr>
          <w:rFonts w:ascii="仿宋_GB2312"/>
          <w:color w:val="000000" w:themeColor="text1"/>
        </w:rPr>
        <w:t>，土方回填</w:t>
      </w:r>
      <w:r>
        <w:rPr>
          <w:rFonts w:hint="eastAsia"/>
          <w:color w:val="000000" w:themeColor="text1"/>
        </w:rPr>
        <w:t>10.80</w:t>
      </w:r>
      <w:r>
        <w:rPr>
          <w:color w:val="000000" w:themeColor="text1"/>
        </w:rPr>
        <w:t>m</w:t>
      </w:r>
      <w:r>
        <w:rPr>
          <w:color w:val="000000" w:themeColor="text1"/>
          <w:vertAlign w:val="superscript"/>
        </w:rPr>
        <w:t>3</w:t>
      </w:r>
      <w:r>
        <w:rPr>
          <w:rFonts w:ascii="仿宋_GB2312"/>
          <w:color w:val="000000" w:themeColor="text1"/>
        </w:rPr>
        <w:t>，</w:t>
      </w:r>
      <w:r>
        <w:rPr>
          <w:rFonts w:hint="eastAsia"/>
          <w:color w:val="000000" w:themeColor="text1"/>
        </w:rPr>
        <w:t>C20</w:t>
      </w:r>
      <w:r>
        <w:rPr>
          <w:rFonts w:hint="eastAsia" w:ascii="仿宋_GB2312"/>
          <w:color w:val="000000" w:themeColor="text1"/>
        </w:rPr>
        <w:t>砼</w:t>
      </w:r>
      <w:r>
        <w:rPr>
          <w:rFonts w:hint="eastAsia"/>
          <w:color w:val="000000" w:themeColor="text1"/>
        </w:rPr>
        <w:t>21.00</w:t>
      </w:r>
      <w:r>
        <w:rPr>
          <w:color w:val="000000" w:themeColor="text1"/>
        </w:rPr>
        <w:t>m</w:t>
      </w:r>
      <w:r>
        <w:rPr>
          <w:color w:val="000000" w:themeColor="text1"/>
          <w:vertAlign w:val="superscript"/>
        </w:rPr>
        <w:t>3</w:t>
      </w:r>
      <w:r>
        <w:rPr>
          <w:rFonts w:ascii="仿宋_GB2312"/>
          <w:color w:val="000000" w:themeColor="text1"/>
        </w:rPr>
        <w:t>，</w:t>
      </w:r>
      <w:r>
        <w:rPr>
          <w:rFonts w:hint="eastAsia" w:ascii="仿宋_GB2312"/>
          <w:color w:val="000000" w:themeColor="text1"/>
        </w:rPr>
        <w:t>冲洗设备一套</w:t>
      </w:r>
      <w:r>
        <w:rPr>
          <w:rFonts w:ascii="仿宋_GB2312"/>
          <w:color w:val="000000" w:themeColor="text1"/>
        </w:rPr>
        <w:t>。</w:t>
      </w:r>
    </w:p>
    <w:p w14:paraId="20EE8A58">
      <w:pPr>
        <w:pStyle w:val="100"/>
        <w:ind w:firstLine="480"/>
        <w:rPr>
          <w:rFonts w:hint="default" w:ascii="Times New Roman" w:hAnsi="Times New Roman" w:cs="Times New Roman"/>
        </w:rPr>
      </w:pPr>
      <w:r>
        <w:rPr>
          <w:rFonts w:hint="default" w:ascii="Times New Roman" w:hAnsi="Times New Roman" w:cs="Times New Roman"/>
        </w:rPr>
        <w:t>（2）临时沉砂池</w:t>
      </w:r>
    </w:p>
    <w:p w14:paraId="269C28C8">
      <w:pPr>
        <w:pStyle w:val="100"/>
        <w:ind w:firstLine="480"/>
        <w:rPr>
          <w:rFonts w:hint="default" w:ascii="Times New Roman" w:hAnsi="Times New Roman" w:cs="Times New Roman"/>
        </w:rPr>
      </w:pPr>
      <w:r>
        <w:rPr>
          <w:rFonts w:hint="default" w:ascii="Times New Roman" w:hAnsi="Times New Roman" w:cs="Times New Roman"/>
        </w:rPr>
        <w:t>为了有效降低施工期间外排水的含沙率，根据工程实际情况考虑，本方案考虑采用沉砂池对泥沙进行沉淀后再进行外排，在绿化区排水出口布设沉砂池</w:t>
      </w:r>
      <w:r>
        <w:rPr>
          <w:rFonts w:hint="eastAsia" w:cs="Times New Roman"/>
          <w:lang w:val="en-US" w:eastAsia="zh-CN"/>
        </w:rPr>
        <w:t>2</w:t>
      </w:r>
      <w:r>
        <w:rPr>
          <w:rFonts w:hint="default" w:ascii="Times New Roman" w:hAnsi="Times New Roman" w:cs="Times New Roman"/>
        </w:rPr>
        <w:t>座。方案设计在临时排水沟中部及出水口处布设沉砂池，沉砂池断面尺寸为：长×宽×深=2.0m×1.0m×1.5m，单座沉砂池</w:t>
      </w:r>
      <w:r>
        <w:rPr>
          <w:rFonts w:hint="eastAsia" w:cs="Times New Roman"/>
          <w:lang w:val="en-US" w:eastAsia="zh-CN"/>
        </w:rPr>
        <w:t>工程量为：</w:t>
      </w:r>
      <w:r>
        <w:rPr>
          <w:rFonts w:hint="default" w:ascii="Times New Roman" w:hAnsi="Times New Roman" w:cs="Times New Roman"/>
        </w:rPr>
        <w:t>土方开挖4.20m</w:t>
      </w:r>
      <w:r>
        <w:rPr>
          <w:rFonts w:hint="default" w:ascii="Times New Roman" w:hAnsi="Times New Roman" w:cs="Times New Roman"/>
          <w:vertAlign w:val="superscript"/>
        </w:rPr>
        <w:t>3</w:t>
      </w:r>
      <w:r>
        <w:rPr>
          <w:rFonts w:hint="default" w:ascii="Times New Roman" w:hAnsi="Times New Roman" w:cs="Times New Roman"/>
        </w:rPr>
        <w:t>，土方回填0.80m</w:t>
      </w:r>
      <w:r>
        <w:rPr>
          <w:rFonts w:hint="default" w:ascii="Times New Roman" w:hAnsi="Times New Roman" w:cs="Times New Roman"/>
          <w:vertAlign w:val="superscript"/>
        </w:rPr>
        <w:t>3</w:t>
      </w:r>
      <w:r>
        <w:rPr>
          <w:rFonts w:hint="default" w:ascii="Times New Roman" w:hAnsi="Times New Roman" w:cs="Times New Roman"/>
        </w:rPr>
        <w:t>，M7.5砂浆砌砖1.21m</w:t>
      </w:r>
      <w:r>
        <w:rPr>
          <w:rFonts w:hint="default" w:ascii="Times New Roman" w:hAnsi="Times New Roman" w:cs="Times New Roman"/>
          <w:vertAlign w:val="superscript"/>
        </w:rPr>
        <w:t>3</w:t>
      </w:r>
      <w:r>
        <w:rPr>
          <w:rFonts w:hint="default" w:ascii="Times New Roman" w:hAnsi="Times New Roman" w:cs="Times New Roman"/>
        </w:rPr>
        <w:t>，M7.5砂浆抹面15.50m</w:t>
      </w:r>
      <w:r>
        <w:rPr>
          <w:rFonts w:hint="default" w:ascii="Times New Roman" w:hAnsi="Times New Roman" w:cs="Times New Roman"/>
          <w:vertAlign w:val="superscript"/>
        </w:rPr>
        <w:t>2</w:t>
      </w:r>
      <w:r>
        <w:rPr>
          <w:rFonts w:hint="default" w:ascii="Times New Roman" w:hAnsi="Times New Roman" w:cs="Times New Roman"/>
        </w:rPr>
        <w:t>，C20砼0.33m</w:t>
      </w:r>
      <w:r>
        <w:rPr>
          <w:rFonts w:hint="default" w:ascii="Times New Roman" w:hAnsi="Times New Roman" w:cs="Times New Roman"/>
          <w:vertAlign w:val="superscript"/>
        </w:rPr>
        <w:t>3</w:t>
      </w:r>
      <w:r>
        <w:rPr>
          <w:rFonts w:hint="eastAsia" w:cs="Times New Roman"/>
          <w:lang w:eastAsia="zh-CN"/>
        </w:rPr>
        <w:t>。</w:t>
      </w:r>
      <w:r>
        <w:rPr>
          <w:rFonts w:hint="default" w:ascii="Times New Roman" w:hAnsi="Times New Roman" w:cs="Times New Roman"/>
        </w:rPr>
        <w:t>施工期间应定期对沉砂池进行清理，将清理出的泥沙回填至绿化区域，施工结束后将沉砂池回填。</w:t>
      </w:r>
    </w:p>
    <w:p w14:paraId="18E347DE">
      <w:pPr>
        <w:pStyle w:val="100"/>
        <w:ind w:firstLine="480"/>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）临时苫盖</w:t>
      </w:r>
    </w:p>
    <w:p w14:paraId="1DDE1777">
      <w:pPr>
        <w:pStyle w:val="100"/>
        <w:ind w:firstLine="480"/>
        <w:rPr>
          <w:rFonts w:hint="default" w:ascii="Times New Roman" w:hAnsi="Times New Roman" w:cs="Times New Roman"/>
        </w:rPr>
      </w:pPr>
      <w:r>
        <w:rPr>
          <w:rFonts w:hint="default" w:ascii="Times New Roman" w:hAnsi="Times New Roman" w:cs="Times New Roman"/>
        </w:rPr>
        <w:t>为了避免施工期间裸露的开挖面及临时堆放土石方遭到降雨的冲刷而产生水土流失，本方案设计对</w:t>
      </w:r>
      <w:r>
        <w:rPr>
          <w:rFonts w:hint="eastAsia" w:cs="Times New Roman"/>
          <w:lang w:eastAsia="zh-CN"/>
        </w:rPr>
        <w:t>道路及硬化区</w:t>
      </w:r>
      <w:r>
        <w:rPr>
          <w:rFonts w:hint="default" w:ascii="Times New Roman" w:hAnsi="Times New Roman" w:cs="Times New Roman"/>
        </w:rPr>
        <w:t>临时堆放的土石方及开挖裸露区域进行苫盖，参照同类工程实际经验，共设计临时苫盖</w:t>
      </w:r>
      <w:r>
        <w:rPr>
          <w:rFonts w:hint="eastAsia" w:cs="Times New Roman"/>
          <w:lang w:val="en-US" w:eastAsia="zh-CN"/>
        </w:rPr>
        <w:t>220</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，具体工程量为铺设彩条布</w:t>
      </w:r>
      <w:r>
        <w:rPr>
          <w:rFonts w:hint="eastAsia" w:ascii="Times New Roman" w:hAnsi="Times New Roman" w:cs="Times New Roman"/>
          <w:lang w:val="en-US" w:eastAsia="zh-CN"/>
        </w:rPr>
        <w:t>220</w:t>
      </w:r>
      <w:r>
        <w:rPr>
          <w:rFonts w:hint="default" w:ascii="Times New Roman" w:hAnsi="Times New Roman" w:cs="Times New Roman"/>
        </w:rPr>
        <w:t>.00m</w:t>
      </w:r>
      <w:r>
        <w:rPr>
          <w:rFonts w:hint="default" w:ascii="Times New Roman" w:hAnsi="Times New Roman" w:cs="Times New Roman"/>
          <w:vertAlign w:val="superscript"/>
        </w:rPr>
        <w:t>2</w:t>
      </w:r>
      <w:r>
        <w:rPr>
          <w:rFonts w:hint="default" w:ascii="Times New Roman" w:hAnsi="Times New Roman" w:cs="Times New Roman"/>
        </w:rPr>
        <w:t>。</w:t>
      </w:r>
    </w:p>
    <w:p w14:paraId="57EB7669">
      <w:pPr>
        <w:pStyle w:val="100"/>
        <w:ind w:firstLine="480"/>
        <w:rPr>
          <w:rFonts w:hint="default" w:ascii="Times New Roman" w:hAnsi="Times New Roman" w:cs="Times New Roman"/>
        </w:rPr>
      </w:pPr>
      <w:r>
        <w:rPr>
          <w:rFonts w:hint="default" w:ascii="Times New Roman" w:hAnsi="Times New Roman" w:cs="Times New Roman"/>
        </w:rPr>
        <w:t>2、水土保持要求</w:t>
      </w:r>
    </w:p>
    <w:p w14:paraId="31591D03">
      <w:pPr>
        <w:pStyle w:val="100"/>
        <w:ind w:firstLine="480"/>
        <w:rPr>
          <w:rFonts w:hint="default" w:ascii="Times New Roman" w:hAnsi="Times New Roman" w:cs="Times New Roman"/>
        </w:rPr>
      </w:pPr>
      <w:r>
        <w:rPr>
          <w:rFonts w:hint="default" w:ascii="Times New Roman" w:hAnsi="Times New Roman" w:cs="Times New Roman"/>
        </w:rPr>
        <w:t>（1）严格按照工程设计及施工进度计划进行施工，减少地表裸露时间；</w:t>
      </w:r>
    </w:p>
    <w:p w14:paraId="3D6E1B6C">
      <w:pPr>
        <w:pStyle w:val="100"/>
        <w:ind w:firstLine="480"/>
        <w:rPr>
          <w:rFonts w:hint="default" w:ascii="Times New Roman" w:hAnsi="Times New Roman" w:eastAsia="仿宋_GB2312" w:cs="Times New Roman"/>
          <w:lang w:eastAsia="zh-CN"/>
        </w:rPr>
      </w:pPr>
      <w:r>
        <w:rPr>
          <w:rFonts w:hint="default" w:ascii="Times New Roman" w:hAnsi="Times New Roman" w:cs="Times New Roman"/>
        </w:rPr>
        <w:t>（2）建设单位在施工过程中应派专人对各项排水措施及其防护效果进行定期检查，对出现问题的措施应及时整改和补救</w:t>
      </w:r>
      <w:r>
        <w:rPr>
          <w:rFonts w:hint="default" w:ascii="Times New Roman" w:hAnsi="Times New Roman" w:cs="Times New Roman"/>
          <w:lang w:eastAsia="zh-CN"/>
        </w:rPr>
        <w:t>；</w:t>
      </w:r>
    </w:p>
    <w:p w14:paraId="51B622CC">
      <w:pPr>
        <w:pStyle w:val="100"/>
        <w:ind w:firstLine="480"/>
        <w:rPr>
          <w:rFonts w:hint="default" w:ascii="Times New Roman" w:hAnsi="Times New Roman" w:cs="Times New Roman"/>
        </w:rPr>
      </w:pPr>
      <w:r>
        <w:rPr>
          <w:rFonts w:hint="default" w:ascii="Times New Roman" w:hAnsi="Times New Roman" w:cs="Times New Roman"/>
        </w:rPr>
        <w:t>（3）合理选择施工工序，尽量缩短土石方的堆放时间，避免产生大量的水土流失。</w:t>
      </w:r>
    </w:p>
    <w:p w14:paraId="561BE7EB">
      <w:pPr>
        <w:pStyle w:val="5"/>
        <w:rPr>
          <w:rFonts w:hint="default" w:ascii="Times New Roman" w:hAnsi="Times New Roman" w:cs="Times New Roman"/>
        </w:rPr>
      </w:pPr>
      <w:r>
        <w:rPr>
          <w:rFonts w:hint="default" w:ascii="Times New Roman" w:hAnsi="Times New Roman" w:cs="Times New Roman"/>
        </w:rPr>
        <w:t>绿化区水土保持措施设计</w:t>
      </w:r>
    </w:p>
    <w:p w14:paraId="187AC77D">
      <w:pPr>
        <w:pStyle w:val="93"/>
        <w:rPr>
          <w:rFonts w:hint="default" w:ascii="Times New Roman" w:hAnsi="Times New Roman" w:cs="Times New Roman"/>
          <w:b/>
          <w:bCs/>
        </w:rPr>
      </w:pPr>
      <w:r>
        <w:rPr>
          <w:rFonts w:hint="default" w:ascii="Times New Roman" w:hAnsi="Times New Roman" w:cs="Times New Roman"/>
          <w:b/>
          <w:bCs/>
        </w:rPr>
        <w:t>一、主体设计水土保持措施</w:t>
      </w:r>
    </w:p>
    <w:p w14:paraId="4BB73DBB">
      <w:pPr>
        <w:pStyle w:val="93"/>
        <w:rPr>
          <w:rFonts w:hint="default" w:ascii="Times New Roman" w:hAnsi="Times New Roman" w:cs="Times New Roman"/>
        </w:rPr>
      </w:pPr>
      <w:r>
        <w:rPr>
          <w:rFonts w:hint="default" w:ascii="Times New Roman" w:hAnsi="Times New Roman" w:cs="Times New Roman"/>
        </w:rPr>
        <w:t>1、工程措施</w:t>
      </w:r>
    </w:p>
    <w:p w14:paraId="43E0353E">
      <w:pPr>
        <w:pStyle w:val="93"/>
        <w:rPr>
          <w:rFonts w:hint="default" w:ascii="Times New Roman" w:hAnsi="Times New Roman" w:cs="Times New Roman"/>
        </w:rPr>
      </w:pPr>
      <w:r>
        <w:rPr>
          <w:rFonts w:hint="default" w:ascii="Times New Roman" w:hAnsi="Times New Roman" w:cs="Times New Roman"/>
        </w:rPr>
        <w:t>（1）表土剥离</w:t>
      </w:r>
    </w:p>
    <w:p w14:paraId="4C717A8A">
      <w:pPr>
        <w:pStyle w:val="93"/>
        <w:rPr>
          <w:rFonts w:hint="default" w:ascii="Times New Roman" w:hAnsi="Times New Roman" w:cs="Times New Roman"/>
        </w:rPr>
      </w:pPr>
      <w:r>
        <w:rPr>
          <w:rFonts w:hint="default" w:ascii="Times New Roman" w:hAnsi="Times New Roman" w:cs="Times New Roman"/>
        </w:rPr>
        <w:t>为保护珍贵的表土资源，提高项目区绿化苗木成活率，保障绿化工程质量，在项目前期场地平整工作时对场地内可利用熟土进行</w:t>
      </w:r>
      <w:r>
        <w:rPr>
          <w:rFonts w:hint="eastAsia" w:ascii="Times New Roman" w:hAnsi="Times New Roman" w:cs="Times New Roman"/>
          <w:lang w:val="en-US" w:eastAsia="zh-CN"/>
        </w:rPr>
        <w:t>了</w:t>
      </w:r>
      <w:r>
        <w:rPr>
          <w:rFonts w:hint="default" w:ascii="Times New Roman" w:hAnsi="Times New Roman" w:cs="Times New Roman"/>
        </w:rPr>
        <w:t>剥离，剥离出来的表土</w:t>
      </w:r>
      <w:r>
        <w:rPr>
          <w:rFonts w:hint="eastAsia" w:ascii="Times New Roman" w:hAnsi="Times New Roman" w:cs="Times New Roman"/>
          <w:lang w:val="en-US" w:eastAsia="zh-CN"/>
        </w:rPr>
        <w:t>目前堆放在项目区西侧，要求建设单位统一</w:t>
      </w:r>
      <w:r>
        <w:rPr>
          <w:rFonts w:hint="default" w:ascii="Times New Roman" w:hAnsi="Times New Roman" w:cs="Times New Roman"/>
        </w:rPr>
        <w:t>堆放</w:t>
      </w:r>
      <w:r>
        <w:rPr>
          <w:rFonts w:hint="eastAsia" w:ascii="Times New Roman" w:hAnsi="Times New Roman" w:cs="Times New Roman"/>
          <w:lang w:val="en-US" w:eastAsia="zh-CN"/>
        </w:rPr>
        <w:t>至</w:t>
      </w:r>
      <w:r>
        <w:rPr>
          <w:rFonts w:hint="default" w:ascii="Times New Roman" w:hAnsi="Times New Roman" w:cs="Times New Roman"/>
        </w:rPr>
        <w:t>表土堆场，后期用作绿化区覆土土源。经统计，</w:t>
      </w:r>
      <w:r>
        <w:rPr>
          <w:rFonts w:hint="eastAsia" w:ascii="Times New Roman" w:hAnsi="Times New Roman" w:cs="Times New Roman"/>
          <w:lang w:val="en-US" w:eastAsia="zh-CN"/>
        </w:rPr>
        <w:t>绿化</w:t>
      </w:r>
      <w:r>
        <w:rPr>
          <w:rFonts w:hint="eastAsia" w:cs="Times New Roman"/>
          <w:lang w:eastAsia="zh-CN"/>
        </w:rPr>
        <w:t>区</w:t>
      </w:r>
      <w:r>
        <w:rPr>
          <w:rFonts w:hint="default" w:ascii="Times New Roman" w:hAnsi="Times New Roman" w:cs="Times New Roman"/>
        </w:rPr>
        <w:t>共计剥离表土</w:t>
      </w:r>
      <w:r>
        <w:rPr>
          <w:rFonts w:hint="eastAsia" w:ascii="Times New Roman" w:hAnsi="Times New Roman" w:cs="Times New Roman"/>
          <w:lang w:val="en-US" w:eastAsia="zh-CN"/>
        </w:rPr>
        <w:t>210</w:t>
      </w:r>
      <w:r>
        <w:rPr>
          <w:rFonts w:hint="default" w:ascii="Times New Roman" w:hAnsi="Times New Roman" w:cs="Times New Roman"/>
          <w:lang w:val="en-US"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w:t>
      </w:r>
    </w:p>
    <w:p w14:paraId="17404A6D">
      <w:pPr>
        <w:ind w:firstLine="480"/>
        <w:rPr>
          <w:rFonts w:hint="default" w:ascii="Times New Roman" w:hAnsi="Times New Roman" w:cs="Times New Roman"/>
        </w:rPr>
      </w:pPr>
      <w:r>
        <w:rPr>
          <w:rFonts w:hint="default" w:ascii="Times New Roman" w:hAnsi="Times New Roman" w:cs="Times New Roman"/>
        </w:rPr>
        <w:t>2、植物措施</w:t>
      </w:r>
    </w:p>
    <w:p w14:paraId="068A709B">
      <w:pPr>
        <w:pStyle w:val="100"/>
        <w:ind w:firstLine="480"/>
        <w:rPr>
          <w:rFonts w:hint="default" w:ascii="Times New Roman" w:hAnsi="Times New Roman" w:cs="Times New Roman"/>
        </w:rPr>
      </w:pPr>
      <w:r>
        <w:rPr>
          <w:rFonts w:hint="default" w:ascii="Times New Roman" w:hAnsi="Times New Roman" w:cs="Times New Roman"/>
        </w:rPr>
        <w:t>（1）景观绿化</w:t>
      </w:r>
    </w:p>
    <w:p w14:paraId="71BFD084">
      <w:pPr>
        <w:adjustRightInd w:val="0"/>
        <w:snapToGrid w:val="0"/>
        <w:ind w:firstLine="480"/>
        <w:rPr>
          <w:rFonts w:hint="default" w:ascii="Times New Roman" w:hAnsi="Times New Roman" w:cs="Times New Roman"/>
        </w:rPr>
      </w:pPr>
      <w:r>
        <w:rPr>
          <w:rFonts w:hint="default" w:ascii="Times New Roman" w:hAnsi="Times New Roman" w:cs="Times New Roman"/>
        </w:rPr>
        <w:t>本项目</w:t>
      </w:r>
      <w:r>
        <w:rPr>
          <w:rFonts w:hint="eastAsia" w:cs="Times New Roman"/>
          <w:lang w:val="en-US" w:eastAsia="zh-CN"/>
        </w:rPr>
        <w:t>主体</w:t>
      </w:r>
      <w:r>
        <w:rPr>
          <w:rFonts w:hint="default" w:ascii="Times New Roman" w:hAnsi="Times New Roman" w:cs="Times New Roman"/>
        </w:rPr>
        <w:t>设计中，对场区建筑物周边其他空地进行绿化，绿化采用多重复合的绿化体系，主要为乔、灌、草相结合，常绿与落叶相结合的方式进行绿化。根据设计资料及图纸，绿化区绿化面积0.</w:t>
      </w:r>
      <w:r>
        <w:rPr>
          <w:rFonts w:hint="eastAsia" w:ascii="Times New Roman" w:hAnsi="Times New Roman" w:cs="Times New Roman"/>
          <w:lang w:val="en-US" w:eastAsia="zh-CN"/>
        </w:rPr>
        <w:t>14</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4F311F79">
      <w:pPr>
        <w:pStyle w:val="100"/>
        <w:ind w:firstLine="482"/>
        <w:rPr>
          <w:rFonts w:hint="default" w:ascii="Times New Roman" w:hAnsi="Times New Roman" w:cs="Times New Roman"/>
          <w:b/>
          <w:bCs/>
        </w:rPr>
      </w:pPr>
      <w:r>
        <w:rPr>
          <w:rFonts w:hint="default" w:ascii="Times New Roman" w:hAnsi="Times New Roman" w:cs="Times New Roman"/>
          <w:b/>
          <w:bCs/>
        </w:rPr>
        <w:t>二、方案新增措施</w:t>
      </w:r>
    </w:p>
    <w:p w14:paraId="7CD9E907">
      <w:pPr>
        <w:pStyle w:val="100"/>
        <w:ind w:firstLine="480"/>
        <w:rPr>
          <w:rFonts w:hint="default" w:ascii="Times New Roman" w:hAnsi="Times New Roman" w:cs="Times New Roman"/>
        </w:rPr>
      </w:pPr>
      <w:r>
        <w:rPr>
          <w:rFonts w:hint="default" w:ascii="Times New Roman" w:hAnsi="Times New Roman" w:cs="Times New Roman"/>
        </w:rPr>
        <w:t>1、临时措施</w:t>
      </w:r>
    </w:p>
    <w:p w14:paraId="6F04BB43">
      <w:pPr>
        <w:pStyle w:val="100"/>
        <w:ind w:firstLine="480"/>
        <w:rPr>
          <w:rFonts w:hint="default" w:ascii="Times New Roman" w:hAnsi="Times New Roman" w:cs="Times New Roman"/>
        </w:rPr>
      </w:pPr>
      <w:r>
        <w:rPr>
          <w:rFonts w:hint="default" w:ascii="Times New Roman" w:hAnsi="Times New Roman" w:cs="Times New Roman"/>
        </w:rPr>
        <w:t>（1）临时苫盖</w:t>
      </w:r>
    </w:p>
    <w:p w14:paraId="3A4F37EF">
      <w:pPr>
        <w:pStyle w:val="100"/>
        <w:ind w:firstLine="480"/>
        <w:rPr>
          <w:rFonts w:hint="default" w:ascii="Times New Roman" w:hAnsi="Times New Roman" w:cs="Times New Roman"/>
        </w:rPr>
      </w:pPr>
      <w:r>
        <w:rPr>
          <w:rFonts w:hint="default" w:ascii="Times New Roman" w:hAnsi="Times New Roman" w:cs="Times New Roman"/>
        </w:rPr>
        <w:t>由于绿化区植物措施需要一定的生长期才能达到蓄水保土的目的，在自然恢复期仍存在部分土体松散裸露，为了防止暴雨天气雨水的冲刷，利于植被生长与存活，方案新增临时苫盖措施，采用无纺布对绿化区域进行临时苫盖。设计临时苫盖面积为</w:t>
      </w:r>
      <w:r>
        <w:rPr>
          <w:rFonts w:hint="eastAsia" w:cs="Times New Roman"/>
          <w:lang w:val="en-US" w:eastAsia="zh-CN"/>
        </w:rPr>
        <w:t>1400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，具体工程量为铺设无纺布</w:t>
      </w:r>
      <w:r>
        <w:rPr>
          <w:rFonts w:hint="eastAsia" w:cs="Times New Roman"/>
          <w:lang w:val="en-US" w:eastAsia="zh-CN"/>
        </w:rPr>
        <w:t>1400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14:paraId="371DE3F4">
      <w:pPr>
        <w:pStyle w:val="109"/>
        <w:ind w:firstLine="480"/>
        <w:rPr>
          <w:lang w:val="zh-CN"/>
        </w:rPr>
      </w:pPr>
      <w:r>
        <w:rPr>
          <w:lang w:val="zh-CN"/>
        </w:rPr>
        <w:t>（</w:t>
      </w:r>
      <w:r>
        <w:rPr>
          <w:rFonts w:hint="eastAsia"/>
          <w:lang w:val="en-US" w:eastAsia="zh-CN"/>
        </w:rPr>
        <w:t>2</w:t>
      </w:r>
      <w:r>
        <w:rPr>
          <w:lang w:val="zh-CN"/>
        </w:rPr>
        <w:t>）临时苫盖</w:t>
      </w:r>
    </w:p>
    <w:p w14:paraId="36AFBF7B">
      <w:pPr>
        <w:pStyle w:val="109"/>
        <w:ind w:firstLine="480"/>
      </w:pPr>
      <w:r>
        <w:rPr>
          <w:rFonts w:hint="eastAsia"/>
          <w:lang w:val="zh-CN"/>
        </w:rPr>
        <w:t>为了减轻降雨对表土的冲刷侵蚀，</w:t>
      </w:r>
      <w:r>
        <w:rPr>
          <w:lang w:val="zh-CN"/>
        </w:rPr>
        <w:t>方案补充对表土堆场</w:t>
      </w:r>
      <w:r>
        <w:rPr>
          <w:rFonts w:hint="eastAsia"/>
          <w:lang w:val="zh-CN"/>
        </w:rPr>
        <w:t>采用彩条布进行</w:t>
      </w:r>
      <w:r>
        <w:rPr>
          <w:lang w:val="zh-CN"/>
        </w:rPr>
        <w:t>临时苫盖</w:t>
      </w:r>
      <w:r>
        <w:rPr>
          <w:rFonts w:hint="eastAsia"/>
          <w:lang w:val="zh-CN"/>
        </w:rPr>
        <w:t>，</w:t>
      </w:r>
      <w:r>
        <w:rPr>
          <w:rFonts w:hint="eastAsia"/>
        </w:rPr>
        <w:t>彩条布苫盖</w:t>
      </w:r>
      <w:r>
        <w:rPr>
          <w:rFonts w:hint="eastAsia"/>
          <w:lang w:val="en-US" w:eastAsia="zh-CN"/>
        </w:rPr>
        <w:t>739.20m</w:t>
      </w:r>
      <w:r>
        <w:rPr>
          <w:vertAlign w:val="superscript"/>
        </w:rPr>
        <w:t>2</w:t>
      </w:r>
      <w:r>
        <w:rPr>
          <w:rFonts w:hint="eastAsia"/>
        </w:rPr>
        <w:t>。</w:t>
      </w:r>
    </w:p>
    <w:p w14:paraId="624AB53E">
      <w:pPr>
        <w:pStyle w:val="109"/>
        <w:ind w:firstLine="480"/>
      </w:pPr>
      <w:r>
        <w:rPr>
          <w:rFonts w:hint="eastAsia"/>
        </w:rPr>
        <w:t>（</w:t>
      </w:r>
      <w:r>
        <w:rPr>
          <w:rFonts w:hint="eastAsia"/>
          <w:lang w:val="en-US" w:eastAsia="zh-CN"/>
        </w:rPr>
        <w:t>3</w:t>
      </w:r>
      <w:r>
        <w:rPr>
          <w:rFonts w:hint="eastAsia"/>
        </w:rPr>
        <w:t>）临时拦挡</w:t>
      </w:r>
    </w:p>
    <w:p w14:paraId="739015E1">
      <w:pPr>
        <w:pStyle w:val="109"/>
        <w:ind w:firstLine="480"/>
        <w:rPr>
          <w:rFonts w:hint="eastAsia" w:eastAsia="仿宋_GB2312"/>
          <w:lang w:eastAsia="zh-CN"/>
        </w:rPr>
      </w:pPr>
      <w:r>
        <w:rPr>
          <w:lang w:val="zh-CN"/>
        </w:rPr>
        <w:t>方案设计表土堆场四周设置临时拦挡，临时拦挡采用编织袋挡墙，编织袋码砌高为</w:t>
      </w:r>
      <w:r>
        <w:rPr>
          <w:rFonts w:hint="eastAsia"/>
        </w:rPr>
        <w:t>50cm，顶宽20cm，底宽50cm。</w:t>
      </w:r>
      <w:r>
        <w:rPr>
          <w:lang w:val="zh-CN"/>
        </w:rPr>
        <w:t>设计编织袋挡墙长</w:t>
      </w:r>
      <w:r>
        <w:rPr>
          <w:rFonts w:hint="eastAsia"/>
          <w:lang w:val="en-US" w:eastAsia="zh-CN"/>
        </w:rPr>
        <w:t>283</w:t>
      </w:r>
      <w:r>
        <w:rPr>
          <w:lang w:val="zh-CN"/>
        </w:rPr>
        <w:t>m，</w:t>
      </w:r>
      <w:r>
        <w:rPr>
          <w:rFonts w:cs="Times New Roman"/>
        </w:rPr>
        <w:t>编织袋</w:t>
      </w:r>
      <w:r>
        <w:rPr>
          <w:rFonts w:hint="eastAsia" w:cs="Times New Roman"/>
          <w:lang w:val="en-US" w:eastAsia="zh-CN"/>
        </w:rPr>
        <w:t>填筑</w:t>
      </w:r>
      <w:r>
        <w:rPr>
          <w:rFonts w:cs="Times New Roman"/>
        </w:rPr>
        <w:t>土方量</w:t>
      </w:r>
      <w:r>
        <w:rPr>
          <w:rFonts w:hint="eastAsia" w:cs="Times New Roman"/>
          <w:lang w:val="en-US" w:eastAsia="zh-CN"/>
        </w:rPr>
        <w:t>49.53</w:t>
      </w:r>
      <w:r>
        <w:rPr>
          <w:rFonts w:cs="Times New Roman"/>
        </w:rPr>
        <w:t>m</w:t>
      </w:r>
      <w:r>
        <w:rPr>
          <w:rFonts w:cs="Times New Roman"/>
          <w:vertAlign w:val="superscript"/>
        </w:rPr>
        <w:t>3</w:t>
      </w:r>
      <w:r>
        <w:rPr>
          <w:rFonts w:hint="eastAsia" w:cs="Times New Roman"/>
          <w:lang w:eastAsia="zh-CN"/>
        </w:rPr>
        <w:t>，</w:t>
      </w:r>
      <w:r>
        <w:rPr>
          <w:rFonts w:cs="Times New Roman"/>
        </w:rPr>
        <w:t>编织袋</w:t>
      </w:r>
      <w:r>
        <w:rPr>
          <w:rFonts w:hint="eastAsia" w:cs="Times New Roman"/>
          <w:lang w:val="en-US" w:eastAsia="zh-CN"/>
        </w:rPr>
        <w:t>拆除</w:t>
      </w:r>
      <w:r>
        <w:rPr>
          <w:rFonts w:cs="Times New Roman"/>
        </w:rPr>
        <w:t>土方量</w:t>
      </w:r>
      <w:r>
        <w:rPr>
          <w:rFonts w:hint="eastAsia" w:cs="Times New Roman"/>
          <w:lang w:val="en-US" w:eastAsia="zh-CN"/>
        </w:rPr>
        <w:t>49.53</w:t>
      </w:r>
      <w:r>
        <w:rPr>
          <w:rFonts w:cs="Times New Roman"/>
        </w:rPr>
        <w:t>m</w:t>
      </w:r>
      <w:r>
        <w:rPr>
          <w:rFonts w:cs="Times New Roman"/>
          <w:vertAlign w:val="superscript"/>
        </w:rPr>
        <w:t>3</w:t>
      </w:r>
      <w:r>
        <w:rPr>
          <w:rFonts w:hint="eastAsia" w:cs="Times New Roman"/>
          <w:lang w:eastAsia="zh-CN"/>
        </w:rPr>
        <w:t>。</w:t>
      </w:r>
    </w:p>
    <w:p w14:paraId="3BB41FC4">
      <w:pPr>
        <w:pStyle w:val="100"/>
        <w:ind w:firstLine="480"/>
        <w:rPr>
          <w:rFonts w:hint="default" w:ascii="Times New Roman" w:hAnsi="Times New Roman" w:cs="Times New Roman"/>
        </w:rPr>
      </w:pPr>
      <w:r>
        <w:rPr>
          <w:rFonts w:hint="default" w:ascii="Times New Roman" w:hAnsi="Times New Roman" w:cs="Times New Roman"/>
        </w:rPr>
        <w:t>2、水土保持要求</w:t>
      </w:r>
    </w:p>
    <w:p w14:paraId="689BB48B">
      <w:pPr>
        <w:pStyle w:val="100"/>
        <w:ind w:firstLine="480"/>
        <w:rPr>
          <w:rFonts w:hint="default" w:ascii="Times New Roman" w:hAnsi="Times New Roman" w:cs="Times New Roman"/>
        </w:rPr>
      </w:pPr>
      <w:r>
        <w:rPr>
          <w:rFonts w:hint="default" w:ascii="Times New Roman" w:hAnsi="Times New Roman" w:cs="Times New Roman"/>
        </w:rPr>
        <w:t>（1）加强工程施工管理，严格按照工程设计及施工进度计划进行施工，尽量减少地表裸露时间；</w:t>
      </w:r>
    </w:p>
    <w:p w14:paraId="422133E4">
      <w:pPr>
        <w:pStyle w:val="100"/>
        <w:ind w:firstLine="480"/>
        <w:rPr>
          <w:rFonts w:hint="default" w:ascii="Times New Roman" w:hAnsi="Times New Roman" w:cs="Times New Roman"/>
        </w:rPr>
      </w:pPr>
      <w:r>
        <w:rPr>
          <w:rFonts w:hint="default" w:ascii="Times New Roman" w:hAnsi="Times New Roman" w:cs="Times New Roman"/>
        </w:rPr>
        <w:t>（2）绿化施工时应做好临时防护措施，覆土时若遇突然降雨，可及时采取临时苫盖，对土料进行苫盖防护；</w:t>
      </w:r>
    </w:p>
    <w:p w14:paraId="574C6789">
      <w:pPr>
        <w:pStyle w:val="100"/>
        <w:ind w:firstLine="480"/>
        <w:rPr>
          <w:rFonts w:hint="default" w:ascii="Times New Roman" w:hAnsi="Times New Roman" w:cs="Times New Roman"/>
        </w:rPr>
      </w:pPr>
      <w:r>
        <w:rPr>
          <w:rFonts w:hint="default" w:ascii="Times New Roman" w:hAnsi="Times New Roman" w:cs="Times New Roman"/>
        </w:rPr>
        <w:t>（3）在完成项目建设区绿化后，应加强绿地管护工作，不能随意攀折、践踏，重视补栽工作，保证林草成活率。</w:t>
      </w:r>
    </w:p>
    <w:p w14:paraId="6D5630BD">
      <w:pPr>
        <w:pStyle w:val="4"/>
        <w:rPr>
          <w:rFonts w:hint="default" w:ascii="Times New Roman" w:hAnsi="Times New Roman" w:cs="Times New Roman"/>
        </w:rPr>
      </w:pPr>
      <w:bookmarkStart w:id="96" w:name="_Toc321751158"/>
      <w:bookmarkStart w:id="97" w:name="_Toc322787028"/>
      <w:r>
        <w:rPr>
          <w:rFonts w:hint="default" w:ascii="Times New Roman" w:hAnsi="Times New Roman" w:cs="Times New Roman"/>
        </w:rPr>
        <w:t>水土保持措施工程量</w:t>
      </w:r>
      <w:bookmarkEnd w:id="96"/>
      <w:bookmarkEnd w:id="97"/>
    </w:p>
    <w:p w14:paraId="684BBEC1">
      <w:pPr>
        <w:ind w:firstLine="480"/>
        <w:rPr>
          <w:rFonts w:hint="default" w:ascii="Times New Roman" w:hAnsi="Times New Roman" w:cs="Times New Roman"/>
        </w:rPr>
      </w:pPr>
      <w:r>
        <w:rPr>
          <w:rFonts w:hint="default" w:ascii="Times New Roman" w:hAnsi="Times New Roman" w:cs="Times New Roman"/>
        </w:rPr>
        <w:t>一、主体工程中具有水土保持功能的措施：</w:t>
      </w:r>
    </w:p>
    <w:p w14:paraId="4C0E9ED5">
      <w:pPr>
        <w:ind w:firstLine="480"/>
        <w:rPr>
          <w:rFonts w:hint="default" w:ascii="Times New Roman" w:hAnsi="Times New Roman" w:eastAsia="仿宋_GB2312" w:cs="Times New Roman"/>
          <w:lang w:val="en-US" w:eastAsia="zh-CN"/>
        </w:rPr>
      </w:pPr>
      <w:r>
        <w:rPr>
          <w:rFonts w:hint="eastAsia" w:cs="Times New Roman"/>
          <w:lang w:val="en-US" w:eastAsia="zh-CN"/>
        </w:rPr>
        <w:t>1、地块一</w:t>
      </w:r>
    </w:p>
    <w:p w14:paraId="4B4E6844">
      <w:pPr>
        <w:ind w:firstLine="480"/>
        <w:rPr>
          <w:rFonts w:hint="default" w:ascii="Times New Roman" w:hAnsi="Times New Roman" w:cs="Times New Roman"/>
        </w:rPr>
      </w:pPr>
      <w:r>
        <w:rPr>
          <w:rFonts w:hint="default" w:ascii="Times New Roman" w:hAnsi="Times New Roman" w:cs="Times New Roman"/>
        </w:rPr>
        <w:t>（1）工程措施：表土剥离</w:t>
      </w:r>
      <w:r>
        <w:rPr>
          <w:rFonts w:hint="eastAsia" w:cs="Times New Roman"/>
          <w:lang w:val="en-US" w:eastAsia="zh-CN"/>
        </w:rPr>
        <w:t>555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，雨水管网</w:t>
      </w:r>
      <w:r>
        <w:rPr>
          <w:rFonts w:hint="eastAsia" w:cs="Times New Roman"/>
          <w:lang w:val="en-US" w:eastAsia="zh-CN"/>
        </w:rPr>
        <w:t>200</w:t>
      </w:r>
      <w:r>
        <w:rPr>
          <w:rFonts w:hint="default" w:ascii="Times New Roman" w:hAnsi="Times New Roman" w:cs="Times New Roman"/>
        </w:rPr>
        <w:t>m；</w:t>
      </w:r>
    </w:p>
    <w:p w14:paraId="51F99838">
      <w:pPr>
        <w:ind w:firstLine="480"/>
        <w:rPr>
          <w:rFonts w:hint="default" w:ascii="Times New Roman" w:hAnsi="Times New Roman" w:cs="Times New Roman"/>
        </w:rPr>
      </w:pPr>
      <w:r>
        <w:rPr>
          <w:rFonts w:hint="default" w:ascii="Times New Roman" w:hAnsi="Times New Roman" w:cs="Times New Roman"/>
        </w:rPr>
        <w:t>（2）植物措施：景观绿化0.0</w:t>
      </w:r>
      <w:r>
        <w:rPr>
          <w:rFonts w:hint="eastAsia" w:cs="Times New Roman"/>
          <w:lang w:val="en-US" w:eastAsia="zh-CN"/>
        </w:rPr>
        <w:t>9</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2B18D527">
      <w:pPr>
        <w:ind w:firstLine="480"/>
        <w:rPr>
          <w:rFonts w:hint="default" w:ascii="Times New Roman" w:hAnsi="Times New Roman" w:eastAsia="仿宋_GB2312" w:cs="Times New Roman"/>
          <w:lang w:val="en-US" w:eastAsia="zh-CN"/>
        </w:rPr>
      </w:pPr>
      <w:r>
        <w:rPr>
          <w:rFonts w:hint="eastAsia" w:cs="Times New Roman"/>
          <w:lang w:val="en-US" w:eastAsia="zh-CN"/>
        </w:rPr>
        <w:t>2、地块二</w:t>
      </w:r>
    </w:p>
    <w:p w14:paraId="00916BB6">
      <w:pPr>
        <w:ind w:firstLine="480"/>
        <w:rPr>
          <w:rFonts w:hint="default" w:ascii="Times New Roman" w:hAnsi="Times New Roman" w:cs="Times New Roman"/>
        </w:rPr>
      </w:pPr>
      <w:r>
        <w:rPr>
          <w:rFonts w:hint="default" w:ascii="Times New Roman" w:hAnsi="Times New Roman" w:cs="Times New Roman"/>
        </w:rPr>
        <w:t>（1）工程措施：表土剥离</w:t>
      </w:r>
      <w:r>
        <w:rPr>
          <w:rFonts w:hint="eastAsia" w:ascii="Times New Roman" w:hAnsi="Times New Roman" w:cs="Times New Roman"/>
          <w:lang w:val="en-US" w:eastAsia="zh-CN"/>
        </w:rPr>
        <w:t>1365</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，雨水管网</w:t>
      </w:r>
      <w:r>
        <w:rPr>
          <w:rFonts w:hint="eastAsia" w:ascii="Times New Roman" w:hAnsi="Times New Roman" w:cs="Times New Roman"/>
          <w:lang w:val="en-US" w:eastAsia="zh-CN"/>
        </w:rPr>
        <w:t>245</w:t>
      </w:r>
      <w:r>
        <w:rPr>
          <w:rFonts w:hint="default" w:ascii="Times New Roman" w:hAnsi="Times New Roman" w:cs="Times New Roman"/>
        </w:rPr>
        <w:t>m；</w:t>
      </w:r>
    </w:p>
    <w:p w14:paraId="3599791D">
      <w:pPr>
        <w:ind w:firstLine="480"/>
        <w:rPr>
          <w:rFonts w:hint="default" w:ascii="Times New Roman" w:hAnsi="Times New Roman" w:cs="Times New Roman"/>
        </w:rPr>
      </w:pPr>
      <w:r>
        <w:rPr>
          <w:rFonts w:hint="default" w:ascii="Times New Roman" w:hAnsi="Times New Roman" w:cs="Times New Roman"/>
        </w:rPr>
        <w:t>（2）植物措施：景观绿化0.</w:t>
      </w:r>
      <w:r>
        <w:rPr>
          <w:rFonts w:hint="eastAsia" w:ascii="Times New Roman" w:hAnsi="Times New Roman" w:cs="Times New Roman"/>
          <w:lang w:val="en-US" w:eastAsia="zh-CN"/>
        </w:rPr>
        <w:t>14</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w:t>
      </w:r>
    </w:p>
    <w:p w14:paraId="20BBEA8F">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表5-6                 主体工程已列水土保持措施工程量统计表</w:t>
      </w:r>
    </w:p>
    <w:tbl>
      <w:tblPr>
        <w:tblStyle w:val="27"/>
        <w:tblW w:w="956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3"/>
        <w:gridCol w:w="1535"/>
        <w:gridCol w:w="2096"/>
        <w:gridCol w:w="840"/>
        <w:gridCol w:w="913"/>
        <w:gridCol w:w="984"/>
        <w:gridCol w:w="743"/>
        <w:gridCol w:w="708"/>
        <w:gridCol w:w="874"/>
      </w:tblGrid>
      <w:tr w14:paraId="0CFED1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restart"/>
            <w:tcBorders>
              <w:tl2br w:val="nil"/>
              <w:tr2bl w:val="nil"/>
            </w:tcBorders>
            <w:shd w:val="clear" w:color="auto" w:fill="auto"/>
            <w:noWrap/>
            <w:vAlign w:val="center"/>
          </w:tcPr>
          <w:p w14:paraId="491DB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35" w:type="dxa"/>
            <w:vMerge w:val="restart"/>
            <w:tcBorders>
              <w:tl2br w:val="nil"/>
              <w:tr2bl w:val="nil"/>
            </w:tcBorders>
            <w:shd w:val="clear" w:color="auto" w:fill="auto"/>
            <w:noWrap/>
            <w:vAlign w:val="center"/>
          </w:tcPr>
          <w:p w14:paraId="79A02E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2096" w:type="dxa"/>
            <w:vMerge w:val="restart"/>
            <w:tcBorders>
              <w:tl2br w:val="nil"/>
              <w:tr2bl w:val="nil"/>
            </w:tcBorders>
            <w:shd w:val="clear" w:color="auto" w:fill="auto"/>
            <w:noWrap/>
            <w:vAlign w:val="center"/>
          </w:tcPr>
          <w:p w14:paraId="2B5D7E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措施名称</w:t>
            </w:r>
          </w:p>
        </w:tc>
        <w:tc>
          <w:tcPr>
            <w:tcW w:w="1753" w:type="dxa"/>
            <w:gridSpan w:val="2"/>
            <w:tcBorders>
              <w:tl2br w:val="nil"/>
              <w:tr2bl w:val="nil"/>
            </w:tcBorders>
            <w:shd w:val="clear" w:color="auto" w:fill="auto"/>
            <w:noWrap/>
            <w:vAlign w:val="center"/>
          </w:tcPr>
          <w:p w14:paraId="3DABA8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措施数量</w:t>
            </w:r>
          </w:p>
        </w:tc>
        <w:tc>
          <w:tcPr>
            <w:tcW w:w="1727" w:type="dxa"/>
            <w:gridSpan w:val="2"/>
            <w:tcBorders>
              <w:tl2br w:val="nil"/>
              <w:tr2bl w:val="nil"/>
            </w:tcBorders>
            <w:shd w:val="clear" w:color="auto" w:fill="auto"/>
            <w:noWrap/>
            <w:vAlign w:val="center"/>
          </w:tcPr>
          <w:p w14:paraId="5D129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综合单价</w:t>
            </w:r>
          </w:p>
        </w:tc>
        <w:tc>
          <w:tcPr>
            <w:tcW w:w="708" w:type="dxa"/>
            <w:tcBorders>
              <w:tl2br w:val="nil"/>
              <w:tr2bl w:val="nil"/>
            </w:tcBorders>
            <w:shd w:val="clear" w:color="auto" w:fill="auto"/>
            <w:noWrap/>
            <w:vAlign w:val="center"/>
          </w:tcPr>
          <w:p w14:paraId="7AD8B9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投资</w:t>
            </w:r>
          </w:p>
        </w:tc>
        <w:tc>
          <w:tcPr>
            <w:tcW w:w="874" w:type="dxa"/>
            <w:vMerge w:val="restart"/>
            <w:tcBorders>
              <w:tl2br w:val="nil"/>
              <w:tr2bl w:val="nil"/>
            </w:tcBorders>
            <w:shd w:val="clear" w:color="auto" w:fill="auto"/>
            <w:noWrap/>
            <w:vAlign w:val="center"/>
          </w:tcPr>
          <w:p w14:paraId="274BD5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备注</w:t>
            </w:r>
          </w:p>
        </w:tc>
      </w:tr>
      <w:tr w14:paraId="7E7945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1642CB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4928A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vMerge w:val="continue"/>
            <w:tcBorders>
              <w:tl2br w:val="nil"/>
              <w:tr2bl w:val="nil"/>
            </w:tcBorders>
            <w:shd w:val="clear" w:color="auto" w:fill="auto"/>
            <w:noWrap/>
            <w:vAlign w:val="center"/>
          </w:tcPr>
          <w:p w14:paraId="14FCA9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0BE89E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913" w:type="dxa"/>
            <w:tcBorders>
              <w:tl2br w:val="nil"/>
              <w:tr2bl w:val="nil"/>
            </w:tcBorders>
            <w:shd w:val="clear" w:color="auto" w:fill="auto"/>
            <w:noWrap/>
            <w:vAlign w:val="center"/>
          </w:tcPr>
          <w:p w14:paraId="1FF86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984" w:type="dxa"/>
            <w:tcBorders>
              <w:tl2br w:val="nil"/>
              <w:tr2bl w:val="nil"/>
            </w:tcBorders>
            <w:shd w:val="clear" w:color="auto" w:fill="auto"/>
            <w:noWrap/>
            <w:vAlign w:val="center"/>
          </w:tcPr>
          <w:p w14:paraId="08885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743" w:type="dxa"/>
            <w:tcBorders>
              <w:tl2br w:val="nil"/>
              <w:tr2bl w:val="nil"/>
            </w:tcBorders>
            <w:shd w:val="clear" w:color="auto" w:fill="auto"/>
            <w:noWrap/>
            <w:vAlign w:val="center"/>
          </w:tcPr>
          <w:p w14:paraId="25963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708" w:type="dxa"/>
            <w:tcBorders>
              <w:tl2br w:val="nil"/>
              <w:tr2bl w:val="nil"/>
            </w:tcBorders>
            <w:shd w:val="clear" w:color="auto" w:fill="auto"/>
            <w:noWrap/>
            <w:vAlign w:val="center"/>
          </w:tcPr>
          <w:p w14:paraId="2504F3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874" w:type="dxa"/>
            <w:vMerge w:val="continue"/>
            <w:tcBorders>
              <w:tl2br w:val="nil"/>
              <w:tr2bl w:val="nil"/>
            </w:tcBorders>
            <w:shd w:val="clear" w:color="auto" w:fill="auto"/>
            <w:noWrap/>
            <w:vAlign w:val="center"/>
          </w:tcPr>
          <w:p w14:paraId="28F167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36470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restart"/>
            <w:tcBorders>
              <w:tl2br w:val="nil"/>
              <w:tr2bl w:val="nil"/>
            </w:tcBorders>
            <w:shd w:val="clear" w:color="auto" w:fill="auto"/>
            <w:noWrap/>
            <w:vAlign w:val="center"/>
          </w:tcPr>
          <w:p w14:paraId="27D734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35" w:type="dxa"/>
            <w:tcBorders>
              <w:tl2br w:val="nil"/>
              <w:tr2bl w:val="nil"/>
            </w:tcBorders>
            <w:shd w:val="clear" w:color="auto" w:fill="auto"/>
            <w:noWrap/>
            <w:vAlign w:val="center"/>
          </w:tcPr>
          <w:p w14:paraId="7B81EB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96" w:type="dxa"/>
            <w:tcBorders>
              <w:tl2br w:val="nil"/>
              <w:tr2bl w:val="nil"/>
            </w:tcBorders>
            <w:shd w:val="clear" w:color="auto" w:fill="auto"/>
            <w:noWrap/>
            <w:vAlign w:val="center"/>
          </w:tcPr>
          <w:p w14:paraId="41A0EE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289E3D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0B692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w:t>
            </w:r>
          </w:p>
        </w:tc>
        <w:tc>
          <w:tcPr>
            <w:tcW w:w="984" w:type="dxa"/>
            <w:tcBorders>
              <w:tl2br w:val="nil"/>
              <w:tr2bl w:val="nil"/>
            </w:tcBorders>
            <w:shd w:val="clear" w:color="auto" w:fill="auto"/>
            <w:vAlign w:val="center"/>
          </w:tcPr>
          <w:p w14:paraId="46CE1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4D45E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7DFCFC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0.07 </w:t>
            </w:r>
          </w:p>
        </w:tc>
        <w:tc>
          <w:tcPr>
            <w:tcW w:w="874" w:type="dxa"/>
            <w:tcBorders>
              <w:tl2br w:val="nil"/>
              <w:tr2bl w:val="nil"/>
            </w:tcBorders>
            <w:shd w:val="clear" w:color="auto" w:fill="auto"/>
            <w:noWrap/>
            <w:vAlign w:val="center"/>
          </w:tcPr>
          <w:p w14:paraId="3C1BEE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E8E9B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7E7FE7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704993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96" w:type="dxa"/>
            <w:tcBorders>
              <w:tl2br w:val="nil"/>
              <w:tr2bl w:val="nil"/>
            </w:tcBorders>
            <w:shd w:val="clear" w:color="auto" w:fill="auto"/>
            <w:noWrap/>
            <w:vAlign w:val="center"/>
          </w:tcPr>
          <w:p w14:paraId="206D7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560A0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00E6B3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c>
          <w:tcPr>
            <w:tcW w:w="984" w:type="dxa"/>
            <w:tcBorders>
              <w:tl2br w:val="nil"/>
              <w:tr2bl w:val="nil"/>
            </w:tcBorders>
            <w:shd w:val="clear" w:color="auto" w:fill="auto"/>
            <w:vAlign w:val="center"/>
          </w:tcPr>
          <w:p w14:paraId="0AECC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63536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62989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874" w:type="dxa"/>
            <w:tcBorders>
              <w:tl2br w:val="nil"/>
              <w:tr2bl w:val="nil"/>
            </w:tcBorders>
            <w:shd w:val="clear" w:color="auto" w:fill="auto"/>
            <w:noWrap/>
            <w:vAlign w:val="center"/>
          </w:tcPr>
          <w:p w14:paraId="7F3F4F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0C886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056C50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3B0F40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17452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雨水管网（DN400）</w:t>
            </w:r>
          </w:p>
        </w:tc>
        <w:tc>
          <w:tcPr>
            <w:tcW w:w="840" w:type="dxa"/>
            <w:tcBorders>
              <w:tl2br w:val="nil"/>
              <w:tr2bl w:val="nil"/>
            </w:tcBorders>
            <w:shd w:val="clear" w:color="auto" w:fill="auto"/>
            <w:noWrap/>
            <w:vAlign w:val="center"/>
          </w:tcPr>
          <w:p w14:paraId="0C0CD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4EFFE6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135 </w:t>
            </w:r>
          </w:p>
        </w:tc>
        <w:tc>
          <w:tcPr>
            <w:tcW w:w="984" w:type="dxa"/>
            <w:tcBorders>
              <w:tl2br w:val="nil"/>
              <w:tr2bl w:val="nil"/>
            </w:tcBorders>
            <w:shd w:val="clear" w:color="auto" w:fill="auto"/>
            <w:noWrap/>
            <w:vAlign w:val="center"/>
          </w:tcPr>
          <w:p w14:paraId="718FDB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193.76</w:t>
            </w:r>
          </w:p>
        </w:tc>
        <w:tc>
          <w:tcPr>
            <w:tcW w:w="743" w:type="dxa"/>
            <w:tcBorders>
              <w:tl2br w:val="nil"/>
              <w:tr2bl w:val="nil"/>
            </w:tcBorders>
            <w:shd w:val="clear" w:color="auto" w:fill="auto"/>
            <w:noWrap/>
            <w:vAlign w:val="center"/>
          </w:tcPr>
          <w:p w14:paraId="42D324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2FD35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2.62 </w:t>
            </w:r>
          </w:p>
        </w:tc>
        <w:tc>
          <w:tcPr>
            <w:tcW w:w="874" w:type="dxa"/>
            <w:tcBorders>
              <w:tl2br w:val="nil"/>
              <w:tr2bl w:val="nil"/>
            </w:tcBorders>
            <w:shd w:val="clear" w:color="auto" w:fill="auto"/>
            <w:noWrap/>
            <w:vAlign w:val="center"/>
          </w:tcPr>
          <w:p w14:paraId="047FFB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23C91F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00DB05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CB0E8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4B3BD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雨水管网（DN500）</w:t>
            </w:r>
          </w:p>
        </w:tc>
        <w:tc>
          <w:tcPr>
            <w:tcW w:w="840" w:type="dxa"/>
            <w:tcBorders>
              <w:tl2br w:val="nil"/>
              <w:tr2bl w:val="nil"/>
            </w:tcBorders>
            <w:shd w:val="clear" w:color="auto" w:fill="auto"/>
            <w:noWrap/>
            <w:vAlign w:val="center"/>
          </w:tcPr>
          <w:p w14:paraId="288B47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65920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65 </w:t>
            </w:r>
          </w:p>
        </w:tc>
        <w:tc>
          <w:tcPr>
            <w:tcW w:w="984" w:type="dxa"/>
            <w:tcBorders>
              <w:tl2br w:val="nil"/>
              <w:tr2bl w:val="nil"/>
            </w:tcBorders>
            <w:shd w:val="clear" w:color="auto" w:fill="auto"/>
            <w:noWrap/>
            <w:vAlign w:val="center"/>
          </w:tcPr>
          <w:p w14:paraId="52D2F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265.68</w:t>
            </w:r>
          </w:p>
        </w:tc>
        <w:tc>
          <w:tcPr>
            <w:tcW w:w="743" w:type="dxa"/>
            <w:tcBorders>
              <w:tl2br w:val="nil"/>
              <w:tr2bl w:val="nil"/>
            </w:tcBorders>
            <w:shd w:val="clear" w:color="auto" w:fill="auto"/>
            <w:noWrap/>
            <w:vAlign w:val="center"/>
          </w:tcPr>
          <w:p w14:paraId="5F62B5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1387B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1.73 </w:t>
            </w:r>
          </w:p>
        </w:tc>
        <w:tc>
          <w:tcPr>
            <w:tcW w:w="874" w:type="dxa"/>
            <w:tcBorders>
              <w:tl2br w:val="nil"/>
              <w:tr2bl w:val="nil"/>
            </w:tcBorders>
            <w:shd w:val="clear" w:color="auto" w:fill="auto"/>
            <w:noWrap/>
            <w:vAlign w:val="center"/>
          </w:tcPr>
          <w:p w14:paraId="3D520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AADA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2E7AEC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6AFDD7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96" w:type="dxa"/>
            <w:tcBorders>
              <w:tl2br w:val="nil"/>
              <w:tr2bl w:val="nil"/>
            </w:tcBorders>
            <w:shd w:val="clear" w:color="auto" w:fill="auto"/>
            <w:noWrap/>
            <w:vAlign w:val="center"/>
          </w:tcPr>
          <w:p w14:paraId="6A9068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004BF5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36A60D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w:t>
            </w:r>
          </w:p>
        </w:tc>
        <w:tc>
          <w:tcPr>
            <w:tcW w:w="984" w:type="dxa"/>
            <w:tcBorders>
              <w:tl2br w:val="nil"/>
              <w:tr2bl w:val="nil"/>
            </w:tcBorders>
            <w:shd w:val="clear" w:color="auto" w:fill="auto"/>
            <w:vAlign w:val="center"/>
          </w:tcPr>
          <w:p w14:paraId="53207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76C042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32ABB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874" w:type="dxa"/>
            <w:tcBorders>
              <w:tl2br w:val="nil"/>
              <w:tr2bl w:val="nil"/>
            </w:tcBorders>
            <w:shd w:val="clear" w:color="auto" w:fill="auto"/>
            <w:noWrap/>
            <w:vAlign w:val="center"/>
          </w:tcPr>
          <w:p w14:paraId="5747AA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1379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5401C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787F62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1A2667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840" w:type="dxa"/>
            <w:tcBorders>
              <w:tl2br w:val="nil"/>
              <w:tr2bl w:val="nil"/>
            </w:tcBorders>
            <w:shd w:val="clear" w:color="auto" w:fill="auto"/>
            <w:noWrap/>
            <w:vAlign w:val="center"/>
          </w:tcPr>
          <w:p w14:paraId="64D7CE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913" w:type="dxa"/>
            <w:tcBorders>
              <w:tl2br w:val="nil"/>
              <w:tr2bl w:val="nil"/>
            </w:tcBorders>
            <w:shd w:val="clear" w:color="auto" w:fill="auto"/>
            <w:noWrap/>
            <w:vAlign w:val="center"/>
          </w:tcPr>
          <w:p w14:paraId="75AD6D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984" w:type="dxa"/>
            <w:tcBorders>
              <w:tl2br w:val="nil"/>
              <w:tr2bl w:val="nil"/>
            </w:tcBorders>
            <w:shd w:val="clear" w:color="auto" w:fill="auto"/>
            <w:noWrap/>
            <w:vAlign w:val="center"/>
          </w:tcPr>
          <w:p w14:paraId="26CB34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1200000 </w:t>
            </w:r>
          </w:p>
        </w:tc>
        <w:tc>
          <w:tcPr>
            <w:tcW w:w="743" w:type="dxa"/>
            <w:tcBorders>
              <w:tl2br w:val="nil"/>
              <w:tr2bl w:val="nil"/>
            </w:tcBorders>
            <w:shd w:val="clear" w:color="auto" w:fill="auto"/>
            <w:noWrap/>
            <w:vAlign w:val="center"/>
          </w:tcPr>
          <w:p w14:paraId="55D8A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708" w:type="dxa"/>
            <w:tcBorders>
              <w:tl2br w:val="nil"/>
              <w:tr2bl w:val="nil"/>
            </w:tcBorders>
            <w:shd w:val="clear" w:color="auto" w:fill="auto"/>
            <w:noWrap/>
            <w:vAlign w:val="center"/>
          </w:tcPr>
          <w:p w14:paraId="4A5912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10.80 </w:t>
            </w:r>
          </w:p>
        </w:tc>
        <w:tc>
          <w:tcPr>
            <w:tcW w:w="874" w:type="dxa"/>
            <w:tcBorders>
              <w:tl2br w:val="nil"/>
              <w:tr2bl w:val="nil"/>
            </w:tcBorders>
            <w:shd w:val="clear" w:color="auto" w:fill="auto"/>
            <w:noWrap/>
            <w:vAlign w:val="center"/>
          </w:tcPr>
          <w:p w14:paraId="56DE0E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3E1F8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3984F3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29151C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96" w:type="dxa"/>
            <w:tcBorders>
              <w:tl2br w:val="nil"/>
              <w:tr2bl w:val="nil"/>
            </w:tcBorders>
            <w:shd w:val="clear" w:color="auto" w:fill="auto"/>
            <w:noWrap/>
            <w:vAlign w:val="center"/>
          </w:tcPr>
          <w:p w14:paraId="69C498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6D5E45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2712A3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6B499C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7B1037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423A10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15.51 </w:t>
            </w:r>
          </w:p>
        </w:tc>
        <w:tc>
          <w:tcPr>
            <w:tcW w:w="874" w:type="dxa"/>
            <w:tcBorders>
              <w:tl2br w:val="nil"/>
              <w:tr2bl w:val="nil"/>
            </w:tcBorders>
            <w:shd w:val="clear" w:color="auto" w:fill="auto"/>
            <w:noWrap/>
            <w:vAlign w:val="center"/>
          </w:tcPr>
          <w:p w14:paraId="474EC0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33A54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restart"/>
            <w:tcBorders>
              <w:tl2br w:val="nil"/>
              <w:tr2bl w:val="nil"/>
            </w:tcBorders>
            <w:shd w:val="clear" w:color="auto" w:fill="auto"/>
            <w:noWrap/>
            <w:vAlign w:val="center"/>
          </w:tcPr>
          <w:p w14:paraId="41F348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35" w:type="dxa"/>
            <w:tcBorders>
              <w:tl2br w:val="nil"/>
              <w:tr2bl w:val="nil"/>
            </w:tcBorders>
            <w:shd w:val="clear" w:color="auto" w:fill="auto"/>
            <w:noWrap/>
            <w:vAlign w:val="center"/>
          </w:tcPr>
          <w:p w14:paraId="7EE50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96" w:type="dxa"/>
            <w:tcBorders>
              <w:tl2br w:val="nil"/>
              <w:tr2bl w:val="nil"/>
            </w:tcBorders>
            <w:shd w:val="clear" w:color="auto" w:fill="auto"/>
            <w:noWrap/>
            <w:vAlign w:val="center"/>
          </w:tcPr>
          <w:p w14:paraId="69263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5FFE4A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0E579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855</w:t>
            </w:r>
          </w:p>
        </w:tc>
        <w:tc>
          <w:tcPr>
            <w:tcW w:w="984" w:type="dxa"/>
            <w:tcBorders>
              <w:tl2br w:val="nil"/>
              <w:tr2bl w:val="nil"/>
            </w:tcBorders>
            <w:shd w:val="clear" w:color="auto" w:fill="auto"/>
            <w:vAlign w:val="center"/>
          </w:tcPr>
          <w:p w14:paraId="4D0F70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174E48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57E9DD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0.56 </w:t>
            </w:r>
          </w:p>
        </w:tc>
        <w:tc>
          <w:tcPr>
            <w:tcW w:w="874" w:type="dxa"/>
            <w:tcBorders>
              <w:tl2br w:val="nil"/>
              <w:tr2bl w:val="nil"/>
            </w:tcBorders>
            <w:shd w:val="clear" w:color="auto" w:fill="auto"/>
            <w:noWrap/>
            <w:vAlign w:val="center"/>
          </w:tcPr>
          <w:p w14:paraId="53CFF9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5BF2F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19FBC9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75D64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96" w:type="dxa"/>
            <w:tcBorders>
              <w:tl2br w:val="nil"/>
              <w:tr2bl w:val="nil"/>
            </w:tcBorders>
            <w:shd w:val="clear" w:color="auto" w:fill="auto"/>
            <w:noWrap/>
            <w:vAlign w:val="center"/>
          </w:tcPr>
          <w:p w14:paraId="18DF5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21AA66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481B9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984" w:type="dxa"/>
            <w:tcBorders>
              <w:tl2br w:val="nil"/>
              <w:tr2bl w:val="nil"/>
            </w:tcBorders>
            <w:shd w:val="clear" w:color="auto" w:fill="auto"/>
            <w:vAlign w:val="center"/>
          </w:tcPr>
          <w:p w14:paraId="31AAAE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53EF3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5E06E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874" w:type="dxa"/>
            <w:tcBorders>
              <w:tl2br w:val="nil"/>
              <w:tr2bl w:val="nil"/>
            </w:tcBorders>
            <w:shd w:val="clear" w:color="auto" w:fill="auto"/>
            <w:noWrap/>
            <w:vAlign w:val="center"/>
          </w:tcPr>
          <w:p w14:paraId="2FE47E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59A5C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782A40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070691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75996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雨水管网（DN400）</w:t>
            </w:r>
          </w:p>
        </w:tc>
        <w:tc>
          <w:tcPr>
            <w:tcW w:w="840" w:type="dxa"/>
            <w:tcBorders>
              <w:tl2br w:val="nil"/>
              <w:tr2bl w:val="nil"/>
            </w:tcBorders>
            <w:shd w:val="clear" w:color="auto" w:fill="auto"/>
            <w:noWrap/>
            <w:vAlign w:val="center"/>
          </w:tcPr>
          <w:p w14:paraId="7302D6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51E7E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165 </w:t>
            </w:r>
          </w:p>
        </w:tc>
        <w:tc>
          <w:tcPr>
            <w:tcW w:w="984" w:type="dxa"/>
            <w:tcBorders>
              <w:tl2br w:val="nil"/>
              <w:tr2bl w:val="nil"/>
            </w:tcBorders>
            <w:shd w:val="clear" w:color="auto" w:fill="auto"/>
            <w:noWrap/>
            <w:vAlign w:val="center"/>
          </w:tcPr>
          <w:p w14:paraId="558993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193.76</w:t>
            </w:r>
          </w:p>
        </w:tc>
        <w:tc>
          <w:tcPr>
            <w:tcW w:w="743" w:type="dxa"/>
            <w:tcBorders>
              <w:tl2br w:val="nil"/>
              <w:tr2bl w:val="nil"/>
            </w:tcBorders>
            <w:shd w:val="clear" w:color="auto" w:fill="auto"/>
            <w:noWrap/>
            <w:vAlign w:val="center"/>
          </w:tcPr>
          <w:p w14:paraId="1ED37F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731394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3.20 </w:t>
            </w:r>
          </w:p>
        </w:tc>
        <w:tc>
          <w:tcPr>
            <w:tcW w:w="874" w:type="dxa"/>
            <w:tcBorders>
              <w:tl2br w:val="nil"/>
              <w:tr2bl w:val="nil"/>
            </w:tcBorders>
            <w:shd w:val="clear" w:color="auto" w:fill="auto"/>
            <w:noWrap/>
            <w:vAlign w:val="center"/>
          </w:tcPr>
          <w:p w14:paraId="5C69E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7B4E17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56957E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17AC7E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19BFF2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雨水管网（DN500）</w:t>
            </w:r>
          </w:p>
        </w:tc>
        <w:tc>
          <w:tcPr>
            <w:tcW w:w="840" w:type="dxa"/>
            <w:tcBorders>
              <w:tl2br w:val="nil"/>
              <w:tr2bl w:val="nil"/>
            </w:tcBorders>
            <w:shd w:val="clear" w:color="auto" w:fill="auto"/>
            <w:noWrap/>
            <w:vAlign w:val="center"/>
          </w:tcPr>
          <w:p w14:paraId="361AA0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7198FB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 </w:t>
            </w:r>
          </w:p>
        </w:tc>
        <w:tc>
          <w:tcPr>
            <w:tcW w:w="984" w:type="dxa"/>
            <w:tcBorders>
              <w:tl2br w:val="nil"/>
              <w:tr2bl w:val="nil"/>
            </w:tcBorders>
            <w:shd w:val="clear" w:color="auto" w:fill="auto"/>
            <w:noWrap/>
            <w:vAlign w:val="center"/>
          </w:tcPr>
          <w:p w14:paraId="4ABF16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265.68</w:t>
            </w:r>
          </w:p>
        </w:tc>
        <w:tc>
          <w:tcPr>
            <w:tcW w:w="743" w:type="dxa"/>
            <w:tcBorders>
              <w:tl2br w:val="nil"/>
              <w:tr2bl w:val="nil"/>
            </w:tcBorders>
            <w:shd w:val="clear" w:color="auto" w:fill="auto"/>
            <w:noWrap/>
            <w:vAlign w:val="center"/>
          </w:tcPr>
          <w:p w14:paraId="456091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6321A4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2.13 </w:t>
            </w:r>
          </w:p>
        </w:tc>
        <w:tc>
          <w:tcPr>
            <w:tcW w:w="874" w:type="dxa"/>
            <w:tcBorders>
              <w:tl2br w:val="nil"/>
              <w:tr2bl w:val="nil"/>
            </w:tcBorders>
            <w:shd w:val="clear" w:color="auto" w:fill="auto"/>
            <w:noWrap/>
            <w:vAlign w:val="center"/>
          </w:tcPr>
          <w:p w14:paraId="3A9D6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9E443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4768CB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320A2C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96" w:type="dxa"/>
            <w:tcBorders>
              <w:tl2br w:val="nil"/>
              <w:tr2bl w:val="nil"/>
            </w:tcBorders>
            <w:shd w:val="clear" w:color="auto" w:fill="auto"/>
            <w:noWrap/>
            <w:vAlign w:val="center"/>
          </w:tcPr>
          <w:p w14:paraId="48C5A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3C5858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49213A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984" w:type="dxa"/>
            <w:tcBorders>
              <w:tl2br w:val="nil"/>
              <w:tr2bl w:val="nil"/>
            </w:tcBorders>
            <w:shd w:val="clear" w:color="auto" w:fill="auto"/>
            <w:vAlign w:val="center"/>
          </w:tcPr>
          <w:p w14:paraId="0BDD55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54FFF7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26CE12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874" w:type="dxa"/>
            <w:tcBorders>
              <w:tl2br w:val="nil"/>
              <w:tr2bl w:val="nil"/>
            </w:tcBorders>
            <w:shd w:val="clear" w:color="auto" w:fill="auto"/>
            <w:noWrap/>
            <w:vAlign w:val="center"/>
          </w:tcPr>
          <w:p w14:paraId="6D3F74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706A55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4ACA92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44FE6F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6A1EF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840" w:type="dxa"/>
            <w:tcBorders>
              <w:tl2br w:val="nil"/>
              <w:tr2bl w:val="nil"/>
            </w:tcBorders>
            <w:shd w:val="clear" w:color="auto" w:fill="auto"/>
            <w:noWrap/>
            <w:vAlign w:val="center"/>
          </w:tcPr>
          <w:p w14:paraId="6D7C11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913" w:type="dxa"/>
            <w:tcBorders>
              <w:tl2br w:val="nil"/>
              <w:tr2bl w:val="nil"/>
            </w:tcBorders>
            <w:shd w:val="clear" w:color="auto" w:fill="auto"/>
            <w:noWrap/>
            <w:vAlign w:val="center"/>
          </w:tcPr>
          <w:p w14:paraId="02DDE1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984" w:type="dxa"/>
            <w:tcBorders>
              <w:tl2br w:val="nil"/>
              <w:tr2bl w:val="nil"/>
            </w:tcBorders>
            <w:shd w:val="clear" w:color="auto" w:fill="auto"/>
            <w:noWrap/>
            <w:vAlign w:val="center"/>
          </w:tcPr>
          <w:p w14:paraId="599EB6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1200000 </w:t>
            </w:r>
          </w:p>
        </w:tc>
        <w:tc>
          <w:tcPr>
            <w:tcW w:w="743" w:type="dxa"/>
            <w:tcBorders>
              <w:tl2br w:val="nil"/>
              <w:tr2bl w:val="nil"/>
            </w:tcBorders>
            <w:shd w:val="clear" w:color="auto" w:fill="auto"/>
            <w:noWrap/>
            <w:vAlign w:val="center"/>
          </w:tcPr>
          <w:p w14:paraId="2C6AC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708" w:type="dxa"/>
            <w:tcBorders>
              <w:tl2br w:val="nil"/>
              <w:tr2bl w:val="nil"/>
            </w:tcBorders>
            <w:shd w:val="clear" w:color="auto" w:fill="auto"/>
            <w:noWrap/>
            <w:vAlign w:val="center"/>
          </w:tcPr>
          <w:p w14:paraId="00EF58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16.80 </w:t>
            </w:r>
          </w:p>
        </w:tc>
        <w:tc>
          <w:tcPr>
            <w:tcW w:w="874" w:type="dxa"/>
            <w:tcBorders>
              <w:tl2br w:val="nil"/>
              <w:tr2bl w:val="nil"/>
            </w:tcBorders>
            <w:shd w:val="clear" w:color="auto" w:fill="auto"/>
            <w:noWrap/>
            <w:vAlign w:val="center"/>
          </w:tcPr>
          <w:p w14:paraId="1285C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4D640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270BBC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73E1A5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96" w:type="dxa"/>
            <w:tcBorders>
              <w:tl2br w:val="nil"/>
              <w:tr2bl w:val="nil"/>
            </w:tcBorders>
            <w:shd w:val="clear" w:color="auto" w:fill="auto"/>
            <w:noWrap/>
            <w:vAlign w:val="center"/>
          </w:tcPr>
          <w:p w14:paraId="2F07704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2C9A116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6FACEA5F">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630FB256">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54D10FA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4A66C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23.03</w:t>
            </w:r>
          </w:p>
        </w:tc>
        <w:tc>
          <w:tcPr>
            <w:tcW w:w="874" w:type="dxa"/>
            <w:tcBorders>
              <w:tl2br w:val="nil"/>
              <w:tr2bl w:val="nil"/>
            </w:tcBorders>
            <w:shd w:val="clear" w:color="auto" w:fill="auto"/>
            <w:noWrap/>
            <w:vAlign w:val="center"/>
          </w:tcPr>
          <w:p w14:paraId="526B6592">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r>
      <w:tr w14:paraId="64624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408" w:type="dxa"/>
            <w:gridSpan w:val="2"/>
            <w:tcBorders>
              <w:tl2br w:val="nil"/>
              <w:tr2bl w:val="nil"/>
            </w:tcBorders>
            <w:shd w:val="clear" w:color="auto" w:fill="auto"/>
            <w:noWrap/>
            <w:vAlign w:val="center"/>
          </w:tcPr>
          <w:p w14:paraId="498DA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096" w:type="dxa"/>
            <w:tcBorders>
              <w:tl2br w:val="nil"/>
              <w:tr2bl w:val="nil"/>
            </w:tcBorders>
            <w:shd w:val="clear" w:color="auto" w:fill="auto"/>
            <w:noWrap/>
            <w:vAlign w:val="center"/>
          </w:tcPr>
          <w:p w14:paraId="32151A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482302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0A554E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249CA3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4DCF3B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2FA26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38.54</w:t>
            </w:r>
            <w:r>
              <w:rPr>
                <w:rFonts w:hint="default" w:ascii="Times New Roman" w:hAnsi="Times New Roman" w:eastAsia="仿宋_GB2312" w:cs="Times New Roman"/>
                <w:i w:val="0"/>
                <w:iCs w:val="0"/>
                <w:color w:val="000000"/>
                <w:kern w:val="0"/>
                <w:sz w:val="21"/>
                <w:szCs w:val="21"/>
                <w:u w:val="none"/>
                <w:lang w:val="en-US" w:eastAsia="zh-CN" w:bidi="ar"/>
              </w:rPr>
              <w:t xml:space="preserve"> </w:t>
            </w:r>
          </w:p>
        </w:tc>
        <w:tc>
          <w:tcPr>
            <w:tcW w:w="874" w:type="dxa"/>
            <w:tcBorders>
              <w:tl2br w:val="nil"/>
              <w:tr2bl w:val="nil"/>
            </w:tcBorders>
            <w:shd w:val="clear" w:color="auto" w:fill="auto"/>
            <w:noWrap/>
            <w:vAlign w:val="center"/>
          </w:tcPr>
          <w:p w14:paraId="2E1CD6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bl>
    <w:p w14:paraId="137C43C2">
      <w:pPr>
        <w:ind w:firstLine="480"/>
        <w:rPr>
          <w:rFonts w:hint="default" w:ascii="Times New Roman" w:hAnsi="Times New Roman" w:cs="Times New Roman"/>
        </w:rPr>
      </w:pPr>
      <w:r>
        <w:rPr>
          <w:rFonts w:hint="default" w:ascii="Times New Roman" w:hAnsi="Times New Roman" w:cs="Times New Roman"/>
        </w:rPr>
        <w:t>二、方案新增的水土保持措施为：</w:t>
      </w:r>
    </w:p>
    <w:p w14:paraId="3F4AFD6C">
      <w:pPr>
        <w:pStyle w:val="100"/>
        <w:ind w:firstLine="480"/>
        <w:rPr>
          <w:rFonts w:hint="default" w:ascii="Times New Roman" w:hAnsi="Times New Roman" w:eastAsia="仿宋_GB2312" w:cs="Times New Roman"/>
          <w:lang w:val="en-US" w:eastAsia="zh-CN"/>
        </w:rPr>
      </w:pPr>
      <w:r>
        <w:rPr>
          <w:rFonts w:hint="eastAsia" w:cs="Times New Roman"/>
          <w:lang w:val="en-US" w:eastAsia="zh-CN"/>
        </w:rPr>
        <w:t>1、地块一</w:t>
      </w:r>
    </w:p>
    <w:p w14:paraId="6376C5AE">
      <w:pPr>
        <w:pStyle w:val="100"/>
        <w:ind w:firstLine="480"/>
        <w:rPr>
          <w:rFonts w:hint="default" w:ascii="Times New Roman" w:hAnsi="Times New Roman" w:cs="Times New Roman"/>
        </w:rPr>
      </w:pPr>
      <w:r>
        <w:rPr>
          <w:rFonts w:hint="default" w:ascii="Times New Roman" w:hAnsi="Times New Roman" w:cs="Times New Roman"/>
        </w:rPr>
        <w:t>（1）临时措施：临时彩条布苫盖</w:t>
      </w:r>
      <w:r>
        <w:rPr>
          <w:rFonts w:hint="eastAsia" w:cs="Times New Roman"/>
          <w:lang w:val="en-US" w:eastAsia="zh-CN"/>
        </w:rPr>
        <w:t>881.40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临时无纺布苫盖</w:t>
      </w:r>
      <w:r>
        <w:rPr>
          <w:rFonts w:hint="eastAsia" w:ascii="Times New Roman" w:hAnsi="Times New Roman" w:cs="Times New Roman"/>
          <w:lang w:val="en-US" w:eastAsia="zh-CN"/>
        </w:rPr>
        <w:t>9</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编织袋挡墙82m</w:t>
      </w:r>
      <w:r>
        <w:rPr>
          <w:rFonts w:hint="default" w:ascii="Times New Roman" w:hAnsi="Times New Roman" w:cs="Times New Roman"/>
        </w:rPr>
        <w:t>。</w:t>
      </w:r>
    </w:p>
    <w:p w14:paraId="434A823A">
      <w:pPr>
        <w:pStyle w:val="100"/>
        <w:ind w:firstLine="480"/>
        <w:rPr>
          <w:rFonts w:hint="default" w:ascii="Times New Roman" w:hAnsi="Times New Roman" w:cs="Times New Roman"/>
        </w:rPr>
      </w:pPr>
      <w:r>
        <w:rPr>
          <w:rFonts w:hint="default" w:ascii="Times New Roman" w:hAnsi="Times New Roman" w:cs="Times New Roman"/>
        </w:rPr>
        <w:t>按分区划分为：建构筑物区临时彩条布苫盖</w:t>
      </w:r>
      <w:r>
        <w:rPr>
          <w:rFonts w:hint="eastAsia" w:ascii="Times New Roman" w:hAnsi="Times New Roman" w:cs="Times New Roman"/>
          <w:lang w:val="en-US" w:eastAsia="zh-CN"/>
        </w:rPr>
        <w:t>180.00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道路及硬化区</w:t>
      </w:r>
      <w:r>
        <w:rPr>
          <w:rFonts w:hint="default" w:ascii="Times New Roman" w:hAnsi="Times New Roman" w:cs="Times New Roman"/>
        </w:rPr>
        <w:t>临时彩条布苫盖</w:t>
      </w:r>
      <w:r>
        <w:rPr>
          <w:rFonts w:hint="eastAsia" w:ascii="Times New Roman" w:hAnsi="Times New Roman" w:cs="Times New Roman"/>
          <w:lang w:val="en-US" w:eastAsia="zh-CN"/>
        </w:rPr>
        <w:t>231.00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；绿化区临时无纺布苫盖</w:t>
      </w:r>
      <w:r>
        <w:rPr>
          <w:rFonts w:hint="eastAsia" w:ascii="Times New Roman" w:hAnsi="Times New Roman" w:cs="Times New Roman"/>
          <w:lang w:val="en-US" w:eastAsia="zh-CN"/>
        </w:rPr>
        <w:t>9</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编织袋挡墙82m</w:t>
      </w:r>
      <w:r>
        <w:rPr>
          <w:rFonts w:hint="eastAsia" w:ascii="Times New Roman" w:hAnsi="Times New Roman" w:cs="Times New Roman"/>
          <w:lang w:eastAsia="zh-CN"/>
        </w:rPr>
        <w:t>，</w:t>
      </w:r>
      <w:r>
        <w:rPr>
          <w:rFonts w:hint="default" w:ascii="Times New Roman" w:hAnsi="Times New Roman" w:cs="Times New Roman"/>
        </w:rPr>
        <w:t>临时彩条布苫盖</w:t>
      </w:r>
      <w:r>
        <w:rPr>
          <w:rFonts w:hint="eastAsia" w:ascii="Times New Roman" w:hAnsi="Times New Roman" w:cs="Times New Roman"/>
          <w:lang w:val="en-US" w:eastAsia="zh-CN"/>
        </w:rPr>
        <w:t>470.40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14:paraId="748E3696">
      <w:pPr>
        <w:pStyle w:val="100"/>
        <w:ind w:firstLine="480"/>
        <w:rPr>
          <w:rFonts w:hint="default" w:ascii="Times New Roman" w:hAnsi="Times New Roman" w:eastAsia="仿宋_GB2312" w:cs="Times New Roman"/>
          <w:lang w:val="en-US" w:eastAsia="zh-CN"/>
        </w:rPr>
      </w:pPr>
      <w:r>
        <w:rPr>
          <w:rFonts w:hint="eastAsia" w:cs="Times New Roman"/>
          <w:lang w:val="en-US" w:eastAsia="zh-CN"/>
        </w:rPr>
        <w:t>2、地块二</w:t>
      </w:r>
    </w:p>
    <w:p w14:paraId="69CC8D91">
      <w:pPr>
        <w:pStyle w:val="100"/>
        <w:ind w:firstLine="480"/>
        <w:rPr>
          <w:rFonts w:hint="default" w:ascii="Times New Roman" w:hAnsi="Times New Roman" w:cs="Times New Roman"/>
        </w:rPr>
      </w:pPr>
      <w:r>
        <w:rPr>
          <w:rFonts w:hint="default" w:ascii="Times New Roman" w:hAnsi="Times New Roman" w:cs="Times New Roman"/>
        </w:rPr>
        <w:t>（1）临时措施：临时彩条布苫盖</w:t>
      </w:r>
      <w:r>
        <w:rPr>
          <w:rFonts w:hint="eastAsia" w:ascii="Times New Roman" w:hAnsi="Times New Roman" w:cs="Times New Roman"/>
          <w:lang w:val="en-US" w:eastAsia="zh-CN"/>
        </w:rPr>
        <w:t>1301.20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临时无纺布苫盖</w:t>
      </w:r>
      <w:r>
        <w:rPr>
          <w:rFonts w:hint="eastAsia" w:ascii="Times New Roman" w:hAnsi="Times New Roman" w:cs="Times New Roman"/>
          <w:lang w:val="en-US" w:eastAsia="zh-CN"/>
        </w:rPr>
        <w:t>14</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编织袋挡墙283m</w:t>
      </w:r>
      <w:r>
        <w:rPr>
          <w:rFonts w:hint="default" w:ascii="Times New Roman" w:hAnsi="Times New Roman" w:cs="Times New Roman"/>
        </w:rPr>
        <w:t>。</w:t>
      </w:r>
    </w:p>
    <w:p w14:paraId="4B10BCA2">
      <w:pPr>
        <w:pStyle w:val="100"/>
        <w:ind w:firstLine="480"/>
        <w:rPr>
          <w:rFonts w:hint="default" w:ascii="Times New Roman" w:hAnsi="Times New Roman" w:cs="Times New Roman"/>
        </w:rPr>
      </w:pPr>
      <w:r>
        <w:rPr>
          <w:rFonts w:hint="default" w:ascii="Times New Roman" w:hAnsi="Times New Roman" w:cs="Times New Roman"/>
        </w:rPr>
        <w:t>按分区划分为：建构筑物区临时彩条布苫盖</w:t>
      </w:r>
      <w:r>
        <w:rPr>
          <w:rFonts w:hint="eastAsia" w:ascii="Times New Roman" w:hAnsi="Times New Roman" w:cs="Times New Roman"/>
          <w:lang w:val="en-US" w:eastAsia="zh-CN"/>
        </w:rPr>
        <w:t>342.00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道路及硬化区</w:t>
      </w:r>
      <w:r>
        <w:rPr>
          <w:rFonts w:hint="default" w:ascii="Times New Roman" w:hAnsi="Times New Roman" w:cs="Times New Roman"/>
        </w:rPr>
        <w:t>临时彩条布苫盖</w:t>
      </w:r>
      <w:r>
        <w:rPr>
          <w:rFonts w:hint="eastAsia" w:ascii="Times New Roman" w:hAnsi="Times New Roman" w:cs="Times New Roman"/>
          <w:lang w:val="en-US" w:eastAsia="zh-CN"/>
        </w:rPr>
        <w:t>220.00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，临时沉砂池</w:t>
      </w:r>
      <w:r>
        <w:rPr>
          <w:rFonts w:hint="eastAsia" w:cs="Times New Roman"/>
          <w:lang w:val="en-US" w:eastAsia="zh-CN"/>
        </w:rPr>
        <w:t>2</w:t>
      </w:r>
      <w:r>
        <w:rPr>
          <w:rFonts w:hint="default" w:ascii="Times New Roman" w:hAnsi="Times New Roman" w:cs="Times New Roman"/>
        </w:rPr>
        <w:t>座，车辆清</w:t>
      </w:r>
      <w:r>
        <w:rPr>
          <w:rFonts w:hint="default" w:ascii="Times New Roman" w:hAnsi="Times New Roman" w:cs="Times New Roman"/>
          <w:lang w:val="en-US" w:eastAsia="zh-CN"/>
        </w:rPr>
        <w:t>洗</w:t>
      </w:r>
      <w:r>
        <w:rPr>
          <w:rFonts w:hint="eastAsia" w:cs="Times New Roman"/>
          <w:lang w:val="en-US" w:eastAsia="zh-CN"/>
        </w:rPr>
        <w:t>池1座，车辆冲洗设备</w:t>
      </w:r>
      <w:r>
        <w:rPr>
          <w:rFonts w:hint="default" w:ascii="Times New Roman" w:hAnsi="Times New Roman" w:cs="Times New Roman"/>
        </w:rPr>
        <w:t>1</w:t>
      </w:r>
      <w:r>
        <w:rPr>
          <w:rFonts w:hint="eastAsia" w:cs="Times New Roman"/>
          <w:lang w:val="en-US" w:eastAsia="zh-CN"/>
        </w:rPr>
        <w:t>套</w:t>
      </w:r>
      <w:r>
        <w:rPr>
          <w:rFonts w:hint="default" w:ascii="Times New Roman" w:hAnsi="Times New Roman" w:cs="Times New Roman"/>
        </w:rPr>
        <w:t>；绿化区临时无纺布苫盖</w:t>
      </w:r>
      <w:r>
        <w:rPr>
          <w:rFonts w:hint="eastAsia" w:ascii="Times New Roman" w:hAnsi="Times New Roman" w:cs="Times New Roman"/>
          <w:lang w:val="en-US" w:eastAsia="zh-CN"/>
        </w:rPr>
        <w:t>14</w:t>
      </w:r>
      <w:r>
        <w:rPr>
          <w:rFonts w:hint="default" w:ascii="Times New Roman" w:hAnsi="Times New Roman" w:cs="Times New Roman"/>
          <w:lang w:val="en-US" w:eastAsia="zh-CN"/>
        </w:rPr>
        <w:t>00.00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ascii="Times New Roman" w:hAnsi="Times New Roman" w:cs="Times New Roman"/>
          <w:lang w:val="en-US" w:eastAsia="zh-CN"/>
        </w:rPr>
        <w:t>编织袋挡墙283m</w:t>
      </w:r>
      <w:r>
        <w:rPr>
          <w:rFonts w:hint="eastAsia" w:ascii="Times New Roman" w:hAnsi="Times New Roman" w:cs="Times New Roman"/>
          <w:lang w:eastAsia="zh-CN"/>
        </w:rPr>
        <w:t>，</w:t>
      </w:r>
      <w:r>
        <w:rPr>
          <w:rFonts w:hint="default" w:ascii="Times New Roman" w:hAnsi="Times New Roman" w:cs="Times New Roman"/>
        </w:rPr>
        <w:t>临时彩条布苫盖</w:t>
      </w:r>
      <w:r>
        <w:rPr>
          <w:rFonts w:hint="eastAsia" w:ascii="Times New Roman" w:hAnsi="Times New Roman" w:cs="Times New Roman"/>
          <w:lang w:val="en-US" w:eastAsia="zh-CN"/>
        </w:rPr>
        <w:t>739.20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p>
    <w:p w14:paraId="3D202DC1">
      <w:pPr>
        <w:pStyle w:val="100"/>
        <w:ind w:firstLine="480"/>
        <w:rPr>
          <w:rFonts w:hint="default" w:ascii="Times New Roman" w:hAnsi="Times New Roman" w:cs="Times New Roman"/>
        </w:rPr>
      </w:pPr>
      <w:r>
        <w:rPr>
          <w:rFonts w:hint="default" w:ascii="Times New Roman" w:hAnsi="Times New Roman" w:cs="Times New Roman"/>
        </w:rPr>
        <w:t>具体工程量为：土方开挖</w:t>
      </w:r>
      <w:r>
        <w:rPr>
          <w:rFonts w:hint="eastAsia" w:cs="Times New Roman"/>
          <w:lang w:val="en-US" w:eastAsia="zh-CN"/>
        </w:rPr>
        <w:t>100.80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，土方回填</w:t>
      </w:r>
      <w:r>
        <w:rPr>
          <w:rFonts w:hint="eastAsia" w:cs="Times New Roman"/>
          <w:lang w:val="en-US" w:eastAsia="zh-CN"/>
        </w:rPr>
        <w:t>24.80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，M</w:t>
      </w:r>
      <w:r>
        <w:rPr>
          <w:rFonts w:hint="default" w:ascii="Times New Roman" w:hAnsi="Times New Roman" w:cs="Times New Roman"/>
          <w:lang w:val="en-US" w:eastAsia="zh-CN"/>
        </w:rPr>
        <w:t>7.5</w:t>
      </w:r>
      <w:r>
        <w:rPr>
          <w:rFonts w:hint="default" w:ascii="Times New Roman" w:hAnsi="Times New Roman" w:cs="Times New Roman"/>
        </w:rPr>
        <w:t>砖砌体</w:t>
      </w:r>
      <w:r>
        <w:rPr>
          <w:rFonts w:hint="eastAsia" w:cs="Times New Roman"/>
          <w:lang w:val="en-US" w:eastAsia="zh-CN"/>
        </w:rPr>
        <w:t>4.84</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，M</w:t>
      </w:r>
      <w:r>
        <w:rPr>
          <w:rFonts w:hint="default" w:ascii="Times New Roman" w:hAnsi="Times New Roman" w:cs="Times New Roman"/>
          <w:lang w:val="en-US" w:eastAsia="zh-CN"/>
        </w:rPr>
        <w:t>7.5</w:t>
      </w:r>
      <w:r>
        <w:rPr>
          <w:rFonts w:hint="default" w:ascii="Times New Roman" w:hAnsi="Times New Roman" w:cs="Times New Roman"/>
        </w:rPr>
        <w:t>砂浆抹面</w:t>
      </w:r>
      <w:r>
        <w:rPr>
          <w:rFonts w:hint="eastAsia" w:cs="Times New Roman"/>
          <w:lang w:val="en-US" w:eastAsia="zh-CN"/>
        </w:rPr>
        <w:t>62.00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，C20砼</w:t>
      </w:r>
      <w:r>
        <w:rPr>
          <w:rFonts w:hint="eastAsia" w:cs="Times New Roman"/>
          <w:lang w:val="en-US" w:eastAsia="zh-CN"/>
        </w:rPr>
        <w:t>43.32</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，车辆冲洗设备</w:t>
      </w:r>
      <w:r>
        <w:rPr>
          <w:rFonts w:hint="eastAsia" w:cs="Times New Roman"/>
          <w:lang w:val="en-US" w:eastAsia="zh-CN"/>
        </w:rPr>
        <w:t>2</w:t>
      </w:r>
      <w:r>
        <w:rPr>
          <w:rFonts w:hint="default" w:ascii="Times New Roman" w:hAnsi="Times New Roman" w:cs="Times New Roman"/>
        </w:rPr>
        <w:t>套，铺设无纺布</w:t>
      </w:r>
      <w:r>
        <w:rPr>
          <w:rFonts w:hint="eastAsia" w:cs="Times New Roman"/>
          <w:lang w:val="en-US" w:eastAsia="zh-CN"/>
        </w:rPr>
        <w:t>230</w:t>
      </w:r>
      <w:r>
        <w:rPr>
          <w:rFonts w:hint="default" w:ascii="Times New Roman" w:hAnsi="Times New Roman" w:cs="Times New Roman"/>
          <w:lang w:val="en-US" w:eastAsia="zh-CN"/>
        </w:rPr>
        <w:t>0.00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，铺设彩条布</w:t>
      </w:r>
      <w:r>
        <w:rPr>
          <w:rFonts w:hint="eastAsia" w:cs="Times New Roman"/>
          <w:lang w:val="en-US" w:eastAsia="zh-CN"/>
        </w:rPr>
        <w:t>2182.60</w:t>
      </w:r>
      <w:r>
        <w:rPr>
          <w:rFonts w:hint="default" w:ascii="Times New Roman" w:hAnsi="Times New Roman" w:cs="Times New Roman"/>
        </w:rPr>
        <w:t>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val="en-US" w:eastAsia="zh-CN"/>
        </w:rPr>
        <w:t>编织袋填筑63.88m</w:t>
      </w:r>
      <w:r>
        <w:rPr>
          <w:rFonts w:hint="eastAsia" w:cs="Times New Roman"/>
          <w:vertAlign w:val="superscript"/>
          <w:lang w:val="en-US" w:eastAsia="zh-CN"/>
        </w:rPr>
        <w:t>3</w:t>
      </w:r>
      <w:r>
        <w:rPr>
          <w:rFonts w:hint="eastAsia" w:cs="Times New Roman"/>
          <w:lang w:val="en-US" w:eastAsia="zh-CN"/>
        </w:rPr>
        <w:t>，编织袋拆除63.88m</w:t>
      </w:r>
      <w:r>
        <w:rPr>
          <w:rFonts w:hint="eastAsia" w:cs="Times New Roman"/>
          <w:vertAlign w:val="superscript"/>
          <w:lang w:val="en-US" w:eastAsia="zh-CN"/>
        </w:rPr>
        <w:t>3</w:t>
      </w:r>
      <w:r>
        <w:rPr>
          <w:rFonts w:hint="default" w:ascii="Times New Roman" w:hAnsi="Times New Roman" w:cs="Times New Roman"/>
        </w:rPr>
        <w:t>。</w:t>
      </w:r>
    </w:p>
    <w:p w14:paraId="67D82B2D">
      <w:pPr>
        <w:pStyle w:val="100"/>
        <w:ind w:firstLine="480"/>
        <w:rPr>
          <w:rFonts w:hint="default" w:ascii="Times New Roman" w:hAnsi="Times New Roman" w:cs="Times New Roman"/>
        </w:rPr>
      </w:pPr>
    </w:p>
    <w:p w14:paraId="23B049E3">
      <w:pPr>
        <w:pStyle w:val="100"/>
        <w:ind w:firstLine="480"/>
        <w:rPr>
          <w:rFonts w:hint="default" w:ascii="Times New Roman" w:hAnsi="Times New Roman" w:cs="Times New Roman"/>
        </w:rPr>
        <w:sectPr>
          <w:headerReference r:id="rId20"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884C87">
      <w:pPr>
        <w:pStyle w:val="12"/>
        <w:ind w:firstLine="0" w:firstLineChars="0"/>
        <w:jc w:val="left"/>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1 \s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t>7                                                 方案新增水土保持临时措施工程量表</w:t>
      </w:r>
    </w:p>
    <w:tbl>
      <w:tblPr>
        <w:tblStyle w:val="27"/>
        <w:tblW w:w="1458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36"/>
        <w:gridCol w:w="1251"/>
        <w:gridCol w:w="1666"/>
        <w:gridCol w:w="722"/>
        <w:gridCol w:w="1379"/>
        <w:gridCol w:w="859"/>
        <w:gridCol w:w="856"/>
        <w:gridCol w:w="856"/>
        <w:gridCol w:w="856"/>
        <w:gridCol w:w="979"/>
        <w:gridCol w:w="888"/>
        <w:gridCol w:w="888"/>
        <w:gridCol w:w="856"/>
        <w:gridCol w:w="859"/>
        <w:gridCol w:w="837"/>
      </w:tblGrid>
      <w:tr w14:paraId="2FC2D9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2087" w:type="dxa"/>
            <w:gridSpan w:val="2"/>
            <w:vMerge w:val="restart"/>
            <w:tcBorders>
              <w:tl2br w:val="nil"/>
              <w:tr2bl w:val="nil"/>
            </w:tcBorders>
            <w:shd w:val="clear" w:color="auto" w:fill="auto"/>
            <w:noWrap/>
            <w:vAlign w:val="center"/>
          </w:tcPr>
          <w:p w14:paraId="3A2783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1666" w:type="dxa"/>
            <w:vMerge w:val="restart"/>
            <w:tcBorders>
              <w:tl2br w:val="nil"/>
              <w:tr2bl w:val="nil"/>
            </w:tcBorders>
            <w:shd w:val="clear" w:color="auto" w:fill="auto"/>
            <w:vAlign w:val="center"/>
          </w:tcPr>
          <w:p w14:paraId="0BB84D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措施名称</w:t>
            </w:r>
          </w:p>
        </w:tc>
        <w:tc>
          <w:tcPr>
            <w:tcW w:w="722" w:type="dxa"/>
            <w:vMerge w:val="restart"/>
            <w:tcBorders>
              <w:tl2br w:val="nil"/>
              <w:tr2bl w:val="nil"/>
            </w:tcBorders>
            <w:shd w:val="clear" w:color="auto" w:fill="auto"/>
            <w:vAlign w:val="center"/>
          </w:tcPr>
          <w:p w14:paraId="6EA54B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1379" w:type="dxa"/>
            <w:vMerge w:val="restart"/>
            <w:tcBorders>
              <w:tl2br w:val="nil"/>
              <w:tr2bl w:val="nil"/>
            </w:tcBorders>
            <w:shd w:val="clear" w:color="auto" w:fill="auto"/>
            <w:vAlign w:val="center"/>
          </w:tcPr>
          <w:p w14:paraId="676C9D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859" w:type="dxa"/>
            <w:tcBorders>
              <w:tl2br w:val="nil"/>
              <w:tr2bl w:val="nil"/>
            </w:tcBorders>
            <w:shd w:val="clear" w:color="auto" w:fill="auto"/>
            <w:vAlign w:val="center"/>
          </w:tcPr>
          <w:p w14:paraId="3F530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土方开挖</w:t>
            </w:r>
          </w:p>
        </w:tc>
        <w:tc>
          <w:tcPr>
            <w:tcW w:w="856" w:type="dxa"/>
            <w:tcBorders>
              <w:tl2br w:val="nil"/>
              <w:tr2bl w:val="nil"/>
            </w:tcBorders>
            <w:shd w:val="clear" w:color="auto" w:fill="auto"/>
            <w:vAlign w:val="center"/>
          </w:tcPr>
          <w:p w14:paraId="0DBE55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土方回填</w:t>
            </w:r>
          </w:p>
        </w:tc>
        <w:tc>
          <w:tcPr>
            <w:tcW w:w="856" w:type="dxa"/>
            <w:tcBorders>
              <w:tl2br w:val="nil"/>
              <w:tr2bl w:val="nil"/>
            </w:tcBorders>
            <w:shd w:val="clear" w:color="auto" w:fill="auto"/>
            <w:vAlign w:val="center"/>
          </w:tcPr>
          <w:p w14:paraId="0824ED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M7.5砖砌体</w:t>
            </w:r>
          </w:p>
        </w:tc>
        <w:tc>
          <w:tcPr>
            <w:tcW w:w="856" w:type="dxa"/>
            <w:tcBorders>
              <w:tl2br w:val="nil"/>
              <w:tr2bl w:val="nil"/>
            </w:tcBorders>
            <w:shd w:val="clear" w:color="auto" w:fill="auto"/>
            <w:vAlign w:val="center"/>
          </w:tcPr>
          <w:p w14:paraId="7CA1B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M7.5砂浆抹面</w:t>
            </w:r>
          </w:p>
        </w:tc>
        <w:tc>
          <w:tcPr>
            <w:tcW w:w="979" w:type="dxa"/>
            <w:tcBorders>
              <w:tl2br w:val="nil"/>
              <w:tr2bl w:val="nil"/>
            </w:tcBorders>
            <w:shd w:val="clear" w:color="auto" w:fill="auto"/>
            <w:vAlign w:val="center"/>
          </w:tcPr>
          <w:p w14:paraId="6CD96E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C20砼</w:t>
            </w:r>
          </w:p>
        </w:tc>
        <w:tc>
          <w:tcPr>
            <w:tcW w:w="888" w:type="dxa"/>
            <w:tcBorders>
              <w:tl2br w:val="nil"/>
              <w:tr2bl w:val="nil"/>
            </w:tcBorders>
            <w:shd w:val="clear" w:color="auto" w:fill="auto"/>
            <w:vAlign w:val="center"/>
          </w:tcPr>
          <w:p w14:paraId="62434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铺无纺布</w:t>
            </w:r>
          </w:p>
        </w:tc>
        <w:tc>
          <w:tcPr>
            <w:tcW w:w="888" w:type="dxa"/>
            <w:tcBorders>
              <w:tl2br w:val="nil"/>
              <w:tr2bl w:val="nil"/>
            </w:tcBorders>
            <w:shd w:val="clear" w:color="auto" w:fill="auto"/>
            <w:vAlign w:val="center"/>
          </w:tcPr>
          <w:p w14:paraId="5009E4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铺彩条布</w:t>
            </w:r>
          </w:p>
        </w:tc>
        <w:tc>
          <w:tcPr>
            <w:tcW w:w="856" w:type="dxa"/>
            <w:tcBorders>
              <w:tl2br w:val="nil"/>
              <w:tr2bl w:val="nil"/>
            </w:tcBorders>
            <w:shd w:val="clear" w:color="auto" w:fill="auto"/>
            <w:vAlign w:val="center"/>
          </w:tcPr>
          <w:p w14:paraId="1A79A8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编织土袋填筑</w:t>
            </w:r>
          </w:p>
        </w:tc>
        <w:tc>
          <w:tcPr>
            <w:tcW w:w="859" w:type="dxa"/>
            <w:tcBorders>
              <w:tl2br w:val="nil"/>
              <w:tr2bl w:val="nil"/>
            </w:tcBorders>
            <w:shd w:val="clear" w:color="auto" w:fill="auto"/>
            <w:vAlign w:val="center"/>
          </w:tcPr>
          <w:p w14:paraId="3557E7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编织土袋拆除</w:t>
            </w:r>
          </w:p>
        </w:tc>
        <w:tc>
          <w:tcPr>
            <w:tcW w:w="837" w:type="dxa"/>
            <w:tcBorders>
              <w:tl2br w:val="nil"/>
              <w:tr2bl w:val="nil"/>
            </w:tcBorders>
            <w:shd w:val="clear" w:color="auto" w:fill="auto"/>
            <w:vAlign w:val="center"/>
          </w:tcPr>
          <w:p w14:paraId="45696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车辆冲洗设备</w:t>
            </w:r>
          </w:p>
        </w:tc>
      </w:tr>
      <w:tr w14:paraId="5687B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087" w:type="dxa"/>
            <w:gridSpan w:val="2"/>
            <w:vMerge w:val="continue"/>
            <w:tcBorders>
              <w:tl2br w:val="nil"/>
              <w:tr2bl w:val="nil"/>
            </w:tcBorders>
            <w:shd w:val="clear" w:color="auto" w:fill="auto"/>
            <w:noWrap/>
            <w:vAlign w:val="center"/>
          </w:tcPr>
          <w:p w14:paraId="6C698E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vMerge w:val="continue"/>
            <w:tcBorders>
              <w:tl2br w:val="nil"/>
              <w:tr2bl w:val="nil"/>
            </w:tcBorders>
            <w:shd w:val="clear" w:color="auto" w:fill="auto"/>
            <w:vAlign w:val="center"/>
          </w:tcPr>
          <w:p w14:paraId="5CA3F4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22" w:type="dxa"/>
            <w:vMerge w:val="continue"/>
            <w:tcBorders>
              <w:tl2br w:val="nil"/>
              <w:tr2bl w:val="nil"/>
            </w:tcBorders>
            <w:shd w:val="clear" w:color="auto" w:fill="auto"/>
            <w:vAlign w:val="center"/>
          </w:tcPr>
          <w:p w14:paraId="58CF97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379" w:type="dxa"/>
            <w:vMerge w:val="continue"/>
            <w:tcBorders>
              <w:tl2br w:val="nil"/>
              <w:tr2bl w:val="nil"/>
            </w:tcBorders>
            <w:shd w:val="clear" w:color="auto" w:fill="auto"/>
            <w:vAlign w:val="center"/>
          </w:tcPr>
          <w:p w14:paraId="641DCA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vAlign w:val="center"/>
          </w:tcPr>
          <w:p w14:paraId="4FC24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56" w:type="dxa"/>
            <w:tcBorders>
              <w:tl2br w:val="nil"/>
              <w:tr2bl w:val="nil"/>
            </w:tcBorders>
            <w:shd w:val="clear" w:color="auto" w:fill="auto"/>
            <w:vAlign w:val="center"/>
          </w:tcPr>
          <w:p w14:paraId="5E1B35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56" w:type="dxa"/>
            <w:tcBorders>
              <w:tl2br w:val="nil"/>
              <w:tr2bl w:val="nil"/>
            </w:tcBorders>
            <w:shd w:val="clear" w:color="auto" w:fill="auto"/>
            <w:vAlign w:val="center"/>
          </w:tcPr>
          <w:p w14:paraId="5BA142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56" w:type="dxa"/>
            <w:tcBorders>
              <w:tl2br w:val="nil"/>
              <w:tr2bl w:val="nil"/>
            </w:tcBorders>
            <w:shd w:val="clear" w:color="auto" w:fill="auto"/>
            <w:vAlign w:val="center"/>
          </w:tcPr>
          <w:p w14:paraId="590DD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979" w:type="dxa"/>
            <w:tcBorders>
              <w:tl2br w:val="nil"/>
              <w:tr2bl w:val="nil"/>
            </w:tcBorders>
            <w:shd w:val="clear" w:color="auto" w:fill="auto"/>
            <w:vAlign w:val="center"/>
          </w:tcPr>
          <w:p w14:paraId="11FE34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88" w:type="dxa"/>
            <w:tcBorders>
              <w:tl2br w:val="nil"/>
              <w:tr2bl w:val="nil"/>
            </w:tcBorders>
            <w:shd w:val="clear" w:color="auto" w:fill="auto"/>
            <w:vAlign w:val="center"/>
          </w:tcPr>
          <w:p w14:paraId="1A029F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88" w:type="dxa"/>
            <w:tcBorders>
              <w:tl2br w:val="nil"/>
              <w:tr2bl w:val="nil"/>
            </w:tcBorders>
            <w:shd w:val="clear" w:color="auto" w:fill="auto"/>
            <w:vAlign w:val="center"/>
          </w:tcPr>
          <w:p w14:paraId="355BCE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56" w:type="dxa"/>
            <w:tcBorders>
              <w:tl2br w:val="nil"/>
              <w:tr2bl w:val="nil"/>
            </w:tcBorders>
            <w:shd w:val="clear" w:color="auto" w:fill="auto"/>
            <w:vAlign w:val="center"/>
          </w:tcPr>
          <w:p w14:paraId="1A37FD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59" w:type="dxa"/>
            <w:tcBorders>
              <w:tl2br w:val="nil"/>
              <w:tr2bl w:val="nil"/>
            </w:tcBorders>
            <w:shd w:val="clear" w:color="auto" w:fill="auto"/>
            <w:vAlign w:val="center"/>
          </w:tcPr>
          <w:p w14:paraId="2E4C35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837" w:type="dxa"/>
            <w:tcBorders>
              <w:tl2br w:val="nil"/>
              <w:tr2bl w:val="nil"/>
            </w:tcBorders>
            <w:shd w:val="clear" w:color="auto" w:fill="auto"/>
            <w:noWrap/>
            <w:vAlign w:val="center"/>
          </w:tcPr>
          <w:p w14:paraId="2D5CC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r>
      <w:tr w14:paraId="29122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restart"/>
            <w:tcBorders>
              <w:tl2br w:val="nil"/>
              <w:tr2bl w:val="nil"/>
            </w:tcBorders>
            <w:shd w:val="clear" w:color="auto" w:fill="auto"/>
            <w:noWrap/>
            <w:vAlign w:val="center"/>
          </w:tcPr>
          <w:p w14:paraId="2EEE2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251" w:type="dxa"/>
            <w:tcBorders>
              <w:tl2br w:val="nil"/>
              <w:tr2bl w:val="nil"/>
            </w:tcBorders>
            <w:shd w:val="clear" w:color="auto" w:fill="auto"/>
            <w:noWrap/>
            <w:vAlign w:val="center"/>
          </w:tcPr>
          <w:p w14:paraId="694205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666" w:type="dxa"/>
            <w:tcBorders>
              <w:tl2br w:val="nil"/>
              <w:tr2bl w:val="nil"/>
            </w:tcBorders>
            <w:shd w:val="clear" w:color="auto" w:fill="auto"/>
            <w:noWrap/>
            <w:vAlign w:val="center"/>
          </w:tcPr>
          <w:p w14:paraId="4CFD31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彩条布临时苫盖</w:t>
            </w:r>
          </w:p>
        </w:tc>
        <w:tc>
          <w:tcPr>
            <w:tcW w:w="722" w:type="dxa"/>
            <w:tcBorders>
              <w:tl2br w:val="nil"/>
              <w:tr2bl w:val="nil"/>
            </w:tcBorders>
            <w:shd w:val="clear" w:color="auto" w:fill="auto"/>
            <w:vAlign w:val="center"/>
          </w:tcPr>
          <w:p w14:paraId="30DA71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vAlign w:val="center"/>
          </w:tcPr>
          <w:p w14:paraId="32AB0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180.00 </w:t>
            </w:r>
          </w:p>
        </w:tc>
        <w:tc>
          <w:tcPr>
            <w:tcW w:w="859" w:type="dxa"/>
            <w:tcBorders>
              <w:tl2br w:val="nil"/>
              <w:tr2bl w:val="nil"/>
            </w:tcBorders>
            <w:shd w:val="clear" w:color="auto" w:fill="auto"/>
            <w:vAlign w:val="center"/>
          </w:tcPr>
          <w:p w14:paraId="0360EE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6" w:type="dxa"/>
            <w:tcBorders>
              <w:tl2br w:val="nil"/>
              <w:tr2bl w:val="nil"/>
            </w:tcBorders>
            <w:shd w:val="clear" w:color="auto" w:fill="auto"/>
            <w:vAlign w:val="center"/>
          </w:tcPr>
          <w:p w14:paraId="05717D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6" w:type="dxa"/>
            <w:tcBorders>
              <w:tl2br w:val="nil"/>
              <w:tr2bl w:val="nil"/>
            </w:tcBorders>
            <w:shd w:val="clear" w:color="auto" w:fill="auto"/>
            <w:vAlign w:val="center"/>
          </w:tcPr>
          <w:p w14:paraId="05B371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6" w:type="dxa"/>
            <w:tcBorders>
              <w:tl2br w:val="nil"/>
              <w:tr2bl w:val="nil"/>
            </w:tcBorders>
            <w:shd w:val="clear" w:color="auto" w:fill="auto"/>
            <w:vAlign w:val="center"/>
          </w:tcPr>
          <w:p w14:paraId="54B77F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979" w:type="dxa"/>
            <w:tcBorders>
              <w:tl2br w:val="nil"/>
              <w:tr2bl w:val="nil"/>
            </w:tcBorders>
            <w:shd w:val="clear" w:color="auto" w:fill="auto"/>
            <w:vAlign w:val="center"/>
          </w:tcPr>
          <w:p w14:paraId="31940C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88" w:type="dxa"/>
            <w:tcBorders>
              <w:tl2br w:val="nil"/>
              <w:tr2bl w:val="nil"/>
            </w:tcBorders>
            <w:shd w:val="clear" w:color="auto" w:fill="auto"/>
            <w:vAlign w:val="center"/>
          </w:tcPr>
          <w:p w14:paraId="48B19D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88" w:type="dxa"/>
            <w:tcBorders>
              <w:tl2br w:val="nil"/>
              <w:tr2bl w:val="nil"/>
            </w:tcBorders>
            <w:shd w:val="clear" w:color="auto" w:fill="auto"/>
            <w:vAlign w:val="center"/>
          </w:tcPr>
          <w:p w14:paraId="22F3C1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180</w:t>
            </w:r>
          </w:p>
        </w:tc>
        <w:tc>
          <w:tcPr>
            <w:tcW w:w="856" w:type="dxa"/>
            <w:tcBorders>
              <w:tl2br w:val="nil"/>
              <w:tr2bl w:val="nil"/>
            </w:tcBorders>
            <w:shd w:val="clear" w:color="auto" w:fill="auto"/>
            <w:noWrap/>
            <w:vAlign w:val="center"/>
          </w:tcPr>
          <w:p w14:paraId="3EA7C7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247B6F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31C63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536D9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24B5EF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restart"/>
            <w:tcBorders>
              <w:tl2br w:val="nil"/>
              <w:tr2bl w:val="nil"/>
            </w:tcBorders>
            <w:shd w:val="clear" w:color="auto" w:fill="auto"/>
            <w:vAlign w:val="center"/>
          </w:tcPr>
          <w:p w14:paraId="6DB56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666" w:type="dxa"/>
            <w:tcBorders>
              <w:tl2br w:val="nil"/>
              <w:tr2bl w:val="nil"/>
            </w:tcBorders>
            <w:shd w:val="clear" w:color="auto" w:fill="auto"/>
            <w:noWrap/>
            <w:vAlign w:val="center"/>
          </w:tcPr>
          <w:p w14:paraId="2DC9ED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彩条布临时苫盖</w:t>
            </w:r>
          </w:p>
        </w:tc>
        <w:tc>
          <w:tcPr>
            <w:tcW w:w="722" w:type="dxa"/>
            <w:tcBorders>
              <w:tl2br w:val="nil"/>
              <w:tr2bl w:val="nil"/>
            </w:tcBorders>
            <w:shd w:val="clear" w:color="auto" w:fill="auto"/>
            <w:vAlign w:val="center"/>
          </w:tcPr>
          <w:p w14:paraId="6D1942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vAlign w:val="center"/>
          </w:tcPr>
          <w:p w14:paraId="763DD6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231.00 </w:t>
            </w:r>
          </w:p>
        </w:tc>
        <w:tc>
          <w:tcPr>
            <w:tcW w:w="859" w:type="dxa"/>
            <w:tcBorders>
              <w:tl2br w:val="nil"/>
              <w:tr2bl w:val="nil"/>
            </w:tcBorders>
            <w:shd w:val="clear" w:color="auto" w:fill="auto"/>
            <w:vAlign w:val="center"/>
          </w:tcPr>
          <w:p w14:paraId="6D76E5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51E1EB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684454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08DE60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vAlign w:val="center"/>
          </w:tcPr>
          <w:p w14:paraId="3422ED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1ABBE9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2D7389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231 </w:t>
            </w:r>
          </w:p>
        </w:tc>
        <w:tc>
          <w:tcPr>
            <w:tcW w:w="856" w:type="dxa"/>
            <w:tcBorders>
              <w:tl2br w:val="nil"/>
              <w:tr2bl w:val="nil"/>
            </w:tcBorders>
            <w:shd w:val="clear" w:color="auto" w:fill="auto"/>
            <w:noWrap/>
            <w:vAlign w:val="center"/>
          </w:tcPr>
          <w:p w14:paraId="5E7F39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2BFE51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5D720A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A9C4D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7C8801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2EC4A3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vAlign w:val="center"/>
          </w:tcPr>
          <w:p w14:paraId="3EF48B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临时沉砂池</w:t>
            </w:r>
          </w:p>
        </w:tc>
        <w:tc>
          <w:tcPr>
            <w:tcW w:w="722" w:type="dxa"/>
            <w:tcBorders>
              <w:tl2br w:val="nil"/>
              <w:tr2bl w:val="nil"/>
            </w:tcBorders>
            <w:shd w:val="clear" w:color="auto" w:fill="auto"/>
            <w:vAlign w:val="center"/>
          </w:tcPr>
          <w:p w14:paraId="0DBA5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1379" w:type="dxa"/>
            <w:tcBorders>
              <w:tl2br w:val="nil"/>
              <w:tr2bl w:val="nil"/>
            </w:tcBorders>
            <w:shd w:val="clear" w:color="auto" w:fill="auto"/>
            <w:vAlign w:val="center"/>
          </w:tcPr>
          <w:p w14:paraId="32D8D2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859" w:type="dxa"/>
            <w:tcBorders>
              <w:tl2br w:val="nil"/>
              <w:tr2bl w:val="nil"/>
            </w:tcBorders>
            <w:shd w:val="clear" w:color="auto" w:fill="auto"/>
            <w:vAlign w:val="center"/>
          </w:tcPr>
          <w:p w14:paraId="03EECA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8.40 </w:t>
            </w:r>
          </w:p>
        </w:tc>
        <w:tc>
          <w:tcPr>
            <w:tcW w:w="856" w:type="dxa"/>
            <w:tcBorders>
              <w:tl2br w:val="nil"/>
              <w:tr2bl w:val="nil"/>
            </w:tcBorders>
            <w:shd w:val="clear" w:color="auto" w:fill="auto"/>
            <w:vAlign w:val="center"/>
          </w:tcPr>
          <w:p w14:paraId="475EFB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1.60 </w:t>
            </w:r>
          </w:p>
        </w:tc>
        <w:tc>
          <w:tcPr>
            <w:tcW w:w="856" w:type="dxa"/>
            <w:tcBorders>
              <w:tl2br w:val="nil"/>
              <w:tr2bl w:val="nil"/>
            </w:tcBorders>
            <w:shd w:val="clear" w:color="auto" w:fill="auto"/>
            <w:vAlign w:val="center"/>
          </w:tcPr>
          <w:p w14:paraId="57CB5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2.42 </w:t>
            </w:r>
          </w:p>
        </w:tc>
        <w:tc>
          <w:tcPr>
            <w:tcW w:w="856" w:type="dxa"/>
            <w:tcBorders>
              <w:tl2br w:val="nil"/>
              <w:tr2bl w:val="nil"/>
            </w:tcBorders>
            <w:shd w:val="clear" w:color="auto" w:fill="auto"/>
            <w:vAlign w:val="center"/>
          </w:tcPr>
          <w:p w14:paraId="3897B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31.00 </w:t>
            </w:r>
          </w:p>
        </w:tc>
        <w:tc>
          <w:tcPr>
            <w:tcW w:w="979" w:type="dxa"/>
            <w:tcBorders>
              <w:tl2br w:val="nil"/>
              <w:tr2bl w:val="nil"/>
            </w:tcBorders>
            <w:shd w:val="clear" w:color="auto" w:fill="auto"/>
            <w:vAlign w:val="center"/>
          </w:tcPr>
          <w:p w14:paraId="0F8E5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0.66 </w:t>
            </w:r>
          </w:p>
        </w:tc>
        <w:tc>
          <w:tcPr>
            <w:tcW w:w="888" w:type="dxa"/>
            <w:tcBorders>
              <w:tl2br w:val="nil"/>
              <w:tr2bl w:val="nil"/>
            </w:tcBorders>
            <w:shd w:val="clear" w:color="auto" w:fill="auto"/>
            <w:vAlign w:val="center"/>
          </w:tcPr>
          <w:p w14:paraId="6EAF73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1F4834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744B62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479BC7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305119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1C15F5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53FA96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10112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vAlign w:val="center"/>
          </w:tcPr>
          <w:p w14:paraId="46C38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车辆清洗池</w:t>
            </w:r>
          </w:p>
        </w:tc>
        <w:tc>
          <w:tcPr>
            <w:tcW w:w="722" w:type="dxa"/>
            <w:tcBorders>
              <w:tl2br w:val="nil"/>
              <w:tr2bl w:val="nil"/>
            </w:tcBorders>
            <w:shd w:val="clear" w:color="auto" w:fill="auto"/>
            <w:vAlign w:val="center"/>
          </w:tcPr>
          <w:p w14:paraId="292D28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1379" w:type="dxa"/>
            <w:tcBorders>
              <w:tl2br w:val="nil"/>
              <w:tr2bl w:val="nil"/>
            </w:tcBorders>
            <w:shd w:val="clear" w:color="auto" w:fill="auto"/>
            <w:vAlign w:val="center"/>
          </w:tcPr>
          <w:p w14:paraId="4B52A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 </w:t>
            </w:r>
          </w:p>
        </w:tc>
        <w:tc>
          <w:tcPr>
            <w:tcW w:w="859" w:type="dxa"/>
            <w:tcBorders>
              <w:tl2br w:val="nil"/>
              <w:tr2bl w:val="nil"/>
            </w:tcBorders>
            <w:shd w:val="clear" w:color="auto" w:fill="auto"/>
            <w:vAlign w:val="center"/>
          </w:tcPr>
          <w:p w14:paraId="7BE500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42.00 </w:t>
            </w:r>
          </w:p>
        </w:tc>
        <w:tc>
          <w:tcPr>
            <w:tcW w:w="856" w:type="dxa"/>
            <w:tcBorders>
              <w:tl2br w:val="nil"/>
              <w:tr2bl w:val="nil"/>
            </w:tcBorders>
            <w:shd w:val="clear" w:color="auto" w:fill="auto"/>
            <w:vAlign w:val="center"/>
          </w:tcPr>
          <w:p w14:paraId="5F629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10.80 </w:t>
            </w:r>
          </w:p>
        </w:tc>
        <w:tc>
          <w:tcPr>
            <w:tcW w:w="856" w:type="dxa"/>
            <w:tcBorders>
              <w:tl2br w:val="nil"/>
              <w:tr2bl w:val="nil"/>
            </w:tcBorders>
            <w:shd w:val="clear" w:color="auto" w:fill="auto"/>
            <w:vAlign w:val="center"/>
          </w:tcPr>
          <w:p w14:paraId="50EBFA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75153C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vAlign w:val="center"/>
          </w:tcPr>
          <w:p w14:paraId="5B90EA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21.00 </w:t>
            </w:r>
          </w:p>
        </w:tc>
        <w:tc>
          <w:tcPr>
            <w:tcW w:w="888" w:type="dxa"/>
            <w:tcBorders>
              <w:tl2br w:val="nil"/>
              <w:tr2bl w:val="nil"/>
            </w:tcBorders>
            <w:shd w:val="clear" w:color="auto" w:fill="auto"/>
            <w:vAlign w:val="center"/>
          </w:tcPr>
          <w:p w14:paraId="370C6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08CCF6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7CA660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6FA983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648F48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785C7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18EFEC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6742E7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vAlign w:val="center"/>
          </w:tcPr>
          <w:p w14:paraId="46903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车辆冲洗设备</w:t>
            </w:r>
          </w:p>
        </w:tc>
        <w:tc>
          <w:tcPr>
            <w:tcW w:w="722" w:type="dxa"/>
            <w:tcBorders>
              <w:tl2br w:val="nil"/>
              <w:tr2bl w:val="nil"/>
            </w:tcBorders>
            <w:shd w:val="clear" w:color="auto" w:fill="auto"/>
            <w:vAlign w:val="center"/>
          </w:tcPr>
          <w:p w14:paraId="7D154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1379" w:type="dxa"/>
            <w:tcBorders>
              <w:tl2br w:val="nil"/>
              <w:tr2bl w:val="nil"/>
            </w:tcBorders>
            <w:shd w:val="clear" w:color="auto" w:fill="auto"/>
            <w:vAlign w:val="center"/>
          </w:tcPr>
          <w:p w14:paraId="358CF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 </w:t>
            </w:r>
          </w:p>
        </w:tc>
        <w:tc>
          <w:tcPr>
            <w:tcW w:w="859" w:type="dxa"/>
            <w:tcBorders>
              <w:tl2br w:val="nil"/>
              <w:tr2bl w:val="nil"/>
            </w:tcBorders>
            <w:shd w:val="clear" w:color="auto" w:fill="auto"/>
            <w:vAlign w:val="center"/>
          </w:tcPr>
          <w:p w14:paraId="0AA8E3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4AF95E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577680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0D1138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vAlign w:val="center"/>
          </w:tcPr>
          <w:p w14:paraId="789E57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568998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7EB3F4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738038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124B8D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76DF5D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14:paraId="73ED0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65703B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restart"/>
            <w:tcBorders>
              <w:tl2br w:val="nil"/>
              <w:tr2bl w:val="nil"/>
            </w:tcBorders>
            <w:shd w:val="clear" w:color="auto" w:fill="auto"/>
            <w:vAlign w:val="center"/>
          </w:tcPr>
          <w:p w14:paraId="2FC51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666" w:type="dxa"/>
            <w:tcBorders>
              <w:tl2br w:val="nil"/>
              <w:tr2bl w:val="nil"/>
            </w:tcBorders>
            <w:shd w:val="clear" w:color="auto" w:fill="auto"/>
            <w:noWrap/>
            <w:vAlign w:val="center"/>
          </w:tcPr>
          <w:p w14:paraId="158FB4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无纺布临时苫盖</w:t>
            </w:r>
          </w:p>
        </w:tc>
        <w:tc>
          <w:tcPr>
            <w:tcW w:w="722" w:type="dxa"/>
            <w:tcBorders>
              <w:tl2br w:val="nil"/>
              <w:tr2bl w:val="nil"/>
            </w:tcBorders>
            <w:shd w:val="clear" w:color="auto" w:fill="auto"/>
            <w:vAlign w:val="center"/>
          </w:tcPr>
          <w:p w14:paraId="37537B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noWrap/>
            <w:vAlign w:val="center"/>
          </w:tcPr>
          <w:p w14:paraId="229386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900.00 </w:t>
            </w:r>
          </w:p>
        </w:tc>
        <w:tc>
          <w:tcPr>
            <w:tcW w:w="859" w:type="dxa"/>
            <w:tcBorders>
              <w:tl2br w:val="nil"/>
              <w:tr2bl w:val="nil"/>
            </w:tcBorders>
            <w:shd w:val="clear" w:color="auto" w:fill="auto"/>
            <w:noWrap/>
            <w:vAlign w:val="center"/>
          </w:tcPr>
          <w:p w14:paraId="68864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354C4B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395451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4D473D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noWrap/>
            <w:vAlign w:val="center"/>
          </w:tcPr>
          <w:p w14:paraId="233479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6FD10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900</w:t>
            </w:r>
          </w:p>
        </w:tc>
        <w:tc>
          <w:tcPr>
            <w:tcW w:w="888" w:type="dxa"/>
            <w:tcBorders>
              <w:tl2br w:val="nil"/>
              <w:tr2bl w:val="nil"/>
            </w:tcBorders>
            <w:shd w:val="clear" w:color="auto" w:fill="auto"/>
            <w:noWrap/>
            <w:vAlign w:val="center"/>
          </w:tcPr>
          <w:p w14:paraId="282841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3348FB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7ABA8A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17F61B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3ED6B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36B21E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2C4DE9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noWrap/>
            <w:vAlign w:val="center"/>
          </w:tcPr>
          <w:p w14:paraId="6F651C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编织袋拦挡</w:t>
            </w:r>
          </w:p>
        </w:tc>
        <w:tc>
          <w:tcPr>
            <w:tcW w:w="722" w:type="dxa"/>
            <w:tcBorders>
              <w:tl2br w:val="nil"/>
              <w:tr2bl w:val="nil"/>
            </w:tcBorders>
            <w:shd w:val="clear" w:color="auto" w:fill="auto"/>
            <w:noWrap/>
            <w:vAlign w:val="center"/>
          </w:tcPr>
          <w:p w14:paraId="0800A3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1379" w:type="dxa"/>
            <w:tcBorders>
              <w:tl2br w:val="nil"/>
              <w:tr2bl w:val="nil"/>
            </w:tcBorders>
            <w:shd w:val="clear" w:color="auto" w:fill="auto"/>
            <w:vAlign w:val="center"/>
          </w:tcPr>
          <w:p w14:paraId="3016C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82 </w:t>
            </w:r>
          </w:p>
        </w:tc>
        <w:tc>
          <w:tcPr>
            <w:tcW w:w="859" w:type="dxa"/>
            <w:tcBorders>
              <w:tl2br w:val="nil"/>
              <w:tr2bl w:val="nil"/>
            </w:tcBorders>
            <w:shd w:val="clear" w:color="auto" w:fill="auto"/>
            <w:noWrap/>
            <w:vAlign w:val="center"/>
          </w:tcPr>
          <w:p w14:paraId="0B7045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04209C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6A899E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373DD5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noWrap/>
            <w:vAlign w:val="center"/>
          </w:tcPr>
          <w:p w14:paraId="1D67F0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590D46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42D0FB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5DB153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14.35 </w:t>
            </w:r>
          </w:p>
        </w:tc>
        <w:tc>
          <w:tcPr>
            <w:tcW w:w="859" w:type="dxa"/>
            <w:tcBorders>
              <w:tl2br w:val="nil"/>
              <w:tr2bl w:val="nil"/>
            </w:tcBorders>
            <w:shd w:val="clear" w:color="auto" w:fill="auto"/>
            <w:noWrap/>
            <w:vAlign w:val="center"/>
          </w:tcPr>
          <w:p w14:paraId="4ED7A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14.35 </w:t>
            </w:r>
          </w:p>
        </w:tc>
        <w:tc>
          <w:tcPr>
            <w:tcW w:w="837" w:type="dxa"/>
            <w:tcBorders>
              <w:tl2br w:val="nil"/>
              <w:tr2bl w:val="nil"/>
            </w:tcBorders>
            <w:shd w:val="clear" w:color="auto" w:fill="auto"/>
            <w:noWrap/>
            <w:vAlign w:val="center"/>
          </w:tcPr>
          <w:p w14:paraId="50742A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22A34C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1AF806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5DBD81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noWrap/>
            <w:vAlign w:val="center"/>
          </w:tcPr>
          <w:p w14:paraId="28385F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彩条布临时苫盖</w:t>
            </w:r>
          </w:p>
        </w:tc>
        <w:tc>
          <w:tcPr>
            <w:tcW w:w="722" w:type="dxa"/>
            <w:tcBorders>
              <w:tl2br w:val="nil"/>
              <w:tr2bl w:val="nil"/>
            </w:tcBorders>
            <w:shd w:val="clear" w:color="auto" w:fill="auto"/>
            <w:vAlign w:val="center"/>
          </w:tcPr>
          <w:p w14:paraId="478292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noWrap/>
            <w:vAlign w:val="center"/>
          </w:tcPr>
          <w:p w14:paraId="1AC9EA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470.40 </w:t>
            </w:r>
          </w:p>
        </w:tc>
        <w:tc>
          <w:tcPr>
            <w:tcW w:w="859" w:type="dxa"/>
            <w:tcBorders>
              <w:tl2br w:val="nil"/>
              <w:tr2bl w:val="nil"/>
            </w:tcBorders>
            <w:shd w:val="clear" w:color="auto" w:fill="auto"/>
            <w:noWrap/>
            <w:vAlign w:val="center"/>
          </w:tcPr>
          <w:p w14:paraId="3FF295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2F5C00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0945D5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2B980F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noWrap/>
            <w:vAlign w:val="center"/>
          </w:tcPr>
          <w:p w14:paraId="5D01BB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3A82B4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4B35C6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470.4</w:t>
            </w:r>
          </w:p>
        </w:tc>
        <w:tc>
          <w:tcPr>
            <w:tcW w:w="856" w:type="dxa"/>
            <w:tcBorders>
              <w:tl2br w:val="nil"/>
              <w:tr2bl w:val="nil"/>
            </w:tcBorders>
            <w:shd w:val="clear" w:color="auto" w:fill="auto"/>
            <w:noWrap/>
            <w:vAlign w:val="center"/>
          </w:tcPr>
          <w:p w14:paraId="327422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4C5B2E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11BE3B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6105F3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5753C0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tcBorders>
              <w:tl2br w:val="nil"/>
              <w:tr2bl w:val="nil"/>
            </w:tcBorders>
            <w:shd w:val="clear" w:color="auto" w:fill="auto"/>
            <w:vAlign w:val="center"/>
          </w:tcPr>
          <w:p w14:paraId="793D7B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666" w:type="dxa"/>
            <w:tcBorders>
              <w:tl2br w:val="nil"/>
              <w:tr2bl w:val="nil"/>
            </w:tcBorders>
            <w:shd w:val="clear" w:color="auto" w:fill="auto"/>
            <w:vAlign w:val="center"/>
          </w:tcPr>
          <w:p w14:paraId="75511F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722" w:type="dxa"/>
            <w:tcBorders>
              <w:tl2br w:val="nil"/>
              <w:tr2bl w:val="nil"/>
            </w:tcBorders>
            <w:shd w:val="clear" w:color="auto" w:fill="auto"/>
            <w:vAlign w:val="center"/>
          </w:tcPr>
          <w:p w14:paraId="4FC0E2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1379" w:type="dxa"/>
            <w:tcBorders>
              <w:tl2br w:val="nil"/>
              <w:tr2bl w:val="nil"/>
            </w:tcBorders>
            <w:shd w:val="clear" w:color="auto" w:fill="auto"/>
            <w:vAlign w:val="center"/>
          </w:tcPr>
          <w:p w14:paraId="6390C1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9" w:type="dxa"/>
            <w:tcBorders>
              <w:tl2br w:val="nil"/>
              <w:tr2bl w:val="nil"/>
            </w:tcBorders>
            <w:shd w:val="clear" w:color="auto" w:fill="auto"/>
            <w:vAlign w:val="center"/>
          </w:tcPr>
          <w:p w14:paraId="1C611B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50.40 </w:t>
            </w:r>
          </w:p>
        </w:tc>
        <w:tc>
          <w:tcPr>
            <w:tcW w:w="856" w:type="dxa"/>
            <w:tcBorders>
              <w:tl2br w:val="nil"/>
              <w:tr2bl w:val="nil"/>
            </w:tcBorders>
            <w:shd w:val="clear" w:color="auto" w:fill="auto"/>
            <w:vAlign w:val="center"/>
          </w:tcPr>
          <w:p w14:paraId="08A0B8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12.40 </w:t>
            </w:r>
          </w:p>
        </w:tc>
        <w:tc>
          <w:tcPr>
            <w:tcW w:w="856" w:type="dxa"/>
            <w:tcBorders>
              <w:tl2br w:val="nil"/>
              <w:tr2bl w:val="nil"/>
            </w:tcBorders>
            <w:shd w:val="clear" w:color="auto" w:fill="auto"/>
            <w:vAlign w:val="center"/>
          </w:tcPr>
          <w:p w14:paraId="6F2AD9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2.42 </w:t>
            </w:r>
          </w:p>
        </w:tc>
        <w:tc>
          <w:tcPr>
            <w:tcW w:w="856" w:type="dxa"/>
            <w:tcBorders>
              <w:tl2br w:val="nil"/>
              <w:tr2bl w:val="nil"/>
            </w:tcBorders>
            <w:shd w:val="clear" w:color="auto" w:fill="auto"/>
            <w:vAlign w:val="center"/>
          </w:tcPr>
          <w:p w14:paraId="53DF94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31.00 </w:t>
            </w:r>
          </w:p>
        </w:tc>
        <w:tc>
          <w:tcPr>
            <w:tcW w:w="979" w:type="dxa"/>
            <w:tcBorders>
              <w:tl2br w:val="nil"/>
              <w:tr2bl w:val="nil"/>
            </w:tcBorders>
            <w:shd w:val="clear" w:color="auto" w:fill="auto"/>
            <w:vAlign w:val="center"/>
          </w:tcPr>
          <w:p w14:paraId="46D24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21.66 </w:t>
            </w:r>
          </w:p>
        </w:tc>
        <w:tc>
          <w:tcPr>
            <w:tcW w:w="888" w:type="dxa"/>
            <w:tcBorders>
              <w:tl2br w:val="nil"/>
              <w:tr2bl w:val="nil"/>
            </w:tcBorders>
            <w:shd w:val="clear" w:color="auto" w:fill="auto"/>
            <w:vAlign w:val="center"/>
          </w:tcPr>
          <w:p w14:paraId="4E07F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900.00 </w:t>
            </w:r>
          </w:p>
        </w:tc>
        <w:tc>
          <w:tcPr>
            <w:tcW w:w="888" w:type="dxa"/>
            <w:tcBorders>
              <w:tl2br w:val="nil"/>
              <w:tr2bl w:val="nil"/>
            </w:tcBorders>
            <w:shd w:val="clear" w:color="auto" w:fill="auto"/>
            <w:vAlign w:val="center"/>
          </w:tcPr>
          <w:p w14:paraId="763CE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881.40 </w:t>
            </w:r>
          </w:p>
        </w:tc>
        <w:tc>
          <w:tcPr>
            <w:tcW w:w="856" w:type="dxa"/>
            <w:tcBorders>
              <w:tl2br w:val="nil"/>
              <w:tr2bl w:val="nil"/>
            </w:tcBorders>
            <w:shd w:val="clear" w:color="auto" w:fill="auto"/>
            <w:vAlign w:val="center"/>
          </w:tcPr>
          <w:p w14:paraId="5C9D1D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14.35 </w:t>
            </w:r>
          </w:p>
        </w:tc>
        <w:tc>
          <w:tcPr>
            <w:tcW w:w="859" w:type="dxa"/>
            <w:tcBorders>
              <w:tl2br w:val="nil"/>
              <w:tr2bl w:val="nil"/>
            </w:tcBorders>
            <w:shd w:val="clear" w:color="auto" w:fill="auto"/>
            <w:vAlign w:val="center"/>
          </w:tcPr>
          <w:p w14:paraId="3AEC78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14.35 </w:t>
            </w:r>
          </w:p>
        </w:tc>
        <w:tc>
          <w:tcPr>
            <w:tcW w:w="837" w:type="dxa"/>
            <w:tcBorders>
              <w:tl2br w:val="nil"/>
              <w:tr2bl w:val="nil"/>
            </w:tcBorders>
            <w:shd w:val="clear" w:color="auto" w:fill="auto"/>
            <w:vAlign w:val="center"/>
          </w:tcPr>
          <w:p w14:paraId="5A165D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1.00 </w:t>
            </w:r>
          </w:p>
        </w:tc>
      </w:tr>
      <w:tr w14:paraId="568B7A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restart"/>
            <w:tcBorders>
              <w:tl2br w:val="nil"/>
              <w:tr2bl w:val="nil"/>
            </w:tcBorders>
            <w:shd w:val="clear" w:color="auto" w:fill="auto"/>
            <w:noWrap/>
            <w:vAlign w:val="center"/>
          </w:tcPr>
          <w:p w14:paraId="11EDD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251" w:type="dxa"/>
            <w:tcBorders>
              <w:tl2br w:val="nil"/>
              <w:tr2bl w:val="nil"/>
            </w:tcBorders>
            <w:shd w:val="clear" w:color="auto" w:fill="auto"/>
            <w:noWrap/>
            <w:vAlign w:val="center"/>
          </w:tcPr>
          <w:p w14:paraId="693A6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666" w:type="dxa"/>
            <w:tcBorders>
              <w:tl2br w:val="nil"/>
              <w:tr2bl w:val="nil"/>
            </w:tcBorders>
            <w:shd w:val="clear" w:color="auto" w:fill="auto"/>
            <w:noWrap/>
            <w:vAlign w:val="center"/>
          </w:tcPr>
          <w:p w14:paraId="37FF2E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彩条布临时苫盖</w:t>
            </w:r>
          </w:p>
        </w:tc>
        <w:tc>
          <w:tcPr>
            <w:tcW w:w="722" w:type="dxa"/>
            <w:tcBorders>
              <w:tl2br w:val="nil"/>
              <w:tr2bl w:val="nil"/>
            </w:tcBorders>
            <w:shd w:val="clear" w:color="auto" w:fill="auto"/>
            <w:vAlign w:val="center"/>
          </w:tcPr>
          <w:p w14:paraId="3BC179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vAlign w:val="center"/>
          </w:tcPr>
          <w:p w14:paraId="3756D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342.00 </w:t>
            </w:r>
          </w:p>
        </w:tc>
        <w:tc>
          <w:tcPr>
            <w:tcW w:w="859" w:type="dxa"/>
            <w:tcBorders>
              <w:tl2br w:val="nil"/>
              <w:tr2bl w:val="nil"/>
            </w:tcBorders>
            <w:shd w:val="clear" w:color="auto" w:fill="auto"/>
            <w:vAlign w:val="center"/>
          </w:tcPr>
          <w:p w14:paraId="1855BC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6" w:type="dxa"/>
            <w:tcBorders>
              <w:tl2br w:val="nil"/>
              <w:tr2bl w:val="nil"/>
            </w:tcBorders>
            <w:shd w:val="clear" w:color="auto" w:fill="auto"/>
            <w:vAlign w:val="center"/>
          </w:tcPr>
          <w:p w14:paraId="75C088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6" w:type="dxa"/>
            <w:tcBorders>
              <w:tl2br w:val="nil"/>
              <w:tr2bl w:val="nil"/>
            </w:tcBorders>
            <w:shd w:val="clear" w:color="auto" w:fill="auto"/>
            <w:vAlign w:val="center"/>
          </w:tcPr>
          <w:p w14:paraId="7A2903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6" w:type="dxa"/>
            <w:tcBorders>
              <w:tl2br w:val="nil"/>
              <w:tr2bl w:val="nil"/>
            </w:tcBorders>
            <w:shd w:val="clear" w:color="auto" w:fill="auto"/>
            <w:vAlign w:val="center"/>
          </w:tcPr>
          <w:p w14:paraId="46A5DD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979" w:type="dxa"/>
            <w:tcBorders>
              <w:tl2br w:val="nil"/>
              <w:tr2bl w:val="nil"/>
            </w:tcBorders>
            <w:shd w:val="clear" w:color="auto" w:fill="auto"/>
            <w:vAlign w:val="center"/>
          </w:tcPr>
          <w:p w14:paraId="1BABF5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88" w:type="dxa"/>
            <w:tcBorders>
              <w:tl2br w:val="nil"/>
              <w:tr2bl w:val="nil"/>
            </w:tcBorders>
            <w:shd w:val="clear" w:color="auto" w:fill="auto"/>
            <w:vAlign w:val="center"/>
          </w:tcPr>
          <w:p w14:paraId="7BB677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88" w:type="dxa"/>
            <w:tcBorders>
              <w:tl2br w:val="nil"/>
              <w:tr2bl w:val="nil"/>
            </w:tcBorders>
            <w:shd w:val="clear" w:color="auto" w:fill="auto"/>
            <w:vAlign w:val="center"/>
          </w:tcPr>
          <w:p w14:paraId="620B2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sz w:val="21"/>
                <w:szCs w:val="21"/>
                <w:u w:val="none"/>
              </w:rPr>
            </w:pPr>
            <w:r>
              <w:rPr>
                <w:rFonts w:hint="default" w:ascii="Times New Roman" w:hAnsi="Times New Roman" w:eastAsia="仿宋_GB2312" w:cs="Times New Roman"/>
                <w:b/>
                <w:bCs/>
                <w:i w:val="0"/>
                <w:iCs w:val="0"/>
                <w:color w:val="000000"/>
                <w:kern w:val="0"/>
                <w:sz w:val="21"/>
                <w:szCs w:val="21"/>
                <w:u w:val="none"/>
                <w:lang w:val="en-US" w:eastAsia="zh-CN" w:bidi="ar"/>
              </w:rPr>
              <w:t>342</w:t>
            </w:r>
          </w:p>
        </w:tc>
        <w:tc>
          <w:tcPr>
            <w:tcW w:w="856" w:type="dxa"/>
            <w:tcBorders>
              <w:tl2br w:val="nil"/>
              <w:tr2bl w:val="nil"/>
            </w:tcBorders>
            <w:shd w:val="clear" w:color="auto" w:fill="auto"/>
            <w:noWrap/>
            <w:vAlign w:val="center"/>
          </w:tcPr>
          <w:p w14:paraId="2D8F21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249873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26492F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7948B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4C4433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restart"/>
            <w:tcBorders>
              <w:tl2br w:val="nil"/>
              <w:tr2bl w:val="nil"/>
            </w:tcBorders>
            <w:shd w:val="clear" w:color="auto" w:fill="auto"/>
            <w:vAlign w:val="center"/>
          </w:tcPr>
          <w:p w14:paraId="4B67E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666" w:type="dxa"/>
            <w:tcBorders>
              <w:tl2br w:val="nil"/>
              <w:tr2bl w:val="nil"/>
            </w:tcBorders>
            <w:shd w:val="clear" w:color="auto" w:fill="auto"/>
            <w:noWrap/>
            <w:vAlign w:val="center"/>
          </w:tcPr>
          <w:p w14:paraId="40164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彩条布临时苫盖</w:t>
            </w:r>
          </w:p>
        </w:tc>
        <w:tc>
          <w:tcPr>
            <w:tcW w:w="722" w:type="dxa"/>
            <w:tcBorders>
              <w:tl2br w:val="nil"/>
              <w:tr2bl w:val="nil"/>
            </w:tcBorders>
            <w:shd w:val="clear" w:color="auto" w:fill="auto"/>
            <w:vAlign w:val="center"/>
          </w:tcPr>
          <w:p w14:paraId="3432BC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vAlign w:val="center"/>
          </w:tcPr>
          <w:p w14:paraId="74FADE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220.00 </w:t>
            </w:r>
          </w:p>
        </w:tc>
        <w:tc>
          <w:tcPr>
            <w:tcW w:w="859" w:type="dxa"/>
            <w:tcBorders>
              <w:tl2br w:val="nil"/>
              <w:tr2bl w:val="nil"/>
            </w:tcBorders>
            <w:shd w:val="clear" w:color="auto" w:fill="auto"/>
            <w:vAlign w:val="center"/>
          </w:tcPr>
          <w:p w14:paraId="4B7F6B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1F6F9F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218ACC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0B96EE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vAlign w:val="center"/>
          </w:tcPr>
          <w:p w14:paraId="053265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0CBE4D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495C8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220 </w:t>
            </w:r>
          </w:p>
        </w:tc>
        <w:tc>
          <w:tcPr>
            <w:tcW w:w="856" w:type="dxa"/>
            <w:tcBorders>
              <w:tl2br w:val="nil"/>
              <w:tr2bl w:val="nil"/>
            </w:tcBorders>
            <w:shd w:val="clear" w:color="auto" w:fill="auto"/>
            <w:noWrap/>
            <w:vAlign w:val="center"/>
          </w:tcPr>
          <w:p w14:paraId="4E3F25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0E0439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21020B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64C747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13CF5D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091970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vAlign w:val="center"/>
          </w:tcPr>
          <w:p w14:paraId="7B0CA3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临时沉砂池</w:t>
            </w:r>
          </w:p>
        </w:tc>
        <w:tc>
          <w:tcPr>
            <w:tcW w:w="722" w:type="dxa"/>
            <w:tcBorders>
              <w:tl2br w:val="nil"/>
              <w:tr2bl w:val="nil"/>
            </w:tcBorders>
            <w:shd w:val="clear" w:color="auto" w:fill="auto"/>
            <w:vAlign w:val="center"/>
          </w:tcPr>
          <w:p w14:paraId="72D80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1379" w:type="dxa"/>
            <w:tcBorders>
              <w:tl2br w:val="nil"/>
              <w:tr2bl w:val="nil"/>
            </w:tcBorders>
            <w:shd w:val="clear" w:color="auto" w:fill="auto"/>
            <w:vAlign w:val="center"/>
          </w:tcPr>
          <w:p w14:paraId="4E2AB4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w:t>
            </w:r>
          </w:p>
        </w:tc>
        <w:tc>
          <w:tcPr>
            <w:tcW w:w="859" w:type="dxa"/>
            <w:tcBorders>
              <w:tl2br w:val="nil"/>
              <w:tr2bl w:val="nil"/>
            </w:tcBorders>
            <w:shd w:val="clear" w:color="auto" w:fill="auto"/>
            <w:vAlign w:val="center"/>
          </w:tcPr>
          <w:p w14:paraId="7B03C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8.40 </w:t>
            </w:r>
          </w:p>
        </w:tc>
        <w:tc>
          <w:tcPr>
            <w:tcW w:w="856" w:type="dxa"/>
            <w:tcBorders>
              <w:tl2br w:val="nil"/>
              <w:tr2bl w:val="nil"/>
            </w:tcBorders>
            <w:shd w:val="clear" w:color="auto" w:fill="auto"/>
            <w:vAlign w:val="center"/>
          </w:tcPr>
          <w:p w14:paraId="4C3B85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1.60 </w:t>
            </w:r>
          </w:p>
        </w:tc>
        <w:tc>
          <w:tcPr>
            <w:tcW w:w="856" w:type="dxa"/>
            <w:tcBorders>
              <w:tl2br w:val="nil"/>
              <w:tr2bl w:val="nil"/>
            </w:tcBorders>
            <w:shd w:val="clear" w:color="auto" w:fill="auto"/>
            <w:vAlign w:val="center"/>
          </w:tcPr>
          <w:p w14:paraId="2A839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2.42 </w:t>
            </w:r>
          </w:p>
        </w:tc>
        <w:tc>
          <w:tcPr>
            <w:tcW w:w="856" w:type="dxa"/>
            <w:tcBorders>
              <w:tl2br w:val="nil"/>
              <w:tr2bl w:val="nil"/>
            </w:tcBorders>
            <w:shd w:val="clear" w:color="auto" w:fill="auto"/>
            <w:vAlign w:val="center"/>
          </w:tcPr>
          <w:p w14:paraId="689766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31.00 </w:t>
            </w:r>
          </w:p>
        </w:tc>
        <w:tc>
          <w:tcPr>
            <w:tcW w:w="979" w:type="dxa"/>
            <w:tcBorders>
              <w:tl2br w:val="nil"/>
              <w:tr2bl w:val="nil"/>
            </w:tcBorders>
            <w:shd w:val="clear" w:color="auto" w:fill="auto"/>
            <w:vAlign w:val="center"/>
          </w:tcPr>
          <w:p w14:paraId="66DB4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0.66 </w:t>
            </w:r>
          </w:p>
        </w:tc>
        <w:tc>
          <w:tcPr>
            <w:tcW w:w="888" w:type="dxa"/>
            <w:tcBorders>
              <w:tl2br w:val="nil"/>
              <w:tr2bl w:val="nil"/>
            </w:tcBorders>
            <w:shd w:val="clear" w:color="auto" w:fill="auto"/>
            <w:vAlign w:val="center"/>
          </w:tcPr>
          <w:p w14:paraId="169178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311D60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3FC6F4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7C3D16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2BC74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13FB9C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4690C4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32E679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vAlign w:val="center"/>
          </w:tcPr>
          <w:p w14:paraId="628EDB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车辆清洗池</w:t>
            </w:r>
          </w:p>
        </w:tc>
        <w:tc>
          <w:tcPr>
            <w:tcW w:w="722" w:type="dxa"/>
            <w:tcBorders>
              <w:tl2br w:val="nil"/>
              <w:tr2bl w:val="nil"/>
            </w:tcBorders>
            <w:shd w:val="clear" w:color="auto" w:fill="auto"/>
            <w:vAlign w:val="center"/>
          </w:tcPr>
          <w:p w14:paraId="44F10C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座</w:t>
            </w:r>
          </w:p>
        </w:tc>
        <w:tc>
          <w:tcPr>
            <w:tcW w:w="1379" w:type="dxa"/>
            <w:tcBorders>
              <w:tl2br w:val="nil"/>
              <w:tr2bl w:val="nil"/>
            </w:tcBorders>
            <w:shd w:val="clear" w:color="auto" w:fill="auto"/>
            <w:vAlign w:val="center"/>
          </w:tcPr>
          <w:p w14:paraId="2DB8F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 </w:t>
            </w:r>
          </w:p>
        </w:tc>
        <w:tc>
          <w:tcPr>
            <w:tcW w:w="859" w:type="dxa"/>
            <w:tcBorders>
              <w:tl2br w:val="nil"/>
              <w:tr2bl w:val="nil"/>
            </w:tcBorders>
            <w:shd w:val="clear" w:color="auto" w:fill="auto"/>
            <w:vAlign w:val="center"/>
          </w:tcPr>
          <w:p w14:paraId="6F3C6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42.00 </w:t>
            </w:r>
          </w:p>
        </w:tc>
        <w:tc>
          <w:tcPr>
            <w:tcW w:w="856" w:type="dxa"/>
            <w:tcBorders>
              <w:tl2br w:val="nil"/>
              <w:tr2bl w:val="nil"/>
            </w:tcBorders>
            <w:shd w:val="clear" w:color="auto" w:fill="auto"/>
            <w:vAlign w:val="center"/>
          </w:tcPr>
          <w:p w14:paraId="6BC1BA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10.80 </w:t>
            </w:r>
          </w:p>
        </w:tc>
        <w:tc>
          <w:tcPr>
            <w:tcW w:w="856" w:type="dxa"/>
            <w:tcBorders>
              <w:tl2br w:val="nil"/>
              <w:tr2bl w:val="nil"/>
            </w:tcBorders>
            <w:shd w:val="clear" w:color="auto" w:fill="auto"/>
            <w:vAlign w:val="center"/>
          </w:tcPr>
          <w:p w14:paraId="5878F1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1232E8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vAlign w:val="center"/>
          </w:tcPr>
          <w:p w14:paraId="646398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21.00 </w:t>
            </w:r>
          </w:p>
        </w:tc>
        <w:tc>
          <w:tcPr>
            <w:tcW w:w="888" w:type="dxa"/>
            <w:tcBorders>
              <w:tl2br w:val="nil"/>
              <w:tr2bl w:val="nil"/>
            </w:tcBorders>
            <w:shd w:val="clear" w:color="auto" w:fill="auto"/>
            <w:vAlign w:val="center"/>
          </w:tcPr>
          <w:p w14:paraId="1DE3FD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4D4A73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3FB7B6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6B80CB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7C142C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9AF4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1FDEA3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594BA3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vAlign w:val="center"/>
          </w:tcPr>
          <w:p w14:paraId="2ECB4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车辆冲洗设备</w:t>
            </w:r>
          </w:p>
        </w:tc>
        <w:tc>
          <w:tcPr>
            <w:tcW w:w="722" w:type="dxa"/>
            <w:tcBorders>
              <w:tl2br w:val="nil"/>
              <w:tr2bl w:val="nil"/>
            </w:tcBorders>
            <w:shd w:val="clear" w:color="auto" w:fill="auto"/>
            <w:vAlign w:val="center"/>
          </w:tcPr>
          <w:p w14:paraId="29189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套</w:t>
            </w:r>
          </w:p>
        </w:tc>
        <w:tc>
          <w:tcPr>
            <w:tcW w:w="1379" w:type="dxa"/>
            <w:tcBorders>
              <w:tl2br w:val="nil"/>
              <w:tr2bl w:val="nil"/>
            </w:tcBorders>
            <w:shd w:val="clear" w:color="auto" w:fill="auto"/>
            <w:vAlign w:val="center"/>
          </w:tcPr>
          <w:p w14:paraId="0D15D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 </w:t>
            </w:r>
          </w:p>
        </w:tc>
        <w:tc>
          <w:tcPr>
            <w:tcW w:w="859" w:type="dxa"/>
            <w:tcBorders>
              <w:tl2br w:val="nil"/>
              <w:tr2bl w:val="nil"/>
            </w:tcBorders>
            <w:shd w:val="clear" w:color="auto" w:fill="auto"/>
            <w:vAlign w:val="center"/>
          </w:tcPr>
          <w:p w14:paraId="56F4AC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73796F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40AAEB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7D1D40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vAlign w:val="center"/>
          </w:tcPr>
          <w:p w14:paraId="0C810C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500A07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vAlign w:val="center"/>
          </w:tcPr>
          <w:p w14:paraId="7C5A70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vAlign w:val="center"/>
          </w:tcPr>
          <w:p w14:paraId="394852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5B421D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72410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w:t>
            </w:r>
          </w:p>
        </w:tc>
      </w:tr>
      <w:tr w14:paraId="2258F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63FCD4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restart"/>
            <w:tcBorders>
              <w:tl2br w:val="nil"/>
              <w:tr2bl w:val="nil"/>
            </w:tcBorders>
            <w:shd w:val="clear" w:color="auto" w:fill="auto"/>
            <w:vAlign w:val="center"/>
          </w:tcPr>
          <w:p w14:paraId="1D7DA1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666" w:type="dxa"/>
            <w:tcBorders>
              <w:tl2br w:val="nil"/>
              <w:tr2bl w:val="nil"/>
            </w:tcBorders>
            <w:shd w:val="clear" w:color="auto" w:fill="auto"/>
            <w:noWrap/>
            <w:vAlign w:val="center"/>
          </w:tcPr>
          <w:p w14:paraId="754BF1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无纺布临时苫盖</w:t>
            </w:r>
          </w:p>
        </w:tc>
        <w:tc>
          <w:tcPr>
            <w:tcW w:w="722" w:type="dxa"/>
            <w:tcBorders>
              <w:tl2br w:val="nil"/>
              <w:tr2bl w:val="nil"/>
            </w:tcBorders>
            <w:shd w:val="clear" w:color="auto" w:fill="auto"/>
            <w:vAlign w:val="center"/>
          </w:tcPr>
          <w:p w14:paraId="5C42F5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noWrap/>
            <w:vAlign w:val="center"/>
          </w:tcPr>
          <w:p w14:paraId="58A08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1400.00 </w:t>
            </w:r>
          </w:p>
        </w:tc>
        <w:tc>
          <w:tcPr>
            <w:tcW w:w="859" w:type="dxa"/>
            <w:tcBorders>
              <w:tl2br w:val="nil"/>
              <w:tr2bl w:val="nil"/>
            </w:tcBorders>
            <w:shd w:val="clear" w:color="auto" w:fill="auto"/>
            <w:noWrap/>
            <w:vAlign w:val="center"/>
          </w:tcPr>
          <w:p w14:paraId="65A7F2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7F6B0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07212E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652188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noWrap/>
            <w:vAlign w:val="center"/>
          </w:tcPr>
          <w:p w14:paraId="70CEA6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371018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1400</w:t>
            </w:r>
          </w:p>
        </w:tc>
        <w:tc>
          <w:tcPr>
            <w:tcW w:w="888" w:type="dxa"/>
            <w:tcBorders>
              <w:tl2br w:val="nil"/>
              <w:tr2bl w:val="nil"/>
            </w:tcBorders>
            <w:shd w:val="clear" w:color="auto" w:fill="auto"/>
            <w:noWrap/>
            <w:vAlign w:val="center"/>
          </w:tcPr>
          <w:p w14:paraId="5D3E6C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5D5393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7E1618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74AC5A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E4984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4E93EC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51D690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noWrap/>
            <w:vAlign w:val="center"/>
          </w:tcPr>
          <w:p w14:paraId="49E91A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编织袋拦挡</w:t>
            </w:r>
          </w:p>
        </w:tc>
        <w:tc>
          <w:tcPr>
            <w:tcW w:w="722" w:type="dxa"/>
            <w:tcBorders>
              <w:tl2br w:val="nil"/>
              <w:tr2bl w:val="nil"/>
            </w:tcBorders>
            <w:shd w:val="clear" w:color="auto" w:fill="auto"/>
            <w:noWrap/>
            <w:vAlign w:val="center"/>
          </w:tcPr>
          <w:p w14:paraId="75B8EA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1379" w:type="dxa"/>
            <w:tcBorders>
              <w:tl2br w:val="nil"/>
              <w:tr2bl w:val="nil"/>
            </w:tcBorders>
            <w:shd w:val="clear" w:color="auto" w:fill="auto"/>
            <w:vAlign w:val="center"/>
          </w:tcPr>
          <w:p w14:paraId="0110CA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283 </w:t>
            </w:r>
          </w:p>
        </w:tc>
        <w:tc>
          <w:tcPr>
            <w:tcW w:w="859" w:type="dxa"/>
            <w:tcBorders>
              <w:tl2br w:val="nil"/>
              <w:tr2bl w:val="nil"/>
            </w:tcBorders>
            <w:shd w:val="clear" w:color="auto" w:fill="auto"/>
            <w:noWrap/>
            <w:vAlign w:val="center"/>
          </w:tcPr>
          <w:p w14:paraId="144EDE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627B5E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67D0E7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6AC686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noWrap/>
            <w:vAlign w:val="center"/>
          </w:tcPr>
          <w:p w14:paraId="295AB2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2A9775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03D941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72345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49.53 </w:t>
            </w:r>
          </w:p>
        </w:tc>
        <w:tc>
          <w:tcPr>
            <w:tcW w:w="859" w:type="dxa"/>
            <w:tcBorders>
              <w:tl2br w:val="nil"/>
              <w:tr2bl w:val="nil"/>
            </w:tcBorders>
            <w:shd w:val="clear" w:color="auto" w:fill="auto"/>
            <w:noWrap/>
            <w:vAlign w:val="center"/>
          </w:tcPr>
          <w:p w14:paraId="00306E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49.53 </w:t>
            </w:r>
          </w:p>
        </w:tc>
        <w:tc>
          <w:tcPr>
            <w:tcW w:w="837" w:type="dxa"/>
            <w:tcBorders>
              <w:tl2br w:val="nil"/>
              <w:tr2bl w:val="nil"/>
            </w:tcBorders>
            <w:shd w:val="clear" w:color="auto" w:fill="auto"/>
            <w:noWrap/>
            <w:vAlign w:val="center"/>
          </w:tcPr>
          <w:p w14:paraId="57D782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33F48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33FC26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vMerge w:val="continue"/>
            <w:tcBorders>
              <w:tl2br w:val="nil"/>
              <w:tr2bl w:val="nil"/>
            </w:tcBorders>
            <w:shd w:val="clear" w:color="auto" w:fill="auto"/>
            <w:vAlign w:val="center"/>
          </w:tcPr>
          <w:p w14:paraId="4ED8B6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66" w:type="dxa"/>
            <w:tcBorders>
              <w:tl2br w:val="nil"/>
              <w:tr2bl w:val="nil"/>
            </w:tcBorders>
            <w:shd w:val="clear" w:color="auto" w:fill="auto"/>
            <w:noWrap/>
            <w:vAlign w:val="center"/>
          </w:tcPr>
          <w:p w14:paraId="0F563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彩条布临时苫盖</w:t>
            </w:r>
          </w:p>
        </w:tc>
        <w:tc>
          <w:tcPr>
            <w:tcW w:w="722" w:type="dxa"/>
            <w:tcBorders>
              <w:tl2br w:val="nil"/>
              <w:tr2bl w:val="nil"/>
            </w:tcBorders>
            <w:shd w:val="clear" w:color="auto" w:fill="auto"/>
            <w:vAlign w:val="center"/>
          </w:tcPr>
          <w:p w14:paraId="29154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1379" w:type="dxa"/>
            <w:tcBorders>
              <w:tl2br w:val="nil"/>
              <w:tr2bl w:val="nil"/>
            </w:tcBorders>
            <w:shd w:val="clear" w:color="auto" w:fill="auto"/>
            <w:noWrap/>
            <w:vAlign w:val="center"/>
          </w:tcPr>
          <w:p w14:paraId="381FB3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739.20 </w:t>
            </w:r>
          </w:p>
        </w:tc>
        <w:tc>
          <w:tcPr>
            <w:tcW w:w="859" w:type="dxa"/>
            <w:tcBorders>
              <w:tl2br w:val="nil"/>
              <w:tr2bl w:val="nil"/>
            </w:tcBorders>
            <w:shd w:val="clear" w:color="auto" w:fill="auto"/>
            <w:noWrap/>
            <w:vAlign w:val="center"/>
          </w:tcPr>
          <w:p w14:paraId="0A9066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320845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696A73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6" w:type="dxa"/>
            <w:tcBorders>
              <w:tl2br w:val="nil"/>
              <w:tr2bl w:val="nil"/>
            </w:tcBorders>
            <w:shd w:val="clear" w:color="auto" w:fill="auto"/>
            <w:noWrap/>
            <w:vAlign w:val="center"/>
          </w:tcPr>
          <w:p w14:paraId="47D02A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79" w:type="dxa"/>
            <w:tcBorders>
              <w:tl2br w:val="nil"/>
              <w:tr2bl w:val="nil"/>
            </w:tcBorders>
            <w:shd w:val="clear" w:color="auto" w:fill="auto"/>
            <w:noWrap/>
            <w:vAlign w:val="center"/>
          </w:tcPr>
          <w:p w14:paraId="2E1EB5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767902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88" w:type="dxa"/>
            <w:tcBorders>
              <w:tl2br w:val="nil"/>
              <w:tr2bl w:val="nil"/>
            </w:tcBorders>
            <w:shd w:val="clear" w:color="auto" w:fill="auto"/>
            <w:noWrap/>
            <w:vAlign w:val="center"/>
          </w:tcPr>
          <w:p w14:paraId="0D5B4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739.2</w:t>
            </w:r>
          </w:p>
        </w:tc>
        <w:tc>
          <w:tcPr>
            <w:tcW w:w="856" w:type="dxa"/>
            <w:tcBorders>
              <w:tl2br w:val="nil"/>
              <w:tr2bl w:val="nil"/>
            </w:tcBorders>
            <w:shd w:val="clear" w:color="auto" w:fill="auto"/>
            <w:noWrap/>
            <w:vAlign w:val="center"/>
          </w:tcPr>
          <w:p w14:paraId="4F929E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noWrap/>
            <w:vAlign w:val="center"/>
          </w:tcPr>
          <w:p w14:paraId="21DBF4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37" w:type="dxa"/>
            <w:tcBorders>
              <w:tl2br w:val="nil"/>
              <w:tr2bl w:val="nil"/>
            </w:tcBorders>
            <w:shd w:val="clear" w:color="auto" w:fill="auto"/>
            <w:noWrap/>
            <w:vAlign w:val="center"/>
          </w:tcPr>
          <w:p w14:paraId="2D8F53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11D371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6" w:type="dxa"/>
            <w:vMerge w:val="continue"/>
            <w:tcBorders>
              <w:tl2br w:val="nil"/>
              <w:tr2bl w:val="nil"/>
            </w:tcBorders>
            <w:shd w:val="clear" w:color="auto" w:fill="auto"/>
            <w:noWrap/>
            <w:vAlign w:val="center"/>
          </w:tcPr>
          <w:p w14:paraId="766C3E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1" w:type="dxa"/>
            <w:tcBorders>
              <w:tl2br w:val="nil"/>
              <w:tr2bl w:val="nil"/>
            </w:tcBorders>
            <w:shd w:val="clear" w:color="auto" w:fill="auto"/>
            <w:vAlign w:val="center"/>
          </w:tcPr>
          <w:p w14:paraId="55E6C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666" w:type="dxa"/>
            <w:tcBorders>
              <w:tl2br w:val="nil"/>
              <w:tr2bl w:val="nil"/>
            </w:tcBorders>
            <w:shd w:val="clear" w:color="auto" w:fill="auto"/>
            <w:vAlign w:val="center"/>
          </w:tcPr>
          <w:p w14:paraId="17140D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722" w:type="dxa"/>
            <w:tcBorders>
              <w:tl2br w:val="nil"/>
              <w:tr2bl w:val="nil"/>
            </w:tcBorders>
            <w:shd w:val="clear" w:color="auto" w:fill="auto"/>
            <w:vAlign w:val="center"/>
          </w:tcPr>
          <w:p w14:paraId="54AB6B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1379" w:type="dxa"/>
            <w:tcBorders>
              <w:tl2br w:val="nil"/>
              <w:tr2bl w:val="nil"/>
            </w:tcBorders>
            <w:shd w:val="clear" w:color="auto" w:fill="auto"/>
            <w:vAlign w:val="center"/>
          </w:tcPr>
          <w:p w14:paraId="4C30EC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859" w:type="dxa"/>
            <w:tcBorders>
              <w:tl2br w:val="nil"/>
              <w:tr2bl w:val="nil"/>
            </w:tcBorders>
            <w:shd w:val="clear" w:color="auto" w:fill="auto"/>
            <w:vAlign w:val="center"/>
          </w:tcPr>
          <w:p w14:paraId="2354F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50.40 </w:t>
            </w:r>
          </w:p>
        </w:tc>
        <w:tc>
          <w:tcPr>
            <w:tcW w:w="856" w:type="dxa"/>
            <w:tcBorders>
              <w:tl2br w:val="nil"/>
              <w:tr2bl w:val="nil"/>
            </w:tcBorders>
            <w:shd w:val="clear" w:color="auto" w:fill="auto"/>
            <w:vAlign w:val="center"/>
          </w:tcPr>
          <w:p w14:paraId="580FB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12.40 </w:t>
            </w:r>
          </w:p>
        </w:tc>
        <w:tc>
          <w:tcPr>
            <w:tcW w:w="856" w:type="dxa"/>
            <w:tcBorders>
              <w:tl2br w:val="nil"/>
              <w:tr2bl w:val="nil"/>
            </w:tcBorders>
            <w:shd w:val="clear" w:color="auto" w:fill="auto"/>
            <w:vAlign w:val="center"/>
          </w:tcPr>
          <w:p w14:paraId="7E9F4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2.42 </w:t>
            </w:r>
          </w:p>
        </w:tc>
        <w:tc>
          <w:tcPr>
            <w:tcW w:w="856" w:type="dxa"/>
            <w:tcBorders>
              <w:tl2br w:val="nil"/>
              <w:tr2bl w:val="nil"/>
            </w:tcBorders>
            <w:shd w:val="clear" w:color="auto" w:fill="auto"/>
            <w:vAlign w:val="center"/>
          </w:tcPr>
          <w:p w14:paraId="1FE0A1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31.00 </w:t>
            </w:r>
          </w:p>
        </w:tc>
        <w:tc>
          <w:tcPr>
            <w:tcW w:w="979" w:type="dxa"/>
            <w:tcBorders>
              <w:tl2br w:val="nil"/>
              <w:tr2bl w:val="nil"/>
            </w:tcBorders>
            <w:shd w:val="clear" w:color="auto" w:fill="auto"/>
            <w:vAlign w:val="center"/>
          </w:tcPr>
          <w:p w14:paraId="045E4F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21.66 </w:t>
            </w:r>
          </w:p>
        </w:tc>
        <w:tc>
          <w:tcPr>
            <w:tcW w:w="888" w:type="dxa"/>
            <w:tcBorders>
              <w:tl2br w:val="nil"/>
              <w:tr2bl w:val="nil"/>
            </w:tcBorders>
            <w:shd w:val="clear" w:color="auto" w:fill="auto"/>
            <w:vAlign w:val="center"/>
          </w:tcPr>
          <w:p w14:paraId="579DED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1400.00 </w:t>
            </w:r>
          </w:p>
        </w:tc>
        <w:tc>
          <w:tcPr>
            <w:tcW w:w="888" w:type="dxa"/>
            <w:tcBorders>
              <w:tl2br w:val="nil"/>
              <w:tr2bl w:val="nil"/>
            </w:tcBorders>
            <w:shd w:val="clear" w:color="auto" w:fill="auto"/>
            <w:vAlign w:val="center"/>
          </w:tcPr>
          <w:p w14:paraId="509A3C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1301.20 </w:t>
            </w:r>
          </w:p>
        </w:tc>
        <w:tc>
          <w:tcPr>
            <w:tcW w:w="856" w:type="dxa"/>
            <w:tcBorders>
              <w:tl2br w:val="nil"/>
              <w:tr2bl w:val="nil"/>
            </w:tcBorders>
            <w:shd w:val="clear" w:color="auto" w:fill="auto"/>
            <w:vAlign w:val="center"/>
          </w:tcPr>
          <w:p w14:paraId="4CF5E0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49.53 </w:t>
            </w:r>
          </w:p>
        </w:tc>
        <w:tc>
          <w:tcPr>
            <w:tcW w:w="859" w:type="dxa"/>
            <w:tcBorders>
              <w:tl2br w:val="nil"/>
              <w:tr2bl w:val="nil"/>
            </w:tcBorders>
            <w:shd w:val="clear" w:color="auto" w:fill="auto"/>
            <w:vAlign w:val="center"/>
          </w:tcPr>
          <w:p w14:paraId="6AD6BC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49.53 </w:t>
            </w:r>
          </w:p>
        </w:tc>
        <w:tc>
          <w:tcPr>
            <w:tcW w:w="837" w:type="dxa"/>
            <w:tcBorders>
              <w:tl2br w:val="nil"/>
              <w:tr2bl w:val="nil"/>
            </w:tcBorders>
            <w:shd w:val="clear" w:color="auto" w:fill="auto"/>
            <w:vAlign w:val="center"/>
          </w:tcPr>
          <w:p w14:paraId="3663C3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1.00 </w:t>
            </w:r>
          </w:p>
        </w:tc>
      </w:tr>
      <w:tr w14:paraId="53A27B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2087" w:type="dxa"/>
            <w:gridSpan w:val="2"/>
            <w:tcBorders>
              <w:tl2br w:val="nil"/>
              <w:tr2bl w:val="nil"/>
            </w:tcBorders>
            <w:shd w:val="clear" w:color="auto" w:fill="auto"/>
            <w:vAlign w:val="center"/>
          </w:tcPr>
          <w:p w14:paraId="028792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666" w:type="dxa"/>
            <w:tcBorders>
              <w:tl2br w:val="nil"/>
              <w:tr2bl w:val="nil"/>
            </w:tcBorders>
            <w:shd w:val="clear" w:color="auto" w:fill="auto"/>
            <w:vAlign w:val="center"/>
          </w:tcPr>
          <w:p w14:paraId="5B51AE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722" w:type="dxa"/>
            <w:tcBorders>
              <w:tl2br w:val="nil"/>
              <w:tr2bl w:val="nil"/>
            </w:tcBorders>
            <w:shd w:val="clear" w:color="auto" w:fill="auto"/>
            <w:vAlign w:val="center"/>
          </w:tcPr>
          <w:p w14:paraId="2BA9C0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bCs/>
                <w:i w:val="0"/>
                <w:iCs w:val="0"/>
                <w:color w:val="000000"/>
                <w:sz w:val="21"/>
                <w:szCs w:val="21"/>
                <w:u w:val="none"/>
              </w:rPr>
            </w:pPr>
          </w:p>
        </w:tc>
        <w:tc>
          <w:tcPr>
            <w:tcW w:w="1379" w:type="dxa"/>
            <w:tcBorders>
              <w:tl2br w:val="nil"/>
              <w:tr2bl w:val="nil"/>
            </w:tcBorders>
            <w:shd w:val="clear" w:color="auto" w:fill="auto"/>
            <w:vAlign w:val="center"/>
          </w:tcPr>
          <w:p w14:paraId="01D0CF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59" w:type="dxa"/>
            <w:tcBorders>
              <w:tl2br w:val="nil"/>
              <w:tr2bl w:val="nil"/>
            </w:tcBorders>
            <w:shd w:val="clear" w:color="auto" w:fill="auto"/>
            <w:vAlign w:val="center"/>
          </w:tcPr>
          <w:p w14:paraId="679BE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100.80 </w:t>
            </w:r>
          </w:p>
        </w:tc>
        <w:tc>
          <w:tcPr>
            <w:tcW w:w="856" w:type="dxa"/>
            <w:tcBorders>
              <w:tl2br w:val="nil"/>
              <w:tr2bl w:val="nil"/>
            </w:tcBorders>
            <w:shd w:val="clear" w:color="auto" w:fill="auto"/>
            <w:vAlign w:val="center"/>
          </w:tcPr>
          <w:p w14:paraId="0CFCF8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24.80 </w:t>
            </w:r>
          </w:p>
        </w:tc>
        <w:tc>
          <w:tcPr>
            <w:tcW w:w="856" w:type="dxa"/>
            <w:tcBorders>
              <w:tl2br w:val="nil"/>
              <w:tr2bl w:val="nil"/>
            </w:tcBorders>
            <w:shd w:val="clear" w:color="auto" w:fill="auto"/>
            <w:vAlign w:val="center"/>
          </w:tcPr>
          <w:p w14:paraId="3D4FE3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4.84 </w:t>
            </w:r>
          </w:p>
        </w:tc>
        <w:tc>
          <w:tcPr>
            <w:tcW w:w="856" w:type="dxa"/>
            <w:tcBorders>
              <w:tl2br w:val="nil"/>
              <w:tr2bl w:val="nil"/>
            </w:tcBorders>
            <w:shd w:val="clear" w:color="auto" w:fill="auto"/>
            <w:vAlign w:val="center"/>
          </w:tcPr>
          <w:p w14:paraId="763A2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62.00 </w:t>
            </w:r>
          </w:p>
        </w:tc>
        <w:tc>
          <w:tcPr>
            <w:tcW w:w="979" w:type="dxa"/>
            <w:tcBorders>
              <w:tl2br w:val="nil"/>
              <w:tr2bl w:val="nil"/>
            </w:tcBorders>
            <w:shd w:val="clear" w:color="auto" w:fill="auto"/>
            <w:vAlign w:val="center"/>
          </w:tcPr>
          <w:p w14:paraId="6F9C8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43.32 </w:t>
            </w:r>
          </w:p>
        </w:tc>
        <w:tc>
          <w:tcPr>
            <w:tcW w:w="888" w:type="dxa"/>
            <w:tcBorders>
              <w:tl2br w:val="nil"/>
              <w:tr2bl w:val="nil"/>
            </w:tcBorders>
            <w:shd w:val="clear" w:color="auto" w:fill="auto"/>
            <w:vAlign w:val="center"/>
          </w:tcPr>
          <w:p w14:paraId="4F627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2300.00 </w:t>
            </w:r>
          </w:p>
        </w:tc>
        <w:tc>
          <w:tcPr>
            <w:tcW w:w="888" w:type="dxa"/>
            <w:tcBorders>
              <w:tl2br w:val="nil"/>
              <w:tr2bl w:val="nil"/>
            </w:tcBorders>
            <w:shd w:val="clear" w:color="auto" w:fill="auto"/>
            <w:vAlign w:val="center"/>
          </w:tcPr>
          <w:p w14:paraId="185DD5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2182.60 </w:t>
            </w:r>
          </w:p>
        </w:tc>
        <w:tc>
          <w:tcPr>
            <w:tcW w:w="856" w:type="dxa"/>
            <w:tcBorders>
              <w:tl2br w:val="nil"/>
              <w:tr2bl w:val="nil"/>
            </w:tcBorders>
            <w:shd w:val="clear" w:color="auto" w:fill="auto"/>
            <w:vAlign w:val="center"/>
          </w:tcPr>
          <w:p w14:paraId="28F23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63.88 </w:t>
            </w:r>
          </w:p>
        </w:tc>
        <w:tc>
          <w:tcPr>
            <w:tcW w:w="859" w:type="dxa"/>
            <w:tcBorders>
              <w:tl2br w:val="nil"/>
              <w:tr2bl w:val="nil"/>
            </w:tcBorders>
            <w:shd w:val="clear" w:color="auto" w:fill="auto"/>
            <w:vAlign w:val="center"/>
          </w:tcPr>
          <w:p w14:paraId="419A18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63.88 </w:t>
            </w:r>
          </w:p>
        </w:tc>
        <w:tc>
          <w:tcPr>
            <w:tcW w:w="837" w:type="dxa"/>
            <w:tcBorders>
              <w:tl2br w:val="nil"/>
              <w:tr2bl w:val="nil"/>
            </w:tcBorders>
            <w:shd w:val="clear" w:color="auto" w:fill="auto"/>
            <w:vAlign w:val="center"/>
          </w:tcPr>
          <w:p w14:paraId="2BB0A3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2.00 </w:t>
            </w:r>
          </w:p>
        </w:tc>
      </w:tr>
    </w:tbl>
    <w:p w14:paraId="36B77068">
      <w:pPr>
        <w:pStyle w:val="83"/>
        <w:jc w:val="left"/>
        <w:rPr>
          <w:rFonts w:hint="default" w:ascii="Times New Roman" w:hAnsi="Times New Roman" w:eastAsia="仿宋_GB2312" w:cs="Times New Roman"/>
          <w:b/>
          <w:bCs w:val="0"/>
        </w:rPr>
      </w:pPr>
    </w:p>
    <w:p w14:paraId="2AF88FF4">
      <w:pPr>
        <w:pStyle w:val="83"/>
        <w:jc w:val="left"/>
        <w:rPr>
          <w:rFonts w:hint="default" w:ascii="Times New Roman" w:hAnsi="Times New Roman" w:eastAsia="仿宋_GB2312" w:cs="Times New Roman"/>
          <w:b/>
          <w:bCs w:val="0"/>
        </w:rPr>
        <w:sectPr>
          <w:headerReference r:id="rId21" w:type="default"/>
          <w:pgSz w:w="16838" w:h="11906" w:orient="landscape"/>
          <w:pgMar w:top="1134" w:right="1134" w:bottom="1418"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E7B1FF0">
      <w:pPr>
        <w:pStyle w:val="3"/>
        <w:rPr>
          <w:rFonts w:hint="default" w:ascii="Times New Roman" w:hAnsi="Times New Roman" w:cs="Times New Roman"/>
        </w:rPr>
      </w:pPr>
      <w:bookmarkStart w:id="98" w:name="_Toc72920050"/>
      <w:bookmarkStart w:id="99" w:name="_Toc165223587"/>
      <w:r>
        <w:rPr>
          <w:rFonts w:hint="default" w:ascii="Times New Roman" w:hAnsi="Times New Roman" w:cs="Times New Roman"/>
        </w:rPr>
        <w:t>施工要求</w:t>
      </w:r>
      <w:bookmarkEnd w:id="98"/>
      <w:bookmarkEnd w:id="99"/>
    </w:p>
    <w:p w14:paraId="6C3881F3">
      <w:pPr>
        <w:pStyle w:val="4"/>
        <w:rPr>
          <w:rFonts w:hint="default" w:ascii="Times New Roman" w:hAnsi="Times New Roman" w:cs="Times New Roman"/>
        </w:rPr>
      </w:pPr>
      <w:r>
        <w:rPr>
          <w:rFonts w:hint="default" w:ascii="Times New Roman" w:hAnsi="Times New Roman" w:cs="Times New Roman"/>
        </w:rPr>
        <w:t>施工组织形式</w:t>
      </w:r>
    </w:p>
    <w:p w14:paraId="43E3B552">
      <w:pPr>
        <w:ind w:firstLine="480"/>
        <w:rPr>
          <w:rFonts w:hint="default" w:ascii="Times New Roman" w:hAnsi="Times New Roman" w:cs="Times New Roman"/>
        </w:rPr>
      </w:pPr>
      <w:r>
        <w:rPr>
          <w:rFonts w:hint="default" w:ascii="Times New Roman" w:hAnsi="Times New Roman" w:cs="Times New Roman"/>
        </w:rPr>
        <w:t>新增的水土保持工程主要为临时防护工程和预防保护措施。新增水土保持工程具有工程相对集中，工程量小的特点。</w:t>
      </w:r>
    </w:p>
    <w:p w14:paraId="7DBEB6F6">
      <w:pPr>
        <w:ind w:firstLine="480"/>
        <w:rPr>
          <w:rFonts w:hint="default" w:ascii="Times New Roman" w:hAnsi="Times New Roman" w:cs="Times New Roman"/>
        </w:rPr>
      </w:pPr>
      <w:r>
        <w:rPr>
          <w:rFonts w:hint="default" w:ascii="Times New Roman" w:hAnsi="Times New Roman" w:cs="Times New Roman"/>
        </w:rPr>
        <w:t>在主体工程施工阶段施工总平面布置上，应该把水土保持工程纳入到施工总平面布置中，并考虑到交通条件、材料供应、施工力量等进行综合规划。</w:t>
      </w:r>
    </w:p>
    <w:p w14:paraId="52F2D8E4">
      <w:pPr>
        <w:pStyle w:val="4"/>
        <w:rPr>
          <w:rFonts w:hint="default" w:ascii="Times New Roman" w:hAnsi="Times New Roman" w:cs="Times New Roman"/>
        </w:rPr>
      </w:pPr>
      <w:r>
        <w:rPr>
          <w:rFonts w:hint="default" w:ascii="Times New Roman" w:hAnsi="Times New Roman" w:cs="Times New Roman"/>
        </w:rPr>
        <w:t>施工条件</w:t>
      </w:r>
    </w:p>
    <w:p w14:paraId="5E9659D1">
      <w:pPr>
        <w:ind w:firstLine="480"/>
        <w:rPr>
          <w:rFonts w:hint="default" w:ascii="Times New Roman" w:hAnsi="Times New Roman" w:cs="Times New Roman"/>
        </w:rPr>
      </w:pPr>
      <w:r>
        <w:rPr>
          <w:rFonts w:hint="default" w:ascii="Times New Roman" w:hAnsi="Times New Roman" w:cs="Times New Roman"/>
        </w:rPr>
        <w:t>（1）施工交通</w:t>
      </w:r>
    </w:p>
    <w:p w14:paraId="249EB620">
      <w:pPr>
        <w:ind w:firstLine="480"/>
        <w:rPr>
          <w:rFonts w:hint="default" w:ascii="Times New Roman" w:hAnsi="Times New Roman" w:cs="Times New Roman"/>
        </w:rPr>
      </w:pPr>
      <w:r>
        <w:rPr>
          <w:rFonts w:hint="default" w:ascii="Times New Roman" w:hAnsi="Times New Roman" w:cs="Times New Roman"/>
        </w:rPr>
        <w:t>项目建设区交通便利。水土保持措施所需的外来建筑材料，包括水泥、钢筋、汽油、柴油等物资供应与主体工程施工相同。项目区周边的现有道路能够满足水土保持工程施工要求。</w:t>
      </w:r>
    </w:p>
    <w:p w14:paraId="1A8B8EAE">
      <w:pPr>
        <w:ind w:firstLine="480"/>
        <w:rPr>
          <w:rFonts w:hint="default" w:ascii="Times New Roman" w:hAnsi="Times New Roman" w:cs="Times New Roman"/>
        </w:rPr>
      </w:pPr>
      <w:r>
        <w:rPr>
          <w:rFonts w:hint="default" w:ascii="Times New Roman" w:hAnsi="Times New Roman" w:cs="Times New Roman"/>
        </w:rPr>
        <w:t>（2）施工场地</w:t>
      </w:r>
    </w:p>
    <w:p w14:paraId="26A8FADE">
      <w:pPr>
        <w:ind w:firstLine="480"/>
        <w:rPr>
          <w:rFonts w:hint="default" w:ascii="Times New Roman" w:hAnsi="Times New Roman" w:cs="Times New Roman"/>
        </w:rPr>
      </w:pPr>
      <w:r>
        <w:rPr>
          <w:rFonts w:hint="default" w:ascii="Times New Roman" w:hAnsi="Times New Roman" w:cs="Times New Roman"/>
        </w:rPr>
        <w:t>水土保持工程规模相对较小，规划的主体工程施工场地，可以满足本工程水土保持工程施工需要，不再新增水土保持措施施工场地。</w:t>
      </w:r>
    </w:p>
    <w:p w14:paraId="721AFEAF">
      <w:pPr>
        <w:ind w:firstLine="480"/>
        <w:rPr>
          <w:rFonts w:hint="default" w:ascii="Times New Roman" w:hAnsi="Times New Roman" w:cs="Times New Roman"/>
        </w:rPr>
      </w:pPr>
      <w:r>
        <w:rPr>
          <w:rFonts w:hint="default" w:ascii="Times New Roman" w:hAnsi="Times New Roman" w:cs="Times New Roman"/>
        </w:rPr>
        <w:t>（3）施工用水、用电</w:t>
      </w:r>
    </w:p>
    <w:p w14:paraId="4C37B84E">
      <w:pPr>
        <w:ind w:firstLine="480"/>
        <w:rPr>
          <w:rFonts w:hint="default" w:ascii="Times New Roman" w:hAnsi="Times New Roman" w:cs="Times New Roman"/>
        </w:rPr>
      </w:pPr>
      <w:r>
        <w:rPr>
          <w:rFonts w:hint="default" w:ascii="Times New Roman" w:hAnsi="Times New Roman" w:cs="Times New Roman"/>
        </w:rPr>
        <w:t>水土保持工程施工用水、用电利用主体工程施工用水、用电条件。</w:t>
      </w:r>
    </w:p>
    <w:p w14:paraId="6520AFEC">
      <w:pPr>
        <w:ind w:firstLine="480"/>
        <w:rPr>
          <w:rFonts w:hint="default" w:ascii="Times New Roman" w:hAnsi="Times New Roman" w:cs="Times New Roman"/>
        </w:rPr>
      </w:pPr>
      <w:r>
        <w:rPr>
          <w:rFonts w:hint="default" w:ascii="Times New Roman" w:hAnsi="Times New Roman" w:cs="Times New Roman"/>
        </w:rPr>
        <w:t>（4）主要材料供应</w:t>
      </w:r>
    </w:p>
    <w:p w14:paraId="085861F8">
      <w:pPr>
        <w:ind w:firstLine="480"/>
        <w:rPr>
          <w:rFonts w:hint="default" w:ascii="Times New Roman" w:hAnsi="Times New Roman" w:cs="Times New Roman"/>
        </w:rPr>
      </w:pPr>
      <w:r>
        <w:rPr>
          <w:rFonts w:hint="default" w:ascii="Times New Roman" w:hAnsi="Times New Roman" w:cs="Times New Roman"/>
        </w:rPr>
        <w:t>水土保持措施施工所需的水、电、路等尽可能利用主体工程已有的施工条件，所需苗木、种子等在市场上统一择优采购，以保证质量、降低成本。</w:t>
      </w:r>
    </w:p>
    <w:p w14:paraId="1B06DBC1">
      <w:pPr>
        <w:pStyle w:val="4"/>
        <w:rPr>
          <w:rFonts w:hint="default" w:ascii="Times New Roman" w:hAnsi="Times New Roman" w:cs="Times New Roman"/>
        </w:rPr>
      </w:pPr>
      <w:r>
        <w:rPr>
          <w:rFonts w:hint="default" w:ascii="Times New Roman" w:hAnsi="Times New Roman" w:cs="Times New Roman"/>
        </w:rPr>
        <w:t>施工组织设计</w:t>
      </w:r>
    </w:p>
    <w:p w14:paraId="2492F764">
      <w:pPr>
        <w:ind w:firstLine="480"/>
        <w:rPr>
          <w:rFonts w:hint="default" w:ascii="Times New Roman" w:hAnsi="Times New Roman" w:cs="Times New Roman"/>
        </w:rPr>
      </w:pPr>
      <w:r>
        <w:rPr>
          <w:rFonts w:hint="default" w:ascii="Times New Roman" w:hAnsi="Times New Roman" w:cs="Times New Roman"/>
        </w:rPr>
        <w:t>水土保持工程措施、植物措施和临时防护措施与主体工程同步，在主体施工合同中应包括水土保持措施内容，施工组织纳入主体施工组织中。</w:t>
      </w:r>
    </w:p>
    <w:p w14:paraId="2482B9D8">
      <w:pPr>
        <w:ind w:firstLine="480"/>
        <w:rPr>
          <w:rFonts w:hint="default" w:ascii="Times New Roman" w:hAnsi="Times New Roman" w:cs="Times New Roman"/>
        </w:rPr>
      </w:pPr>
      <w:r>
        <w:rPr>
          <w:rFonts w:hint="default" w:ascii="Times New Roman" w:hAnsi="Times New Roman" w:cs="Times New Roman"/>
        </w:rPr>
        <w:t>水土保持施工中，严格按照工程设计及施工进度计划进行施工，并按工程关键部位、施工工艺、施工方法，分步骤进行施工。项目开工后，应严格按照施工规范及组织设计规划所确定的顺序进行施工，减少地表裸露时间，从而减少土壤流失，减少或避免项目施工对周围环境的影响。尽可能避开雨天条件下施工，减少施工过程中的土壤流失。</w:t>
      </w:r>
    </w:p>
    <w:p w14:paraId="6BA89F60">
      <w:pPr>
        <w:ind w:firstLine="480"/>
        <w:rPr>
          <w:rFonts w:hint="default" w:ascii="Times New Roman" w:hAnsi="Times New Roman" w:cs="Times New Roman"/>
        </w:rPr>
      </w:pPr>
      <w:r>
        <w:rPr>
          <w:rFonts w:hint="default" w:ascii="Times New Roman" w:hAnsi="Times New Roman" w:cs="Times New Roman"/>
        </w:rPr>
        <w:t>施工期水土保持措施资金来源于主体工程建设投资中，并要列入工程建设投资的总体安排和年度计划中。</w:t>
      </w:r>
    </w:p>
    <w:p w14:paraId="3BD58048">
      <w:pPr>
        <w:pStyle w:val="4"/>
        <w:rPr>
          <w:rFonts w:hint="default" w:ascii="Times New Roman" w:hAnsi="Times New Roman" w:cs="Times New Roman"/>
        </w:rPr>
      </w:pPr>
      <w:r>
        <w:rPr>
          <w:rFonts w:hint="default" w:ascii="Times New Roman" w:hAnsi="Times New Roman" w:cs="Times New Roman"/>
        </w:rPr>
        <w:t>施工方法、工艺</w:t>
      </w:r>
    </w:p>
    <w:p w14:paraId="7EB03471">
      <w:pPr>
        <w:ind w:firstLine="480"/>
        <w:rPr>
          <w:rFonts w:hint="default" w:ascii="Times New Roman" w:hAnsi="Times New Roman" w:cs="Times New Roman"/>
        </w:rPr>
      </w:pPr>
      <w:r>
        <w:rPr>
          <w:rFonts w:hint="default" w:ascii="Times New Roman" w:hAnsi="Times New Roman" w:cs="Times New Roman"/>
        </w:rPr>
        <w:t>（1）基础开挖</w:t>
      </w:r>
    </w:p>
    <w:p w14:paraId="5C6D21C3">
      <w:pPr>
        <w:ind w:firstLine="480"/>
        <w:rPr>
          <w:rFonts w:hint="default" w:ascii="Times New Roman" w:hAnsi="Times New Roman" w:cs="Times New Roman"/>
        </w:rPr>
      </w:pPr>
      <w:r>
        <w:rPr>
          <w:rFonts w:hint="default" w:ascii="Times New Roman" w:hAnsi="Times New Roman" w:cs="Times New Roman"/>
        </w:rPr>
        <w:t>本项目排水沟及沉沙池等基础采用人工+机械结合方式开挖，开挖的土石方就近堆放并平整。</w:t>
      </w:r>
    </w:p>
    <w:p w14:paraId="7B914548">
      <w:pPr>
        <w:ind w:firstLine="480"/>
        <w:rPr>
          <w:rFonts w:hint="default" w:ascii="Times New Roman" w:hAnsi="Times New Roman" w:cs="Times New Roman"/>
        </w:rPr>
      </w:pPr>
      <w:r>
        <w:rPr>
          <w:rFonts w:hint="default" w:ascii="Times New Roman" w:hAnsi="Times New Roman" w:cs="Times New Roman"/>
        </w:rPr>
        <w:t>（2）砌筑</w:t>
      </w:r>
    </w:p>
    <w:p w14:paraId="53FFFC1E">
      <w:pPr>
        <w:ind w:firstLine="480"/>
        <w:rPr>
          <w:rFonts w:hint="default" w:ascii="Times New Roman" w:hAnsi="Times New Roman" w:cs="Times New Roman"/>
        </w:rPr>
      </w:pPr>
      <w:r>
        <w:rPr>
          <w:rFonts w:hint="default" w:ascii="Times New Roman" w:hAnsi="Times New Roman" w:cs="Times New Roman"/>
        </w:rPr>
        <w:t>所需材料采用外购的方式解决，并辅以人工胶轮车或5t自卸汽车运输，人工修整并砌筑，水泥砂浆同主体工程一并购买使用，也可采用小型拌和机械现场拌制。</w:t>
      </w:r>
    </w:p>
    <w:p w14:paraId="30FCACAC">
      <w:pPr>
        <w:ind w:firstLine="480"/>
        <w:rPr>
          <w:rFonts w:hint="default" w:ascii="Times New Roman" w:hAnsi="Times New Roman" w:cs="Times New Roman"/>
        </w:rPr>
      </w:pPr>
      <w:r>
        <w:rPr>
          <w:rFonts w:hint="default" w:ascii="Times New Roman" w:hAnsi="Times New Roman" w:cs="Times New Roman"/>
        </w:rPr>
        <w:t>（3）植被恢复</w:t>
      </w:r>
    </w:p>
    <w:p w14:paraId="06FD9CA1">
      <w:pPr>
        <w:ind w:firstLine="480"/>
        <w:rPr>
          <w:rFonts w:hint="default" w:ascii="Times New Roman" w:hAnsi="Times New Roman" w:cs="Times New Roman"/>
        </w:rPr>
      </w:pPr>
      <w:r>
        <w:rPr>
          <w:rFonts w:hint="default" w:ascii="Times New Roman" w:hAnsi="Times New Roman" w:cs="Times New Roman"/>
        </w:rPr>
        <w:t>苗木栽植及条播草籽根据立地条件合理有序进行，要求在雨季或雨季来临之前实施完工，防止恶劣天气造成不必要的损失，苗木栽培顺序为：整地－施肥－植苗―浇水，草籽播种程序：整地－施肥－播种－镇压。选择有经验的专业队伍进行施工，种植过程中使用保水剂、长效肥、微量元素等，以保证林木及草种的成活率；种植完成后应重点加强管护。</w:t>
      </w:r>
    </w:p>
    <w:p w14:paraId="2EBD8CA3">
      <w:pPr>
        <w:pStyle w:val="4"/>
        <w:rPr>
          <w:rFonts w:hint="default" w:ascii="Times New Roman" w:hAnsi="Times New Roman" w:cs="Times New Roman"/>
        </w:rPr>
      </w:pPr>
      <w:r>
        <w:rPr>
          <w:rFonts w:hint="default" w:ascii="Times New Roman" w:hAnsi="Times New Roman" w:cs="Times New Roman"/>
        </w:rPr>
        <w:t>施工质量要求</w:t>
      </w:r>
    </w:p>
    <w:p w14:paraId="04BC1A30">
      <w:pPr>
        <w:ind w:firstLine="480"/>
        <w:rPr>
          <w:rFonts w:hint="default" w:ascii="Times New Roman" w:hAnsi="Times New Roman" w:cs="Times New Roman"/>
        </w:rPr>
      </w:pPr>
      <w:r>
        <w:rPr>
          <w:rFonts w:hint="default" w:ascii="Times New Roman" w:hAnsi="Times New Roman" w:cs="Times New Roman"/>
        </w:rPr>
        <w:t>水土保持工程实施后，各项治理措施必须符合规定的质量要求，并经规定的质量测定方法确定后，才能作为治理成果进行数量统计。</w:t>
      </w:r>
    </w:p>
    <w:p w14:paraId="34127125">
      <w:pPr>
        <w:ind w:firstLine="480"/>
        <w:rPr>
          <w:rFonts w:hint="default" w:ascii="Times New Roman" w:hAnsi="Times New Roman" w:cs="Times New Roman"/>
        </w:rPr>
      </w:pPr>
      <w:r>
        <w:rPr>
          <w:rFonts w:hint="default" w:ascii="Times New Roman" w:hAnsi="Times New Roman" w:cs="Times New Roman"/>
        </w:rPr>
        <w:t>根据《生产建设项目水土保持设施自主验收规程（试行）》等的相关规定执行。水土保持各项治理措施的基本要求是总体布局合理，各项措施位置符合规划要求，规格、尺寸、质量使用材料、施工方法符合施工和设计标准经暴雨考验后基本完好，满足验收。</w:t>
      </w:r>
    </w:p>
    <w:p w14:paraId="1692A9E2">
      <w:pPr>
        <w:pStyle w:val="4"/>
        <w:rPr>
          <w:rFonts w:hint="default" w:ascii="Times New Roman" w:hAnsi="Times New Roman" w:cs="Times New Roman"/>
        </w:rPr>
      </w:pPr>
      <w:r>
        <w:rPr>
          <w:rFonts w:hint="default" w:ascii="Times New Roman" w:hAnsi="Times New Roman" w:cs="Times New Roman"/>
        </w:rPr>
        <w:t>施工管理要求</w:t>
      </w:r>
    </w:p>
    <w:p w14:paraId="05ACF2C2">
      <w:pPr>
        <w:ind w:firstLine="480"/>
        <w:rPr>
          <w:rFonts w:hint="default" w:ascii="Times New Roman" w:hAnsi="Times New Roman" w:cs="Times New Roman"/>
        </w:rPr>
      </w:pPr>
      <w:r>
        <w:rPr>
          <w:rFonts w:hint="default" w:ascii="Times New Roman" w:hAnsi="Times New Roman" w:cs="Times New Roman"/>
        </w:rPr>
        <w:t>施工区域水土流失主要产生在施工期间，因此施工单位做好施工期间的水土保持临时措施极为重要。由于施工期水土流失不确定因素较多，为了减少施工期间的水土流失，根据工程区自然条件及工程的特点，提出以下临时水土保持措施要求：</w:t>
      </w:r>
    </w:p>
    <w:p w14:paraId="623A9A05">
      <w:pPr>
        <w:ind w:firstLine="480"/>
        <w:rPr>
          <w:rFonts w:hint="default" w:ascii="Times New Roman" w:hAnsi="Times New Roman" w:cs="Times New Roman"/>
        </w:rPr>
      </w:pPr>
      <w:r>
        <w:rPr>
          <w:rFonts w:hint="default" w:ascii="Times New Roman" w:hAnsi="Times New Roman" w:cs="Times New Roman"/>
        </w:rPr>
        <w:t>（1）主体工程</w:t>
      </w:r>
    </w:p>
    <w:p w14:paraId="7B7597C3">
      <w:pPr>
        <w:ind w:firstLine="480"/>
        <w:rPr>
          <w:rFonts w:hint="default" w:ascii="Times New Roman" w:hAnsi="Times New Roman" w:cs="Times New Roman"/>
        </w:rPr>
      </w:pPr>
      <w:r>
        <w:rPr>
          <w:rFonts w:hint="default" w:ascii="Times New Roman" w:hAnsi="Times New Roman" w:cs="Times New Roman"/>
        </w:rPr>
        <w:t>①加强管理，坚持文明施工，施工中严禁向周边倾倒垃圾，对于施工过程中撒落的渣料，应及时清除；</w:t>
      </w:r>
    </w:p>
    <w:p w14:paraId="5A9262ED">
      <w:pPr>
        <w:ind w:firstLine="480"/>
        <w:rPr>
          <w:rFonts w:hint="default" w:ascii="Times New Roman" w:hAnsi="Times New Roman" w:cs="Times New Roman"/>
        </w:rPr>
      </w:pPr>
      <w:r>
        <w:rPr>
          <w:rFonts w:hint="default" w:ascii="Times New Roman" w:hAnsi="Times New Roman" w:cs="Times New Roman"/>
        </w:rPr>
        <w:t>②基础开挖区域所需外调的回填土方要即运即填，加强管理，禁止乱堆乱放；</w:t>
      </w:r>
    </w:p>
    <w:p w14:paraId="10FA73C9">
      <w:pPr>
        <w:ind w:firstLine="480"/>
        <w:rPr>
          <w:rFonts w:hint="default" w:ascii="Times New Roman" w:hAnsi="Times New Roman" w:cs="Times New Roman"/>
        </w:rPr>
      </w:pPr>
      <w:r>
        <w:rPr>
          <w:rFonts w:hint="default" w:ascii="Times New Roman" w:hAnsi="Times New Roman" w:cs="Times New Roman"/>
        </w:rPr>
        <w:t>③尽可能地避开在将降雨天气条件下施工，减少施工过程中的水土流失。</w:t>
      </w:r>
    </w:p>
    <w:p w14:paraId="43381698">
      <w:pPr>
        <w:ind w:firstLine="480"/>
        <w:rPr>
          <w:rFonts w:hint="default" w:ascii="Times New Roman" w:hAnsi="Times New Roman" w:cs="Times New Roman"/>
        </w:rPr>
      </w:pPr>
      <w:r>
        <w:rPr>
          <w:rFonts w:hint="default" w:ascii="Times New Roman" w:hAnsi="Times New Roman" w:cs="Times New Roman"/>
        </w:rPr>
        <w:t>（2）施工过程中临时水土保持措施的水土保持要求</w:t>
      </w:r>
    </w:p>
    <w:p w14:paraId="6A0E5951">
      <w:pPr>
        <w:ind w:firstLine="480"/>
        <w:rPr>
          <w:rFonts w:hint="default" w:ascii="Times New Roman" w:hAnsi="Times New Roman" w:cs="Times New Roman"/>
        </w:rPr>
      </w:pPr>
      <w:r>
        <w:rPr>
          <w:rFonts w:hint="default" w:ascii="Times New Roman" w:hAnsi="Times New Roman" w:cs="Times New Roman"/>
        </w:rPr>
        <w:t>①在施工的过程中，进行洒水，防止扬尘；</w:t>
      </w:r>
    </w:p>
    <w:p w14:paraId="0AB7160A">
      <w:pPr>
        <w:ind w:firstLine="480"/>
        <w:rPr>
          <w:rFonts w:hint="default" w:ascii="Times New Roman" w:hAnsi="Times New Roman" w:cs="Times New Roman"/>
        </w:rPr>
      </w:pPr>
      <w:r>
        <w:rPr>
          <w:rFonts w:hint="default" w:ascii="Times New Roman" w:hAnsi="Times New Roman" w:cs="Times New Roman"/>
        </w:rPr>
        <w:t>②施工过程中，严格按施工时序水土保持措施、施工要求进行施工。</w:t>
      </w:r>
    </w:p>
    <w:p w14:paraId="726E2D3D">
      <w:pPr>
        <w:pStyle w:val="4"/>
        <w:rPr>
          <w:rFonts w:hint="default" w:ascii="Times New Roman" w:hAnsi="Times New Roman" w:cs="Times New Roman"/>
        </w:rPr>
      </w:pPr>
      <w:bookmarkStart w:id="100" w:name="_Toc397351589"/>
      <w:bookmarkStart w:id="101" w:name="_Toc372558504"/>
      <w:bookmarkStart w:id="102" w:name="_Toc307491971"/>
      <w:bookmarkStart w:id="103" w:name="_Toc293002035"/>
      <w:r>
        <w:rPr>
          <w:rFonts w:hint="default" w:ascii="Times New Roman" w:hAnsi="Times New Roman" w:cs="Times New Roman"/>
        </w:rPr>
        <w:t>实施进度安排</w:t>
      </w:r>
      <w:bookmarkEnd w:id="100"/>
      <w:bookmarkEnd w:id="101"/>
      <w:bookmarkEnd w:id="102"/>
      <w:bookmarkEnd w:id="103"/>
    </w:p>
    <w:p w14:paraId="452193D0">
      <w:pPr>
        <w:ind w:firstLine="480"/>
        <w:rPr>
          <w:rFonts w:hint="default" w:ascii="Times New Roman" w:hAnsi="Times New Roman" w:cs="Times New Roman"/>
        </w:rPr>
      </w:pPr>
      <w:r>
        <w:rPr>
          <w:rFonts w:hint="default" w:ascii="Times New Roman" w:hAnsi="Times New Roman" w:cs="Times New Roman"/>
        </w:rPr>
        <w:t>本工程计划于</w:t>
      </w:r>
      <w:r>
        <w:rPr>
          <w:rFonts w:hint="eastAsia" w:cs="Times New Roman"/>
          <w:lang w:eastAsia="zh-CN"/>
        </w:rPr>
        <w:t>2024年4月</w:t>
      </w:r>
      <w:r>
        <w:rPr>
          <w:rFonts w:hint="default" w:ascii="Times New Roman" w:hAnsi="Times New Roman" w:cs="Times New Roman"/>
        </w:rPr>
        <w:t>开工，</w:t>
      </w:r>
      <w:r>
        <w:rPr>
          <w:rFonts w:hint="eastAsia" w:cs="Times New Roman"/>
          <w:lang w:eastAsia="zh-CN"/>
        </w:rPr>
        <w:t>2025年6月</w:t>
      </w:r>
      <w:r>
        <w:rPr>
          <w:rFonts w:hint="default" w:ascii="Times New Roman" w:hAnsi="Times New Roman" w:cs="Times New Roman"/>
        </w:rPr>
        <w:t>完工，工期</w:t>
      </w:r>
      <w:r>
        <w:rPr>
          <w:rFonts w:hint="eastAsia" w:cs="Times New Roman"/>
          <w:lang w:eastAsia="zh-CN"/>
        </w:rPr>
        <w:t>15个月</w:t>
      </w:r>
      <w:r>
        <w:rPr>
          <w:rFonts w:hint="default" w:ascii="Times New Roman" w:hAnsi="Times New Roman" w:cs="Times New Roman"/>
        </w:rPr>
        <w:t>，本工程水土流失防治措施的实施进度，本着预防为主、及时防治的原则，根据工程进度进行安排，尽可能减少施工过程中的土壤流失，由于水土保持工程措施受主体工程施工进度的影响较大，实施时应视主体工程的实际进度进行相应的调整。水土保持措施进度安排详见下表。</w:t>
      </w:r>
    </w:p>
    <w:p w14:paraId="0DEF29F6">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表5-8                         水土保持工程施工进度表</w:t>
      </w:r>
    </w:p>
    <w:tbl>
      <w:tblPr>
        <w:tblStyle w:val="27"/>
        <w:tblW w:w="968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1676"/>
        <w:gridCol w:w="2230"/>
        <w:gridCol w:w="143"/>
        <w:gridCol w:w="143"/>
        <w:gridCol w:w="143"/>
        <w:gridCol w:w="143"/>
        <w:gridCol w:w="285"/>
        <w:gridCol w:w="499"/>
        <w:gridCol w:w="467"/>
        <w:gridCol w:w="579"/>
        <w:gridCol w:w="417"/>
        <w:gridCol w:w="417"/>
        <w:gridCol w:w="417"/>
        <w:gridCol w:w="417"/>
        <w:gridCol w:w="418"/>
        <w:gridCol w:w="434"/>
      </w:tblGrid>
      <w:tr w14:paraId="13F7D9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trPr>
        <w:tc>
          <w:tcPr>
            <w:tcW w:w="2533" w:type="dxa"/>
            <w:gridSpan w:val="2"/>
            <w:vMerge w:val="restart"/>
            <w:tcBorders>
              <w:tl2br w:val="nil"/>
              <w:tr2bl w:val="nil"/>
            </w:tcBorders>
            <w:shd w:val="clear" w:color="auto" w:fill="auto"/>
            <w:tcMar>
              <w:top w:w="0" w:type="dxa"/>
              <w:left w:w="0" w:type="dxa"/>
              <w:bottom w:w="0" w:type="dxa"/>
              <w:right w:w="0" w:type="dxa"/>
            </w:tcMar>
            <w:vAlign w:val="center"/>
          </w:tcPr>
          <w:p w14:paraId="367EDBFA">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防治分区</w:t>
            </w:r>
          </w:p>
        </w:tc>
        <w:tc>
          <w:tcPr>
            <w:tcW w:w="2230" w:type="dxa"/>
            <w:vMerge w:val="restart"/>
            <w:tcBorders>
              <w:tl2br w:val="nil"/>
              <w:tr2bl w:val="nil"/>
            </w:tcBorders>
            <w:shd w:val="clear" w:color="auto" w:fill="auto"/>
            <w:tcMar>
              <w:top w:w="0" w:type="dxa"/>
              <w:left w:w="0" w:type="dxa"/>
              <w:bottom w:w="0" w:type="dxa"/>
              <w:right w:w="0" w:type="dxa"/>
            </w:tcMar>
            <w:vAlign w:val="center"/>
          </w:tcPr>
          <w:p w14:paraId="13DBE305">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防治措施</w:t>
            </w:r>
          </w:p>
        </w:tc>
        <w:tc>
          <w:tcPr>
            <w:tcW w:w="4922" w:type="dxa"/>
            <w:gridSpan w:val="14"/>
            <w:tcBorders>
              <w:tl2br w:val="nil"/>
              <w:tr2bl w:val="nil"/>
            </w:tcBorders>
            <w:shd w:val="clear" w:color="auto" w:fill="auto"/>
            <w:noWrap/>
            <w:tcMar>
              <w:top w:w="0" w:type="dxa"/>
              <w:left w:w="0" w:type="dxa"/>
              <w:bottom w:w="0" w:type="dxa"/>
              <w:right w:w="0" w:type="dxa"/>
            </w:tcMar>
            <w:vAlign w:val="center"/>
          </w:tcPr>
          <w:p w14:paraId="079121BE">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施工工期</w:t>
            </w:r>
          </w:p>
        </w:tc>
      </w:tr>
      <w:tr w14:paraId="361F78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trPr>
        <w:tc>
          <w:tcPr>
            <w:tcW w:w="2533" w:type="dxa"/>
            <w:gridSpan w:val="2"/>
            <w:vMerge w:val="continue"/>
            <w:tcBorders>
              <w:tl2br w:val="nil"/>
              <w:tr2bl w:val="nil"/>
            </w:tcBorders>
            <w:shd w:val="clear" w:color="auto" w:fill="auto"/>
            <w:tcMar>
              <w:top w:w="0" w:type="dxa"/>
              <w:left w:w="0" w:type="dxa"/>
              <w:bottom w:w="0" w:type="dxa"/>
              <w:right w:w="0" w:type="dxa"/>
            </w:tcMar>
            <w:vAlign w:val="center"/>
          </w:tcPr>
          <w:p w14:paraId="38AC64F7">
            <w:pPr>
              <w:spacing w:line="240" w:lineRule="auto"/>
              <w:ind w:firstLine="0" w:firstLineChars="0"/>
              <w:jc w:val="center"/>
              <w:rPr>
                <w:rFonts w:hint="default" w:ascii="Times New Roman" w:hAnsi="Times New Roman" w:cs="Times New Roman"/>
                <w:sz w:val="21"/>
                <w:szCs w:val="21"/>
              </w:rPr>
            </w:pPr>
          </w:p>
        </w:tc>
        <w:tc>
          <w:tcPr>
            <w:tcW w:w="2230" w:type="dxa"/>
            <w:vMerge w:val="continue"/>
            <w:tcBorders>
              <w:tl2br w:val="nil"/>
              <w:tr2bl w:val="nil"/>
            </w:tcBorders>
            <w:shd w:val="clear" w:color="auto" w:fill="auto"/>
            <w:tcMar>
              <w:top w:w="0" w:type="dxa"/>
              <w:left w:w="0" w:type="dxa"/>
              <w:bottom w:w="0" w:type="dxa"/>
              <w:right w:w="0" w:type="dxa"/>
            </w:tcMar>
            <w:vAlign w:val="center"/>
          </w:tcPr>
          <w:p w14:paraId="4BF226C3">
            <w:pPr>
              <w:spacing w:line="240" w:lineRule="auto"/>
              <w:ind w:firstLine="0" w:firstLineChars="0"/>
              <w:jc w:val="center"/>
              <w:rPr>
                <w:rFonts w:hint="default" w:ascii="Times New Roman" w:hAnsi="Times New Roman" w:cs="Times New Roman"/>
                <w:sz w:val="21"/>
                <w:szCs w:val="21"/>
              </w:rPr>
            </w:pPr>
          </w:p>
        </w:tc>
        <w:tc>
          <w:tcPr>
            <w:tcW w:w="2402" w:type="dxa"/>
            <w:gridSpan w:val="8"/>
            <w:tcBorders>
              <w:tl2br w:val="nil"/>
              <w:tr2bl w:val="nil"/>
            </w:tcBorders>
            <w:shd w:val="clear" w:color="auto" w:fill="auto"/>
            <w:noWrap/>
            <w:tcMar>
              <w:top w:w="0" w:type="dxa"/>
              <w:left w:w="0" w:type="dxa"/>
              <w:bottom w:w="0" w:type="dxa"/>
              <w:right w:w="0" w:type="dxa"/>
            </w:tcMar>
            <w:vAlign w:val="center"/>
          </w:tcPr>
          <w:p w14:paraId="2365A823">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2024年</w:t>
            </w:r>
          </w:p>
        </w:tc>
        <w:tc>
          <w:tcPr>
            <w:tcW w:w="2520" w:type="dxa"/>
            <w:gridSpan w:val="6"/>
            <w:tcBorders>
              <w:tl2br w:val="nil"/>
              <w:tr2bl w:val="nil"/>
            </w:tcBorders>
            <w:shd w:val="clear" w:color="auto" w:fill="auto"/>
            <w:noWrap/>
            <w:tcMar>
              <w:top w:w="0" w:type="dxa"/>
              <w:left w:w="0" w:type="dxa"/>
              <w:bottom w:w="0" w:type="dxa"/>
              <w:right w:w="0" w:type="dxa"/>
            </w:tcMar>
            <w:vAlign w:val="center"/>
          </w:tcPr>
          <w:p w14:paraId="2C41804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202</w:t>
            </w:r>
            <w:r>
              <w:rPr>
                <w:rFonts w:hint="eastAsia" w:ascii="Times New Roman" w:hAnsi="Times New Roman" w:cs="Times New Roman"/>
                <w:kern w:val="0"/>
                <w:sz w:val="21"/>
                <w:szCs w:val="21"/>
                <w:lang w:val="en-US" w:eastAsia="zh-CN" w:bidi="ar"/>
              </w:rPr>
              <w:t>5</w:t>
            </w:r>
            <w:r>
              <w:rPr>
                <w:rFonts w:hint="default" w:ascii="Times New Roman" w:hAnsi="Times New Roman" w:cs="Times New Roman"/>
                <w:kern w:val="0"/>
                <w:sz w:val="21"/>
                <w:szCs w:val="21"/>
                <w:lang w:bidi="ar"/>
              </w:rPr>
              <w:t>年</w:t>
            </w:r>
          </w:p>
        </w:tc>
      </w:tr>
      <w:tr w14:paraId="57F9B9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blHeader/>
        </w:trPr>
        <w:tc>
          <w:tcPr>
            <w:tcW w:w="2533" w:type="dxa"/>
            <w:gridSpan w:val="2"/>
            <w:vMerge w:val="continue"/>
            <w:tcBorders>
              <w:tl2br w:val="nil"/>
              <w:tr2bl w:val="nil"/>
            </w:tcBorders>
            <w:shd w:val="clear" w:color="auto" w:fill="auto"/>
            <w:tcMar>
              <w:top w:w="0" w:type="dxa"/>
              <w:left w:w="0" w:type="dxa"/>
              <w:bottom w:w="0" w:type="dxa"/>
              <w:right w:w="0" w:type="dxa"/>
            </w:tcMar>
            <w:vAlign w:val="center"/>
          </w:tcPr>
          <w:p w14:paraId="0B8DB8D6">
            <w:pPr>
              <w:spacing w:line="240" w:lineRule="auto"/>
              <w:ind w:firstLine="0" w:firstLineChars="0"/>
              <w:jc w:val="center"/>
              <w:rPr>
                <w:rFonts w:hint="default" w:ascii="Times New Roman" w:hAnsi="Times New Roman" w:cs="Times New Roman"/>
                <w:sz w:val="21"/>
                <w:szCs w:val="21"/>
              </w:rPr>
            </w:pPr>
          </w:p>
        </w:tc>
        <w:tc>
          <w:tcPr>
            <w:tcW w:w="2230" w:type="dxa"/>
            <w:vMerge w:val="continue"/>
            <w:tcBorders>
              <w:tl2br w:val="nil"/>
              <w:tr2bl w:val="nil"/>
            </w:tcBorders>
            <w:shd w:val="clear" w:color="auto" w:fill="auto"/>
            <w:tcMar>
              <w:top w:w="0" w:type="dxa"/>
              <w:left w:w="0" w:type="dxa"/>
              <w:bottom w:w="0" w:type="dxa"/>
              <w:right w:w="0" w:type="dxa"/>
            </w:tcMar>
            <w:vAlign w:val="center"/>
          </w:tcPr>
          <w:p w14:paraId="40AB24C9">
            <w:pPr>
              <w:spacing w:line="240" w:lineRule="auto"/>
              <w:ind w:firstLine="0" w:firstLineChars="0"/>
              <w:jc w:val="center"/>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63CCD5A0">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143" w:type="dxa"/>
            <w:tcBorders>
              <w:tl2br w:val="nil"/>
              <w:tr2bl w:val="nil"/>
            </w:tcBorders>
            <w:shd w:val="clear" w:color="auto" w:fill="auto"/>
            <w:noWrap/>
            <w:tcMar>
              <w:top w:w="0" w:type="dxa"/>
              <w:left w:w="0" w:type="dxa"/>
              <w:bottom w:w="0" w:type="dxa"/>
              <w:right w:w="0" w:type="dxa"/>
            </w:tcMar>
            <w:vAlign w:val="center"/>
          </w:tcPr>
          <w:p w14:paraId="1DB582AE">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143" w:type="dxa"/>
            <w:tcBorders>
              <w:tl2br w:val="nil"/>
              <w:tr2bl w:val="nil"/>
            </w:tcBorders>
            <w:shd w:val="clear" w:color="auto" w:fill="auto"/>
            <w:noWrap/>
            <w:tcMar>
              <w:top w:w="0" w:type="dxa"/>
              <w:left w:w="0" w:type="dxa"/>
              <w:bottom w:w="0" w:type="dxa"/>
              <w:right w:w="0" w:type="dxa"/>
            </w:tcMar>
            <w:vAlign w:val="center"/>
          </w:tcPr>
          <w:p w14:paraId="3B926741">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143" w:type="dxa"/>
            <w:tcBorders>
              <w:tl2br w:val="nil"/>
              <w:tr2bl w:val="nil"/>
            </w:tcBorders>
            <w:shd w:val="clear" w:color="auto" w:fill="auto"/>
            <w:noWrap/>
            <w:tcMar>
              <w:top w:w="0" w:type="dxa"/>
              <w:left w:w="0" w:type="dxa"/>
              <w:bottom w:w="0" w:type="dxa"/>
              <w:right w:w="0" w:type="dxa"/>
            </w:tcMar>
            <w:vAlign w:val="center"/>
          </w:tcPr>
          <w:p w14:paraId="165E4EA1">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85" w:type="dxa"/>
            <w:tcBorders>
              <w:tl2br w:val="nil"/>
              <w:tr2bl w:val="nil"/>
            </w:tcBorders>
            <w:shd w:val="clear" w:color="auto" w:fill="auto"/>
            <w:noWrap/>
            <w:tcMar>
              <w:top w:w="0" w:type="dxa"/>
              <w:left w:w="0" w:type="dxa"/>
              <w:bottom w:w="0" w:type="dxa"/>
              <w:right w:w="0" w:type="dxa"/>
            </w:tcMar>
            <w:vAlign w:val="center"/>
          </w:tcPr>
          <w:p w14:paraId="62B85F21">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499" w:type="dxa"/>
            <w:tcBorders>
              <w:tl2br w:val="nil"/>
              <w:tr2bl w:val="nil"/>
            </w:tcBorders>
          </w:tcPr>
          <w:p w14:paraId="5694A506">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467" w:type="dxa"/>
            <w:tcBorders>
              <w:tl2br w:val="nil"/>
              <w:tr2bl w:val="nil"/>
            </w:tcBorders>
          </w:tcPr>
          <w:p w14:paraId="20BF02A5">
            <w:pPr>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11</w:t>
            </w:r>
          </w:p>
        </w:tc>
        <w:tc>
          <w:tcPr>
            <w:tcW w:w="579" w:type="dxa"/>
            <w:tcBorders>
              <w:tl2br w:val="nil"/>
              <w:tr2bl w:val="nil"/>
            </w:tcBorders>
          </w:tcPr>
          <w:p w14:paraId="5CCD2C48">
            <w:pPr>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12</w:t>
            </w:r>
          </w:p>
        </w:tc>
        <w:tc>
          <w:tcPr>
            <w:tcW w:w="417" w:type="dxa"/>
            <w:tcBorders>
              <w:tl2br w:val="nil"/>
              <w:tr2bl w:val="nil"/>
            </w:tcBorders>
          </w:tcPr>
          <w:p w14:paraId="53963247">
            <w:pPr>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1</w:t>
            </w:r>
          </w:p>
        </w:tc>
        <w:tc>
          <w:tcPr>
            <w:tcW w:w="417" w:type="dxa"/>
            <w:tcBorders>
              <w:tl2br w:val="nil"/>
              <w:tr2bl w:val="nil"/>
            </w:tcBorders>
          </w:tcPr>
          <w:p w14:paraId="171EF4C5">
            <w:pPr>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2</w:t>
            </w:r>
          </w:p>
        </w:tc>
        <w:tc>
          <w:tcPr>
            <w:tcW w:w="417" w:type="dxa"/>
            <w:tcBorders>
              <w:tl2br w:val="nil"/>
              <w:tr2bl w:val="nil"/>
            </w:tcBorders>
          </w:tcPr>
          <w:p w14:paraId="6B923298">
            <w:pPr>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3</w:t>
            </w:r>
          </w:p>
        </w:tc>
        <w:tc>
          <w:tcPr>
            <w:tcW w:w="417" w:type="dxa"/>
            <w:tcBorders>
              <w:tl2br w:val="nil"/>
              <w:tr2bl w:val="nil"/>
            </w:tcBorders>
          </w:tcPr>
          <w:p w14:paraId="6D79DC29">
            <w:pPr>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4</w:t>
            </w:r>
          </w:p>
        </w:tc>
        <w:tc>
          <w:tcPr>
            <w:tcW w:w="418" w:type="dxa"/>
            <w:tcBorders>
              <w:tl2br w:val="nil"/>
              <w:tr2bl w:val="nil"/>
            </w:tcBorders>
          </w:tcPr>
          <w:p w14:paraId="5563A222">
            <w:pPr>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5</w:t>
            </w:r>
          </w:p>
        </w:tc>
        <w:tc>
          <w:tcPr>
            <w:tcW w:w="434" w:type="dxa"/>
            <w:tcBorders>
              <w:tl2br w:val="nil"/>
              <w:tr2bl w:val="nil"/>
            </w:tcBorders>
          </w:tcPr>
          <w:p w14:paraId="75577897">
            <w:pPr>
              <w:spacing w:line="240" w:lineRule="auto"/>
              <w:ind w:firstLine="0" w:firstLineChars="0"/>
              <w:jc w:val="center"/>
              <w:textAlignment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6</w:t>
            </w:r>
          </w:p>
        </w:tc>
      </w:tr>
      <w:tr w14:paraId="01434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restart"/>
            <w:tcBorders>
              <w:tl2br w:val="nil"/>
              <w:tr2bl w:val="nil"/>
            </w:tcBorders>
            <w:shd w:val="clear" w:color="auto" w:fill="auto"/>
            <w:tcMar>
              <w:top w:w="0" w:type="dxa"/>
              <w:left w:w="0" w:type="dxa"/>
              <w:bottom w:w="0" w:type="dxa"/>
              <w:right w:w="0" w:type="dxa"/>
            </w:tcMar>
            <w:vAlign w:val="center"/>
          </w:tcPr>
          <w:p w14:paraId="6B07FBE5">
            <w:pPr>
              <w:spacing w:line="240" w:lineRule="auto"/>
              <w:ind w:firstLine="0" w:firstLineChars="0"/>
              <w:jc w:val="center"/>
              <w:textAlignment w:val="center"/>
              <w:rPr>
                <w:rFonts w:hint="eastAsia"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地块一</w:t>
            </w:r>
          </w:p>
        </w:tc>
        <w:tc>
          <w:tcPr>
            <w:tcW w:w="1676" w:type="dxa"/>
            <w:vMerge w:val="restart"/>
            <w:tcBorders>
              <w:tl2br w:val="nil"/>
              <w:tr2bl w:val="nil"/>
            </w:tcBorders>
            <w:shd w:val="clear" w:color="auto" w:fill="auto"/>
            <w:tcMar>
              <w:top w:w="0" w:type="dxa"/>
              <w:left w:w="0" w:type="dxa"/>
              <w:bottom w:w="0" w:type="dxa"/>
              <w:right w:w="0" w:type="dxa"/>
            </w:tcMar>
            <w:vAlign w:val="center"/>
          </w:tcPr>
          <w:p w14:paraId="3F43C64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建构筑物区</w:t>
            </w:r>
          </w:p>
        </w:tc>
        <w:tc>
          <w:tcPr>
            <w:tcW w:w="2230" w:type="dxa"/>
            <w:tcBorders>
              <w:tl2br w:val="nil"/>
              <w:tr2bl w:val="nil"/>
            </w:tcBorders>
            <w:shd w:val="clear" w:color="auto" w:fill="auto"/>
            <w:tcMar>
              <w:top w:w="0" w:type="dxa"/>
              <w:left w:w="0" w:type="dxa"/>
              <w:bottom w:w="0" w:type="dxa"/>
              <w:right w:w="0" w:type="dxa"/>
            </w:tcMar>
            <w:vAlign w:val="center"/>
          </w:tcPr>
          <w:p w14:paraId="2E32C5D7">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表土剥离</w:t>
            </w:r>
          </w:p>
        </w:tc>
        <w:tc>
          <w:tcPr>
            <w:tcW w:w="143" w:type="dxa"/>
            <w:tcBorders>
              <w:tl2br w:val="nil"/>
              <w:tr2bl w:val="nil"/>
            </w:tcBorders>
            <w:shd w:val="clear" w:color="auto" w:fill="auto"/>
            <w:noWrap/>
            <w:tcMar>
              <w:top w:w="0" w:type="dxa"/>
              <w:left w:w="0" w:type="dxa"/>
              <w:bottom w:w="0" w:type="dxa"/>
              <w:right w:w="0" w:type="dxa"/>
            </w:tcMar>
            <w:vAlign w:val="center"/>
          </w:tcPr>
          <w:p w14:paraId="0F34CD39">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247726F3">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136D283">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CFC774F">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6F47228C">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3ADCC918">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109CFB45">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4ADBD19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0C70BED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A7C030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15005A5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6796DA88">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tcPr>
          <w:p w14:paraId="056EB2C7">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0ACE251E">
            <w:pPr>
              <w:spacing w:line="240" w:lineRule="auto"/>
              <w:ind w:firstLine="0" w:firstLineChars="0"/>
              <w:rPr>
                <w:rFonts w:hint="default" w:ascii="Times New Roman" w:hAnsi="Times New Roman" w:cs="Times New Roman"/>
                <w:sz w:val="21"/>
                <w:szCs w:val="21"/>
              </w:rPr>
            </w:pPr>
          </w:p>
        </w:tc>
      </w:tr>
      <w:tr w14:paraId="0375EA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1FB9D27F">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791944E0">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77F4BD92">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仿宋_GB2312" w:cs="Times New Roman"/>
                <w:sz w:val="21"/>
                <w:szCs w:val="21"/>
                <w:lang w:val="en-US" w:eastAsia="zh-CN"/>
              </w:rPr>
              <w:t>彩条布临时苫盖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389AC63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755167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38E20B6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21E157AD">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5489EE79">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732B591E">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542D58DD">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764FB753">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C4E52D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2C7EFEB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5FC834B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0825486">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23653853">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5D20B51C">
            <w:pPr>
              <w:spacing w:line="240" w:lineRule="auto"/>
              <w:ind w:firstLine="0" w:firstLineChars="0"/>
              <w:rPr>
                <w:rFonts w:hint="default" w:ascii="Times New Roman" w:hAnsi="Times New Roman" w:cs="Times New Roman"/>
                <w:sz w:val="21"/>
                <w:szCs w:val="21"/>
              </w:rPr>
            </w:pPr>
          </w:p>
        </w:tc>
      </w:tr>
      <w:tr w14:paraId="2890BC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045F6CA6">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248B9775">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34F9D552">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水土保持管理要求</w:t>
            </w:r>
          </w:p>
        </w:tc>
        <w:tc>
          <w:tcPr>
            <w:tcW w:w="143" w:type="dxa"/>
            <w:tcBorders>
              <w:tl2br w:val="nil"/>
              <w:tr2bl w:val="nil"/>
            </w:tcBorders>
            <w:shd w:val="clear" w:color="auto" w:fill="FFFF00"/>
            <w:noWrap/>
            <w:tcMar>
              <w:top w:w="0" w:type="dxa"/>
              <w:left w:w="0" w:type="dxa"/>
              <w:bottom w:w="0" w:type="dxa"/>
              <w:right w:w="0" w:type="dxa"/>
            </w:tcMar>
            <w:vAlign w:val="center"/>
          </w:tcPr>
          <w:p w14:paraId="7665F5A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2AB7A13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6E00E20F">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3AED3C1F">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201C581B">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00A6B578">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5DD07AED">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6CC1C693">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3C6903A5">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52632BB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7A9C6A0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3EAB65B0">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484B3070">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12D32097">
            <w:pPr>
              <w:spacing w:line="240" w:lineRule="auto"/>
              <w:ind w:firstLine="0" w:firstLineChars="0"/>
              <w:rPr>
                <w:rFonts w:hint="default" w:ascii="Times New Roman" w:hAnsi="Times New Roman" w:cs="Times New Roman"/>
                <w:sz w:val="21"/>
                <w:szCs w:val="21"/>
              </w:rPr>
            </w:pPr>
          </w:p>
        </w:tc>
      </w:tr>
      <w:tr w14:paraId="72E1C0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371BDF36">
            <w:pPr>
              <w:spacing w:line="240" w:lineRule="auto"/>
              <w:ind w:firstLine="0" w:firstLineChars="0"/>
              <w:jc w:val="center"/>
              <w:rPr>
                <w:rFonts w:hint="default" w:ascii="Times New Roman" w:hAnsi="Times New Roman" w:cs="Times New Roman"/>
                <w:sz w:val="21"/>
                <w:szCs w:val="21"/>
              </w:rPr>
            </w:pPr>
          </w:p>
        </w:tc>
        <w:tc>
          <w:tcPr>
            <w:tcW w:w="1676" w:type="dxa"/>
            <w:vMerge w:val="restart"/>
            <w:tcBorders>
              <w:tl2br w:val="nil"/>
              <w:tr2bl w:val="nil"/>
            </w:tcBorders>
            <w:shd w:val="clear" w:color="auto" w:fill="auto"/>
            <w:tcMar>
              <w:top w:w="0" w:type="dxa"/>
              <w:left w:w="0" w:type="dxa"/>
              <w:bottom w:w="0" w:type="dxa"/>
              <w:right w:w="0" w:type="dxa"/>
            </w:tcMar>
            <w:vAlign w:val="center"/>
          </w:tcPr>
          <w:p w14:paraId="3B6C07C4">
            <w:pPr>
              <w:spacing w:line="240" w:lineRule="auto"/>
              <w:ind w:firstLine="0" w:firstLineChars="0"/>
              <w:jc w:val="center"/>
              <w:rPr>
                <w:rFonts w:hint="eastAsia" w:ascii="Times New Roman" w:hAnsi="Times New Roman" w:eastAsia="仿宋_GB2312" w:cs="Times New Roman"/>
                <w:sz w:val="21"/>
                <w:szCs w:val="21"/>
                <w:lang w:eastAsia="zh-CN"/>
              </w:rPr>
            </w:pPr>
            <w:r>
              <w:rPr>
                <w:rFonts w:hint="eastAsia" w:cs="Times New Roman"/>
                <w:kern w:val="0"/>
                <w:sz w:val="21"/>
                <w:szCs w:val="21"/>
                <w:lang w:eastAsia="zh-CN" w:bidi="ar"/>
              </w:rPr>
              <w:t>道路及硬化区</w:t>
            </w:r>
          </w:p>
        </w:tc>
        <w:tc>
          <w:tcPr>
            <w:tcW w:w="2230" w:type="dxa"/>
            <w:tcBorders>
              <w:tl2br w:val="nil"/>
              <w:tr2bl w:val="nil"/>
            </w:tcBorders>
            <w:shd w:val="clear" w:color="auto" w:fill="auto"/>
            <w:tcMar>
              <w:top w:w="0" w:type="dxa"/>
              <w:left w:w="0" w:type="dxa"/>
              <w:bottom w:w="0" w:type="dxa"/>
              <w:right w:w="0" w:type="dxa"/>
            </w:tcMar>
            <w:vAlign w:val="center"/>
          </w:tcPr>
          <w:p w14:paraId="67B00676">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表土剥离</w:t>
            </w:r>
          </w:p>
        </w:tc>
        <w:tc>
          <w:tcPr>
            <w:tcW w:w="143" w:type="dxa"/>
            <w:tcBorders>
              <w:tl2br w:val="nil"/>
              <w:tr2bl w:val="nil"/>
            </w:tcBorders>
            <w:shd w:val="clear" w:color="auto" w:fill="auto"/>
            <w:noWrap/>
            <w:tcMar>
              <w:top w:w="0" w:type="dxa"/>
              <w:left w:w="0" w:type="dxa"/>
              <w:bottom w:w="0" w:type="dxa"/>
              <w:right w:w="0" w:type="dxa"/>
            </w:tcMar>
            <w:vAlign w:val="center"/>
          </w:tcPr>
          <w:p w14:paraId="23C537DD">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23394226">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6C227B3E">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4E31CC4E">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285" w:type="dxa"/>
            <w:tcBorders>
              <w:tl2br w:val="nil"/>
              <w:tr2bl w:val="nil"/>
            </w:tcBorders>
            <w:shd w:val="clear" w:color="auto" w:fill="FFFF00"/>
            <w:noWrap/>
            <w:tcMar>
              <w:top w:w="0" w:type="dxa"/>
              <w:left w:w="0" w:type="dxa"/>
              <w:bottom w:w="0" w:type="dxa"/>
              <w:right w:w="0" w:type="dxa"/>
            </w:tcMar>
            <w:vAlign w:val="center"/>
          </w:tcPr>
          <w:p w14:paraId="56B34733">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99" w:type="dxa"/>
            <w:tcBorders>
              <w:tl2br w:val="nil"/>
              <w:tr2bl w:val="nil"/>
            </w:tcBorders>
            <w:shd w:val="clear" w:color="auto" w:fill="FFFF00"/>
            <w:vAlign w:val="top"/>
          </w:tcPr>
          <w:p w14:paraId="226B150A">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67" w:type="dxa"/>
            <w:tcBorders>
              <w:tl2br w:val="nil"/>
              <w:tr2bl w:val="nil"/>
            </w:tcBorders>
            <w:shd w:val="clear" w:color="auto" w:fill="auto"/>
          </w:tcPr>
          <w:p w14:paraId="1883AABD">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auto"/>
          </w:tcPr>
          <w:p w14:paraId="461828E5">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5BEB0A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3C7524E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7CE5E77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C0371E7">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1DCAD300">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735C3098">
            <w:pPr>
              <w:spacing w:line="240" w:lineRule="auto"/>
              <w:ind w:firstLine="0" w:firstLineChars="0"/>
              <w:rPr>
                <w:rFonts w:hint="default" w:ascii="Times New Roman" w:hAnsi="Times New Roman" w:cs="Times New Roman"/>
                <w:sz w:val="21"/>
                <w:szCs w:val="21"/>
              </w:rPr>
            </w:pPr>
          </w:p>
        </w:tc>
      </w:tr>
      <w:tr w14:paraId="358E4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301A5D2E">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64BC53F7">
            <w:pPr>
              <w:spacing w:line="240" w:lineRule="auto"/>
              <w:ind w:firstLine="0" w:firstLineChars="0"/>
              <w:jc w:val="center"/>
              <w:rPr>
                <w:rFonts w:hint="eastAsia" w:cs="Times New Roman"/>
                <w:kern w:val="0"/>
                <w:sz w:val="21"/>
                <w:szCs w:val="21"/>
                <w:lang w:eastAsia="zh-CN" w:bidi="ar"/>
              </w:rPr>
            </w:pPr>
          </w:p>
        </w:tc>
        <w:tc>
          <w:tcPr>
            <w:tcW w:w="2230" w:type="dxa"/>
            <w:tcBorders>
              <w:tl2br w:val="nil"/>
              <w:tr2bl w:val="nil"/>
            </w:tcBorders>
            <w:shd w:val="clear" w:color="auto" w:fill="auto"/>
            <w:tcMar>
              <w:top w:w="0" w:type="dxa"/>
              <w:left w:w="0" w:type="dxa"/>
              <w:bottom w:w="0" w:type="dxa"/>
              <w:right w:w="0" w:type="dxa"/>
            </w:tcMar>
            <w:vAlign w:val="center"/>
          </w:tcPr>
          <w:p w14:paraId="52FF29B0">
            <w:pPr>
              <w:spacing w:line="240" w:lineRule="auto"/>
              <w:ind w:firstLine="0" w:firstLineChars="0"/>
              <w:jc w:val="center"/>
              <w:textAlignment w:val="center"/>
              <w:rPr>
                <w:rFonts w:hint="default" w:cs="Times New Roman"/>
                <w:kern w:val="0"/>
                <w:sz w:val="21"/>
                <w:szCs w:val="21"/>
                <w:lang w:val="en-US" w:eastAsia="zh-CN" w:bidi="ar"/>
              </w:rPr>
            </w:pPr>
            <w:r>
              <w:rPr>
                <w:rFonts w:hint="eastAsia" w:cs="Times New Roman"/>
                <w:kern w:val="0"/>
                <w:sz w:val="21"/>
                <w:szCs w:val="21"/>
                <w:lang w:val="en-US" w:eastAsia="zh-CN" w:bidi="ar"/>
              </w:rPr>
              <w:t>雨水管网</w:t>
            </w:r>
          </w:p>
        </w:tc>
        <w:tc>
          <w:tcPr>
            <w:tcW w:w="143" w:type="dxa"/>
            <w:tcBorders>
              <w:tl2br w:val="nil"/>
              <w:tr2bl w:val="nil"/>
            </w:tcBorders>
            <w:shd w:val="clear" w:color="auto" w:fill="auto"/>
            <w:noWrap/>
            <w:tcMar>
              <w:top w:w="0" w:type="dxa"/>
              <w:left w:w="0" w:type="dxa"/>
              <w:bottom w:w="0" w:type="dxa"/>
              <w:right w:w="0" w:type="dxa"/>
            </w:tcMar>
            <w:vAlign w:val="center"/>
          </w:tcPr>
          <w:p w14:paraId="03861940">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74BE7BAA">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5E307818">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4F0D6757">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285" w:type="dxa"/>
            <w:tcBorders>
              <w:tl2br w:val="nil"/>
              <w:tr2bl w:val="nil"/>
            </w:tcBorders>
            <w:shd w:val="clear" w:color="auto" w:fill="FFFF00"/>
            <w:noWrap/>
            <w:tcMar>
              <w:top w:w="0" w:type="dxa"/>
              <w:left w:w="0" w:type="dxa"/>
              <w:bottom w:w="0" w:type="dxa"/>
              <w:right w:w="0" w:type="dxa"/>
            </w:tcMar>
            <w:vAlign w:val="center"/>
          </w:tcPr>
          <w:p w14:paraId="343E57E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99" w:type="dxa"/>
            <w:tcBorders>
              <w:tl2br w:val="nil"/>
              <w:tr2bl w:val="nil"/>
            </w:tcBorders>
            <w:shd w:val="clear" w:color="auto" w:fill="FFFF00"/>
            <w:vAlign w:val="top"/>
          </w:tcPr>
          <w:p w14:paraId="7E5E5FCA">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67" w:type="dxa"/>
            <w:tcBorders>
              <w:tl2br w:val="nil"/>
              <w:tr2bl w:val="nil"/>
            </w:tcBorders>
            <w:shd w:val="clear" w:color="auto" w:fill="FFFF00"/>
          </w:tcPr>
          <w:p w14:paraId="21CEA268">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5E6CC69C">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C5977A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ACF04D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50B09873">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5209BB8C">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08AF5A44">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2F0F0B5D">
            <w:pPr>
              <w:spacing w:line="240" w:lineRule="auto"/>
              <w:ind w:firstLine="0" w:firstLineChars="0"/>
              <w:rPr>
                <w:rFonts w:hint="default" w:ascii="Times New Roman" w:hAnsi="Times New Roman" w:cs="Times New Roman"/>
                <w:sz w:val="21"/>
                <w:szCs w:val="21"/>
              </w:rPr>
            </w:pPr>
          </w:p>
        </w:tc>
      </w:tr>
      <w:tr w14:paraId="0CF4B7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149C5678">
            <w:pPr>
              <w:spacing w:line="240" w:lineRule="auto"/>
              <w:ind w:firstLine="0" w:firstLineChars="0"/>
              <w:jc w:val="center"/>
              <w:rPr>
                <w:rFonts w:hint="eastAsia" w:cs="Times New Roman"/>
                <w:kern w:val="0"/>
                <w:sz w:val="21"/>
                <w:szCs w:val="21"/>
                <w:lang w:eastAsia="zh-CN"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63F34BDC">
            <w:pPr>
              <w:spacing w:line="240" w:lineRule="auto"/>
              <w:ind w:firstLine="0" w:firstLineChars="0"/>
              <w:jc w:val="center"/>
              <w:rPr>
                <w:rFonts w:hint="eastAsia" w:ascii="Times New Roman" w:hAnsi="Times New Roman" w:eastAsia="仿宋_GB2312" w:cs="Times New Roman"/>
                <w:sz w:val="21"/>
                <w:szCs w:val="21"/>
                <w:lang w:eastAsia="zh-CN"/>
              </w:rPr>
            </w:pPr>
          </w:p>
        </w:tc>
        <w:tc>
          <w:tcPr>
            <w:tcW w:w="2230" w:type="dxa"/>
            <w:tcBorders>
              <w:tl2br w:val="nil"/>
              <w:tr2bl w:val="nil"/>
            </w:tcBorders>
            <w:shd w:val="clear" w:color="auto" w:fill="auto"/>
            <w:tcMar>
              <w:top w:w="0" w:type="dxa"/>
              <w:left w:w="0" w:type="dxa"/>
              <w:bottom w:w="0" w:type="dxa"/>
              <w:right w:w="0" w:type="dxa"/>
            </w:tcMar>
            <w:vAlign w:val="center"/>
          </w:tcPr>
          <w:p w14:paraId="471E9CB5">
            <w:pPr>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彩条布临时苫盖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65ECC69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6D79A5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3AF4ACB">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441072E">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41EEB359">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769DB3FA">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41B287AB">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2E3CF0D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32B96EBC">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5740F0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667C36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5F3EB1E7">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12B82383">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3687860A">
            <w:pPr>
              <w:spacing w:line="240" w:lineRule="auto"/>
              <w:ind w:firstLine="0" w:firstLineChars="0"/>
              <w:rPr>
                <w:rFonts w:hint="default" w:ascii="Times New Roman" w:hAnsi="Times New Roman" w:cs="Times New Roman"/>
                <w:sz w:val="21"/>
                <w:szCs w:val="21"/>
              </w:rPr>
            </w:pPr>
          </w:p>
        </w:tc>
      </w:tr>
      <w:tr w14:paraId="499707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60DD3D0E">
            <w:pPr>
              <w:spacing w:line="240" w:lineRule="auto"/>
              <w:ind w:firstLine="0" w:firstLineChars="0"/>
              <w:jc w:val="center"/>
              <w:rPr>
                <w:rFonts w:hint="eastAsia" w:cs="Times New Roman"/>
                <w:kern w:val="0"/>
                <w:sz w:val="21"/>
                <w:szCs w:val="21"/>
                <w:lang w:eastAsia="zh-CN"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0E64CEAC">
            <w:pPr>
              <w:spacing w:line="240" w:lineRule="auto"/>
              <w:ind w:firstLine="0" w:firstLineChars="0"/>
              <w:jc w:val="center"/>
              <w:rPr>
                <w:rFonts w:hint="eastAsia" w:cs="Times New Roman"/>
                <w:kern w:val="0"/>
                <w:sz w:val="21"/>
                <w:szCs w:val="21"/>
                <w:lang w:eastAsia="zh-CN" w:bidi="ar"/>
              </w:rPr>
            </w:pPr>
          </w:p>
        </w:tc>
        <w:tc>
          <w:tcPr>
            <w:tcW w:w="2230" w:type="dxa"/>
            <w:tcBorders>
              <w:tl2br w:val="nil"/>
              <w:tr2bl w:val="nil"/>
            </w:tcBorders>
            <w:shd w:val="clear" w:color="auto" w:fill="auto"/>
            <w:tcMar>
              <w:top w:w="0" w:type="dxa"/>
              <w:left w:w="0" w:type="dxa"/>
              <w:bottom w:w="0" w:type="dxa"/>
              <w:right w:w="0" w:type="dxa"/>
            </w:tcMar>
            <w:vAlign w:val="center"/>
          </w:tcPr>
          <w:p w14:paraId="18020810">
            <w:pPr>
              <w:spacing w:line="240" w:lineRule="auto"/>
              <w:ind w:firstLine="0" w:firstLineChars="0"/>
              <w:jc w:val="center"/>
              <w:textAlignment w:val="center"/>
              <w:rPr>
                <w:rFonts w:hint="default" w:ascii="Times New Roman" w:hAnsi="Times New Roman" w:cs="Times New Roman"/>
                <w:kern w:val="0"/>
                <w:sz w:val="21"/>
                <w:szCs w:val="21"/>
                <w:lang w:eastAsia="zh-CN" w:bidi="ar"/>
              </w:rPr>
            </w:pPr>
            <w:r>
              <w:rPr>
                <w:rFonts w:hint="default" w:ascii="Times New Roman" w:hAnsi="Times New Roman" w:cs="Times New Roman"/>
                <w:kern w:val="0"/>
                <w:sz w:val="21"/>
                <w:szCs w:val="21"/>
                <w:lang w:eastAsia="zh-CN" w:bidi="ar"/>
              </w:rPr>
              <w:t>临时沉砂池</w:t>
            </w:r>
          </w:p>
        </w:tc>
        <w:tc>
          <w:tcPr>
            <w:tcW w:w="143" w:type="dxa"/>
            <w:tcBorders>
              <w:tl2br w:val="nil"/>
              <w:tr2bl w:val="nil"/>
            </w:tcBorders>
            <w:shd w:val="clear" w:color="auto" w:fill="auto"/>
            <w:noWrap/>
            <w:tcMar>
              <w:top w:w="0" w:type="dxa"/>
              <w:left w:w="0" w:type="dxa"/>
              <w:bottom w:w="0" w:type="dxa"/>
              <w:right w:w="0" w:type="dxa"/>
            </w:tcMar>
            <w:vAlign w:val="center"/>
          </w:tcPr>
          <w:p w14:paraId="13603432">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F723AC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4712C76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64DA6FE">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6FD04F38">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auto"/>
          </w:tcPr>
          <w:p w14:paraId="7447375C">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auto"/>
          </w:tcPr>
          <w:p w14:paraId="609299E5">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auto"/>
          </w:tcPr>
          <w:p w14:paraId="4E79AD7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105454D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0C93AF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12B1B9B5">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82E605D">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0F391A17">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1C71178B">
            <w:pPr>
              <w:spacing w:line="240" w:lineRule="auto"/>
              <w:ind w:firstLine="0" w:firstLineChars="0"/>
              <w:rPr>
                <w:rFonts w:hint="default" w:ascii="Times New Roman" w:hAnsi="Times New Roman" w:cs="Times New Roman"/>
                <w:sz w:val="21"/>
                <w:szCs w:val="21"/>
              </w:rPr>
            </w:pPr>
          </w:p>
        </w:tc>
      </w:tr>
      <w:tr w14:paraId="24542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1710C74C">
            <w:pPr>
              <w:spacing w:line="240" w:lineRule="auto"/>
              <w:ind w:firstLine="0" w:firstLineChars="0"/>
              <w:jc w:val="center"/>
              <w:rPr>
                <w:rFonts w:hint="eastAsia" w:cs="Times New Roman"/>
                <w:kern w:val="0"/>
                <w:sz w:val="21"/>
                <w:szCs w:val="21"/>
                <w:lang w:eastAsia="zh-CN"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7F66B02D">
            <w:pPr>
              <w:spacing w:line="240" w:lineRule="auto"/>
              <w:ind w:firstLine="0" w:firstLineChars="0"/>
              <w:jc w:val="center"/>
              <w:rPr>
                <w:rFonts w:hint="eastAsia" w:cs="Times New Roman"/>
                <w:kern w:val="0"/>
                <w:sz w:val="21"/>
                <w:szCs w:val="21"/>
                <w:lang w:eastAsia="zh-CN" w:bidi="ar"/>
              </w:rPr>
            </w:pPr>
          </w:p>
        </w:tc>
        <w:tc>
          <w:tcPr>
            <w:tcW w:w="2230" w:type="dxa"/>
            <w:tcBorders>
              <w:tl2br w:val="nil"/>
              <w:tr2bl w:val="nil"/>
            </w:tcBorders>
            <w:shd w:val="clear" w:color="auto" w:fill="auto"/>
            <w:tcMar>
              <w:top w:w="0" w:type="dxa"/>
              <w:left w:w="0" w:type="dxa"/>
              <w:bottom w:w="0" w:type="dxa"/>
              <w:right w:w="0" w:type="dxa"/>
            </w:tcMar>
            <w:vAlign w:val="center"/>
          </w:tcPr>
          <w:p w14:paraId="405C1F67">
            <w:pPr>
              <w:spacing w:line="240" w:lineRule="auto"/>
              <w:ind w:firstLine="0" w:firstLineChars="0"/>
              <w:jc w:val="center"/>
              <w:textAlignment w:val="center"/>
              <w:rPr>
                <w:rFonts w:hint="default" w:ascii="Times New Roman" w:hAnsi="Times New Roman" w:cs="Times New Roman"/>
                <w:kern w:val="0"/>
                <w:sz w:val="21"/>
                <w:szCs w:val="21"/>
                <w:lang w:eastAsia="zh-CN" w:bidi="ar"/>
              </w:rPr>
            </w:pPr>
            <w:r>
              <w:rPr>
                <w:rFonts w:hint="default" w:ascii="Times New Roman" w:hAnsi="Times New Roman" w:cs="Times New Roman"/>
                <w:kern w:val="0"/>
                <w:sz w:val="21"/>
                <w:szCs w:val="21"/>
                <w:lang w:eastAsia="zh-CN" w:bidi="ar"/>
              </w:rPr>
              <w:t>车辆清洗</w:t>
            </w:r>
            <w:r>
              <w:rPr>
                <w:rFonts w:hint="eastAsia" w:cs="Times New Roman"/>
                <w:kern w:val="0"/>
                <w:sz w:val="21"/>
                <w:szCs w:val="21"/>
                <w:lang w:val="en-US" w:eastAsia="zh-CN" w:bidi="ar"/>
              </w:rPr>
              <w:t>池</w:t>
            </w:r>
          </w:p>
        </w:tc>
        <w:tc>
          <w:tcPr>
            <w:tcW w:w="143" w:type="dxa"/>
            <w:tcBorders>
              <w:tl2br w:val="nil"/>
              <w:tr2bl w:val="nil"/>
            </w:tcBorders>
            <w:shd w:val="clear" w:color="auto" w:fill="auto"/>
            <w:noWrap/>
            <w:tcMar>
              <w:top w:w="0" w:type="dxa"/>
              <w:left w:w="0" w:type="dxa"/>
              <w:bottom w:w="0" w:type="dxa"/>
              <w:right w:w="0" w:type="dxa"/>
            </w:tcMar>
            <w:vAlign w:val="center"/>
          </w:tcPr>
          <w:p w14:paraId="25617C2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DF2AC03">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42FAF3F4">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FD73937">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465FB18B">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tcPr>
          <w:p w14:paraId="20993058">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3D5188C4">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1BF75F0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6C0D9E5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1EC6DD7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C9B7237">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456BD6A8">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tcPr>
          <w:p w14:paraId="6F198F21">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054F0713">
            <w:pPr>
              <w:spacing w:line="240" w:lineRule="auto"/>
              <w:ind w:firstLine="0" w:firstLineChars="0"/>
              <w:rPr>
                <w:rFonts w:hint="default" w:ascii="Times New Roman" w:hAnsi="Times New Roman" w:cs="Times New Roman"/>
                <w:sz w:val="21"/>
                <w:szCs w:val="21"/>
              </w:rPr>
            </w:pPr>
          </w:p>
        </w:tc>
      </w:tr>
      <w:tr w14:paraId="54D192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47B41420">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2034DBAD">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2022607C">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水土保持管理要求</w:t>
            </w:r>
          </w:p>
        </w:tc>
        <w:tc>
          <w:tcPr>
            <w:tcW w:w="143" w:type="dxa"/>
            <w:tcBorders>
              <w:tl2br w:val="nil"/>
              <w:tr2bl w:val="nil"/>
            </w:tcBorders>
            <w:shd w:val="clear" w:color="auto" w:fill="FFFF00"/>
            <w:noWrap/>
            <w:tcMar>
              <w:top w:w="0" w:type="dxa"/>
              <w:left w:w="0" w:type="dxa"/>
              <w:bottom w:w="0" w:type="dxa"/>
              <w:right w:w="0" w:type="dxa"/>
            </w:tcMar>
            <w:vAlign w:val="center"/>
          </w:tcPr>
          <w:p w14:paraId="0FDBB974">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12D216E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428539CF">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612187BA">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1380B4F3">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3CB578D7">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7BC6EA2E">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19D949E3">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0BFDB74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A6AA424">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AC41BF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2CDA2EE7">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797BDCF0">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5001D8E4">
            <w:pPr>
              <w:spacing w:line="240" w:lineRule="auto"/>
              <w:ind w:firstLine="0" w:firstLineChars="0"/>
              <w:rPr>
                <w:rFonts w:hint="default" w:ascii="Times New Roman" w:hAnsi="Times New Roman" w:cs="Times New Roman"/>
                <w:sz w:val="21"/>
                <w:szCs w:val="21"/>
              </w:rPr>
            </w:pPr>
          </w:p>
        </w:tc>
      </w:tr>
      <w:tr w14:paraId="1F4F6C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6E282628">
            <w:pPr>
              <w:spacing w:line="240" w:lineRule="auto"/>
              <w:ind w:firstLine="0" w:firstLineChars="0"/>
              <w:jc w:val="center"/>
              <w:rPr>
                <w:rFonts w:hint="default" w:ascii="Times New Roman" w:hAnsi="Times New Roman" w:cs="Times New Roman"/>
                <w:sz w:val="21"/>
                <w:szCs w:val="21"/>
              </w:rPr>
            </w:pPr>
          </w:p>
        </w:tc>
        <w:tc>
          <w:tcPr>
            <w:tcW w:w="1676" w:type="dxa"/>
            <w:vMerge w:val="restart"/>
            <w:tcBorders>
              <w:tl2br w:val="nil"/>
              <w:tr2bl w:val="nil"/>
            </w:tcBorders>
            <w:shd w:val="clear" w:color="auto" w:fill="auto"/>
            <w:tcMar>
              <w:top w:w="0" w:type="dxa"/>
              <w:left w:w="0" w:type="dxa"/>
              <w:bottom w:w="0" w:type="dxa"/>
              <w:right w:w="0" w:type="dxa"/>
            </w:tcMar>
            <w:vAlign w:val="center"/>
          </w:tcPr>
          <w:p w14:paraId="0BB5333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绿化区</w:t>
            </w:r>
          </w:p>
        </w:tc>
        <w:tc>
          <w:tcPr>
            <w:tcW w:w="2230" w:type="dxa"/>
            <w:tcBorders>
              <w:tl2br w:val="nil"/>
              <w:tr2bl w:val="nil"/>
            </w:tcBorders>
            <w:shd w:val="clear" w:color="auto" w:fill="auto"/>
            <w:tcMar>
              <w:top w:w="0" w:type="dxa"/>
              <w:left w:w="0" w:type="dxa"/>
              <w:bottom w:w="0" w:type="dxa"/>
              <w:right w:w="0" w:type="dxa"/>
            </w:tcMar>
            <w:vAlign w:val="center"/>
          </w:tcPr>
          <w:p w14:paraId="17BE1C3E">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表土剥离</w:t>
            </w:r>
          </w:p>
        </w:tc>
        <w:tc>
          <w:tcPr>
            <w:tcW w:w="143" w:type="dxa"/>
            <w:tcBorders>
              <w:tl2br w:val="nil"/>
              <w:tr2bl w:val="nil"/>
            </w:tcBorders>
            <w:shd w:val="clear" w:color="auto" w:fill="auto"/>
            <w:noWrap/>
            <w:tcMar>
              <w:top w:w="0" w:type="dxa"/>
              <w:left w:w="0" w:type="dxa"/>
              <w:bottom w:w="0" w:type="dxa"/>
              <w:right w:w="0" w:type="dxa"/>
            </w:tcMar>
            <w:vAlign w:val="center"/>
          </w:tcPr>
          <w:p w14:paraId="23B3CDEA">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3C09E9AC">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150D099A">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7BD302B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285" w:type="dxa"/>
            <w:tcBorders>
              <w:tl2br w:val="nil"/>
              <w:tr2bl w:val="nil"/>
            </w:tcBorders>
            <w:shd w:val="clear" w:color="auto" w:fill="FFFF00"/>
            <w:noWrap/>
            <w:tcMar>
              <w:top w:w="0" w:type="dxa"/>
              <w:left w:w="0" w:type="dxa"/>
              <w:bottom w:w="0" w:type="dxa"/>
              <w:right w:w="0" w:type="dxa"/>
            </w:tcMar>
            <w:vAlign w:val="center"/>
          </w:tcPr>
          <w:p w14:paraId="44445090">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99" w:type="dxa"/>
            <w:tcBorders>
              <w:tl2br w:val="nil"/>
              <w:tr2bl w:val="nil"/>
            </w:tcBorders>
            <w:shd w:val="clear" w:color="auto" w:fill="FFFF00"/>
            <w:vAlign w:val="top"/>
          </w:tcPr>
          <w:p w14:paraId="31F8A19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67" w:type="dxa"/>
            <w:tcBorders>
              <w:tl2br w:val="nil"/>
              <w:tr2bl w:val="nil"/>
            </w:tcBorders>
            <w:shd w:val="clear" w:color="auto" w:fill="auto"/>
            <w:vAlign w:val="top"/>
          </w:tcPr>
          <w:p w14:paraId="73EC167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579" w:type="dxa"/>
            <w:tcBorders>
              <w:tl2br w:val="nil"/>
              <w:tr2bl w:val="nil"/>
            </w:tcBorders>
            <w:shd w:val="clear" w:color="auto" w:fill="auto"/>
            <w:vAlign w:val="top"/>
          </w:tcPr>
          <w:p w14:paraId="46F308A6">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7" w:type="dxa"/>
            <w:tcBorders>
              <w:tl2br w:val="nil"/>
              <w:tr2bl w:val="nil"/>
            </w:tcBorders>
            <w:shd w:val="clear" w:color="auto" w:fill="auto"/>
          </w:tcPr>
          <w:p w14:paraId="1693C70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5FD5E42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31418C5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297551E4">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23989205">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1E268C2F">
            <w:pPr>
              <w:spacing w:line="240" w:lineRule="auto"/>
              <w:ind w:firstLine="0" w:firstLineChars="0"/>
              <w:rPr>
                <w:rFonts w:hint="default" w:ascii="Times New Roman" w:hAnsi="Times New Roman" w:cs="Times New Roman"/>
                <w:sz w:val="21"/>
                <w:szCs w:val="21"/>
              </w:rPr>
            </w:pPr>
          </w:p>
        </w:tc>
      </w:tr>
      <w:tr w14:paraId="064FB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22BEC07D">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15719447">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2230" w:type="dxa"/>
            <w:tcBorders>
              <w:tl2br w:val="nil"/>
              <w:tr2bl w:val="nil"/>
            </w:tcBorders>
            <w:shd w:val="clear" w:color="auto" w:fill="auto"/>
            <w:tcMar>
              <w:top w:w="0" w:type="dxa"/>
              <w:left w:w="0" w:type="dxa"/>
              <w:bottom w:w="0" w:type="dxa"/>
              <w:right w:w="0" w:type="dxa"/>
            </w:tcMar>
            <w:vAlign w:val="center"/>
          </w:tcPr>
          <w:p w14:paraId="50F0114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景观绿化</w:t>
            </w:r>
          </w:p>
        </w:tc>
        <w:tc>
          <w:tcPr>
            <w:tcW w:w="143" w:type="dxa"/>
            <w:tcBorders>
              <w:tl2br w:val="nil"/>
              <w:tr2bl w:val="nil"/>
            </w:tcBorders>
            <w:shd w:val="clear" w:color="auto" w:fill="auto"/>
            <w:noWrap/>
            <w:tcMar>
              <w:top w:w="0" w:type="dxa"/>
              <w:left w:w="0" w:type="dxa"/>
              <w:bottom w:w="0" w:type="dxa"/>
              <w:right w:w="0" w:type="dxa"/>
            </w:tcMar>
            <w:vAlign w:val="center"/>
          </w:tcPr>
          <w:p w14:paraId="26F77A6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4E68D521">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F9DFF3B">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6F19F822">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auto"/>
            <w:noWrap/>
            <w:tcMar>
              <w:top w:w="0" w:type="dxa"/>
              <w:left w:w="0" w:type="dxa"/>
              <w:bottom w:w="0" w:type="dxa"/>
              <w:right w:w="0" w:type="dxa"/>
            </w:tcMar>
            <w:vAlign w:val="center"/>
          </w:tcPr>
          <w:p w14:paraId="6E300272">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auto"/>
          </w:tcPr>
          <w:p w14:paraId="6459E272">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32879510">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421C5A99">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23033BD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72685C9C">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2514D6B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2521AB06">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01857AA9">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5B9A4E4E">
            <w:pPr>
              <w:spacing w:line="240" w:lineRule="auto"/>
              <w:ind w:firstLine="0" w:firstLineChars="0"/>
              <w:rPr>
                <w:rFonts w:hint="default" w:ascii="Times New Roman" w:hAnsi="Times New Roman" w:cs="Times New Roman"/>
                <w:sz w:val="21"/>
                <w:szCs w:val="21"/>
              </w:rPr>
            </w:pPr>
          </w:p>
        </w:tc>
      </w:tr>
      <w:tr w14:paraId="06ADF5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5F66DF6F">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4E162C61">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2230" w:type="dxa"/>
            <w:tcBorders>
              <w:tl2br w:val="nil"/>
              <w:tr2bl w:val="nil"/>
            </w:tcBorders>
            <w:shd w:val="clear" w:color="auto" w:fill="auto"/>
            <w:tcMar>
              <w:top w:w="0" w:type="dxa"/>
              <w:left w:w="0" w:type="dxa"/>
              <w:bottom w:w="0" w:type="dxa"/>
              <w:right w:w="0" w:type="dxa"/>
            </w:tcMar>
            <w:vAlign w:val="center"/>
          </w:tcPr>
          <w:p w14:paraId="5D5F641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无纺布临时苫盖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4173432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25160980">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62BC1FF0">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1E12FB50">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auto"/>
            <w:noWrap/>
            <w:tcMar>
              <w:top w:w="0" w:type="dxa"/>
              <w:left w:w="0" w:type="dxa"/>
              <w:bottom w:w="0" w:type="dxa"/>
              <w:right w:w="0" w:type="dxa"/>
            </w:tcMar>
            <w:vAlign w:val="center"/>
          </w:tcPr>
          <w:p w14:paraId="027CA132">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auto"/>
          </w:tcPr>
          <w:p w14:paraId="5F9E73D1">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3B54C8F1">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7902EFD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08865CC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7A8BA0A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9E0953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03F1A74B">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4791796C">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56835256">
            <w:pPr>
              <w:spacing w:line="240" w:lineRule="auto"/>
              <w:ind w:firstLine="0" w:firstLineChars="0"/>
              <w:rPr>
                <w:rFonts w:hint="default" w:ascii="Times New Roman" w:hAnsi="Times New Roman" w:cs="Times New Roman"/>
                <w:sz w:val="21"/>
                <w:szCs w:val="21"/>
              </w:rPr>
            </w:pPr>
          </w:p>
        </w:tc>
      </w:tr>
      <w:tr w14:paraId="1FF360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74BF5454">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55A5816E">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051984BE">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编织袋拦挡</w:t>
            </w:r>
          </w:p>
        </w:tc>
        <w:tc>
          <w:tcPr>
            <w:tcW w:w="143" w:type="dxa"/>
            <w:tcBorders>
              <w:tl2br w:val="nil"/>
              <w:tr2bl w:val="nil"/>
            </w:tcBorders>
            <w:shd w:val="clear" w:color="auto" w:fill="auto"/>
            <w:noWrap/>
            <w:tcMar>
              <w:top w:w="0" w:type="dxa"/>
              <w:left w:w="0" w:type="dxa"/>
              <w:bottom w:w="0" w:type="dxa"/>
              <w:right w:w="0" w:type="dxa"/>
            </w:tcMar>
            <w:vAlign w:val="center"/>
          </w:tcPr>
          <w:p w14:paraId="113A08B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3186B1D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5F0F95A">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27286A1C">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48CA34CA">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11777823">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auto"/>
          </w:tcPr>
          <w:p w14:paraId="69B40FA3">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134CC99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3A5C78C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66766A63">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42E7BC9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787DF6C">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tcPr>
          <w:p w14:paraId="2A26E164">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2C342745">
            <w:pPr>
              <w:spacing w:line="240" w:lineRule="auto"/>
              <w:ind w:firstLine="0" w:firstLineChars="0"/>
              <w:rPr>
                <w:rFonts w:hint="default" w:ascii="Times New Roman" w:hAnsi="Times New Roman" w:cs="Times New Roman"/>
                <w:sz w:val="21"/>
                <w:szCs w:val="21"/>
              </w:rPr>
            </w:pPr>
          </w:p>
        </w:tc>
      </w:tr>
      <w:tr w14:paraId="2B5F7D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7959118F">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63F2101D">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276647E3">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彩条布临时苫盖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024E021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16C2366E">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3C48692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1DDA3E6">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27F9B5CB">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35F921C8">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auto"/>
          </w:tcPr>
          <w:p w14:paraId="190FC321">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auto"/>
          </w:tcPr>
          <w:p w14:paraId="6E9F3FD7">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3F372C54">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1D629B5">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7B207FF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5C5A5FF7">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5485573A">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079F23EA">
            <w:pPr>
              <w:spacing w:line="240" w:lineRule="auto"/>
              <w:ind w:firstLine="0" w:firstLineChars="0"/>
              <w:rPr>
                <w:rFonts w:hint="default" w:ascii="Times New Roman" w:hAnsi="Times New Roman" w:cs="Times New Roman"/>
                <w:sz w:val="21"/>
                <w:szCs w:val="21"/>
              </w:rPr>
            </w:pPr>
          </w:p>
        </w:tc>
      </w:tr>
      <w:tr w14:paraId="036173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0FADCD77">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4934C13B">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10B83250">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水土保持管理要求</w:t>
            </w:r>
          </w:p>
        </w:tc>
        <w:tc>
          <w:tcPr>
            <w:tcW w:w="143" w:type="dxa"/>
            <w:tcBorders>
              <w:tl2br w:val="nil"/>
              <w:tr2bl w:val="nil"/>
            </w:tcBorders>
            <w:shd w:val="clear" w:color="auto" w:fill="FFFF00"/>
            <w:noWrap/>
            <w:tcMar>
              <w:top w:w="0" w:type="dxa"/>
              <w:left w:w="0" w:type="dxa"/>
              <w:bottom w:w="0" w:type="dxa"/>
              <w:right w:w="0" w:type="dxa"/>
            </w:tcMar>
            <w:vAlign w:val="center"/>
          </w:tcPr>
          <w:p w14:paraId="1E7919C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185A1E2C">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72654F39">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5F97ABCE">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4E1B300B">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138BEF7D">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4B07BC45">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5E98127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737930BC">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A18D39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DDDE19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02C8E89">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5336C92D">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54ECBE08">
            <w:pPr>
              <w:spacing w:line="240" w:lineRule="auto"/>
              <w:ind w:firstLine="0" w:firstLineChars="0"/>
              <w:rPr>
                <w:rFonts w:hint="default" w:ascii="Times New Roman" w:hAnsi="Times New Roman" w:cs="Times New Roman"/>
                <w:sz w:val="21"/>
                <w:szCs w:val="21"/>
              </w:rPr>
            </w:pPr>
          </w:p>
        </w:tc>
      </w:tr>
      <w:tr w14:paraId="33028F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restart"/>
            <w:tcBorders>
              <w:tl2br w:val="nil"/>
              <w:tr2bl w:val="nil"/>
            </w:tcBorders>
            <w:shd w:val="clear" w:color="auto" w:fill="auto"/>
            <w:tcMar>
              <w:top w:w="0" w:type="dxa"/>
              <w:left w:w="0" w:type="dxa"/>
              <w:bottom w:w="0" w:type="dxa"/>
              <w:right w:w="0" w:type="dxa"/>
            </w:tcMar>
            <w:vAlign w:val="center"/>
          </w:tcPr>
          <w:p w14:paraId="6E22D43C">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 xml:space="preserve">地块二 </w:t>
            </w:r>
          </w:p>
        </w:tc>
        <w:tc>
          <w:tcPr>
            <w:tcW w:w="1676" w:type="dxa"/>
            <w:vMerge w:val="restart"/>
            <w:tcBorders>
              <w:tl2br w:val="nil"/>
              <w:tr2bl w:val="nil"/>
            </w:tcBorders>
            <w:shd w:val="clear" w:color="auto" w:fill="auto"/>
            <w:tcMar>
              <w:top w:w="0" w:type="dxa"/>
              <w:left w:w="0" w:type="dxa"/>
              <w:bottom w:w="0" w:type="dxa"/>
              <w:right w:w="0" w:type="dxa"/>
            </w:tcMar>
            <w:vAlign w:val="center"/>
          </w:tcPr>
          <w:p w14:paraId="54FAE79F">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建构筑物区</w:t>
            </w:r>
          </w:p>
        </w:tc>
        <w:tc>
          <w:tcPr>
            <w:tcW w:w="2230" w:type="dxa"/>
            <w:tcBorders>
              <w:tl2br w:val="nil"/>
              <w:tr2bl w:val="nil"/>
            </w:tcBorders>
            <w:shd w:val="clear" w:color="auto" w:fill="auto"/>
            <w:tcMar>
              <w:top w:w="0" w:type="dxa"/>
              <w:left w:w="0" w:type="dxa"/>
              <w:bottom w:w="0" w:type="dxa"/>
              <w:right w:w="0" w:type="dxa"/>
            </w:tcMar>
            <w:vAlign w:val="center"/>
          </w:tcPr>
          <w:p w14:paraId="2768408F">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表土剥离</w:t>
            </w:r>
          </w:p>
        </w:tc>
        <w:tc>
          <w:tcPr>
            <w:tcW w:w="143" w:type="dxa"/>
            <w:tcBorders>
              <w:tl2br w:val="nil"/>
              <w:tr2bl w:val="nil"/>
            </w:tcBorders>
            <w:shd w:val="clear" w:color="auto" w:fill="auto"/>
            <w:noWrap/>
            <w:tcMar>
              <w:top w:w="0" w:type="dxa"/>
              <w:left w:w="0" w:type="dxa"/>
              <w:bottom w:w="0" w:type="dxa"/>
              <w:right w:w="0" w:type="dxa"/>
            </w:tcMar>
            <w:vAlign w:val="center"/>
          </w:tcPr>
          <w:p w14:paraId="7AC784CE">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24AED26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743F821">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7C07B99">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72D837A8">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4A104B69">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17451A31">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0EEAC4E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847B7A5">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6345571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A60BD3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2732F1C4">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tcPr>
          <w:p w14:paraId="2046C8E6">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7D37CF2E">
            <w:pPr>
              <w:spacing w:line="240" w:lineRule="auto"/>
              <w:ind w:firstLine="0" w:firstLineChars="0"/>
              <w:rPr>
                <w:rFonts w:hint="default" w:ascii="Times New Roman" w:hAnsi="Times New Roman" w:cs="Times New Roman"/>
                <w:sz w:val="21"/>
                <w:szCs w:val="21"/>
              </w:rPr>
            </w:pPr>
          </w:p>
        </w:tc>
      </w:tr>
      <w:tr w14:paraId="3FFAE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1B2B3C4C">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36C5CDCD">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5838E10C">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eastAsia="仿宋_GB2312" w:cs="Times New Roman"/>
                <w:sz w:val="21"/>
                <w:szCs w:val="21"/>
                <w:lang w:val="en-US" w:eastAsia="zh-CN"/>
              </w:rPr>
              <w:t>彩条布临时苫盖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0D79C13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39301A2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98A4B64">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E71D514">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60C87A28">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30954B77">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22DC3E9F">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5C08454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385B882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34E6DC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0291C9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6046032">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22303503">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211E20C3">
            <w:pPr>
              <w:spacing w:line="240" w:lineRule="auto"/>
              <w:ind w:firstLine="0" w:firstLineChars="0"/>
              <w:rPr>
                <w:rFonts w:hint="default" w:ascii="Times New Roman" w:hAnsi="Times New Roman" w:cs="Times New Roman"/>
                <w:sz w:val="21"/>
                <w:szCs w:val="21"/>
              </w:rPr>
            </w:pPr>
          </w:p>
        </w:tc>
      </w:tr>
      <w:tr w14:paraId="0F00C4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17541447">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04763934">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507A60B8">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水土保持管理要求</w:t>
            </w:r>
          </w:p>
        </w:tc>
        <w:tc>
          <w:tcPr>
            <w:tcW w:w="143" w:type="dxa"/>
            <w:tcBorders>
              <w:tl2br w:val="nil"/>
              <w:tr2bl w:val="nil"/>
            </w:tcBorders>
            <w:shd w:val="clear" w:color="auto" w:fill="FFFF00"/>
            <w:noWrap/>
            <w:tcMar>
              <w:top w:w="0" w:type="dxa"/>
              <w:left w:w="0" w:type="dxa"/>
              <w:bottom w:w="0" w:type="dxa"/>
              <w:right w:w="0" w:type="dxa"/>
            </w:tcMar>
            <w:vAlign w:val="center"/>
          </w:tcPr>
          <w:p w14:paraId="4D72812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4C02AB80">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46A2A4F4">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2786B884">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24B32F4A">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575AAB9E">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4AE93D93">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668AF3C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5D7FDF2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8E5B53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55AECB4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A43E0AF">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015B390C">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650FDA31">
            <w:pPr>
              <w:spacing w:line="240" w:lineRule="auto"/>
              <w:ind w:firstLine="0" w:firstLineChars="0"/>
              <w:rPr>
                <w:rFonts w:hint="default" w:ascii="Times New Roman" w:hAnsi="Times New Roman" w:cs="Times New Roman"/>
                <w:sz w:val="21"/>
                <w:szCs w:val="21"/>
              </w:rPr>
            </w:pPr>
          </w:p>
        </w:tc>
      </w:tr>
      <w:tr w14:paraId="10AA11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0659DCF0">
            <w:pPr>
              <w:spacing w:line="240" w:lineRule="auto"/>
              <w:ind w:firstLine="0" w:firstLineChars="0"/>
              <w:jc w:val="center"/>
              <w:rPr>
                <w:rFonts w:hint="default" w:ascii="Times New Roman" w:hAnsi="Times New Roman" w:cs="Times New Roman"/>
                <w:sz w:val="21"/>
                <w:szCs w:val="21"/>
              </w:rPr>
            </w:pPr>
          </w:p>
        </w:tc>
        <w:tc>
          <w:tcPr>
            <w:tcW w:w="1676" w:type="dxa"/>
            <w:vMerge w:val="restart"/>
            <w:tcBorders>
              <w:tl2br w:val="nil"/>
              <w:tr2bl w:val="nil"/>
            </w:tcBorders>
            <w:shd w:val="clear" w:color="auto" w:fill="auto"/>
            <w:tcMar>
              <w:top w:w="0" w:type="dxa"/>
              <w:left w:w="0" w:type="dxa"/>
              <w:bottom w:w="0" w:type="dxa"/>
              <w:right w:w="0" w:type="dxa"/>
            </w:tcMar>
            <w:vAlign w:val="center"/>
          </w:tcPr>
          <w:p w14:paraId="4177415F">
            <w:pPr>
              <w:spacing w:line="240" w:lineRule="auto"/>
              <w:ind w:firstLine="0" w:firstLineChars="0"/>
              <w:jc w:val="center"/>
              <w:rPr>
                <w:rFonts w:hint="eastAsia" w:ascii="Times New Roman" w:hAnsi="Times New Roman" w:eastAsia="仿宋_GB2312" w:cs="Times New Roman"/>
                <w:sz w:val="21"/>
                <w:szCs w:val="21"/>
                <w:lang w:eastAsia="zh-CN"/>
              </w:rPr>
            </w:pPr>
            <w:r>
              <w:rPr>
                <w:rFonts w:hint="eastAsia" w:cs="Times New Roman"/>
                <w:kern w:val="0"/>
                <w:sz w:val="21"/>
                <w:szCs w:val="21"/>
                <w:lang w:eastAsia="zh-CN" w:bidi="ar"/>
              </w:rPr>
              <w:t>道路及硬化区</w:t>
            </w:r>
          </w:p>
        </w:tc>
        <w:tc>
          <w:tcPr>
            <w:tcW w:w="2230" w:type="dxa"/>
            <w:tcBorders>
              <w:tl2br w:val="nil"/>
              <w:tr2bl w:val="nil"/>
            </w:tcBorders>
            <w:shd w:val="clear" w:color="auto" w:fill="auto"/>
            <w:tcMar>
              <w:top w:w="0" w:type="dxa"/>
              <w:left w:w="0" w:type="dxa"/>
              <w:bottom w:w="0" w:type="dxa"/>
              <w:right w:w="0" w:type="dxa"/>
            </w:tcMar>
            <w:vAlign w:val="center"/>
          </w:tcPr>
          <w:p w14:paraId="7AE73A16">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表土剥离</w:t>
            </w:r>
          </w:p>
        </w:tc>
        <w:tc>
          <w:tcPr>
            <w:tcW w:w="143" w:type="dxa"/>
            <w:tcBorders>
              <w:tl2br w:val="nil"/>
              <w:tr2bl w:val="nil"/>
            </w:tcBorders>
            <w:shd w:val="clear" w:color="auto" w:fill="auto"/>
            <w:noWrap/>
            <w:tcMar>
              <w:top w:w="0" w:type="dxa"/>
              <w:left w:w="0" w:type="dxa"/>
              <w:bottom w:w="0" w:type="dxa"/>
              <w:right w:w="0" w:type="dxa"/>
            </w:tcMar>
            <w:vAlign w:val="center"/>
          </w:tcPr>
          <w:p w14:paraId="78BF0BD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4036654E">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2C65FE8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60F67725">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285" w:type="dxa"/>
            <w:tcBorders>
              <w:tl2br w:val="nil"/>
              <w:tr2bl w:val="nil"/>
            </w:tcBorders>
            <w:shd w:val="clear" w:color="auto" w:fill="FFFF00"/>
            <w:noWrap/>
            <w:tcMar>
              <w:top w:w="0" w:type="dxa"/>
              <w:left w:w="0" w:type="dxa"/>
              <w:bottom w:w="0" w:type="dxa"/>
              <w:right w:w="0" w:type="dxa"/>
            </w:tcMar>
            <w:vAlign w:val="center"/>
          </w:tcPr>
          <w:p w14:paraId="1D13C33C">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99" w:type="dxa"/>
            <w:tcBorders>
              <w:tl2br w:val="nil"/>
              <w:tr2bl w:val="nil"/>
            </w:tcBorders>
            <w:shd w:val="clear" w:color="auto" w:fill="FFFF00"/>
            <w:vAlign w:val="top"/>
          </w:tcPr>
          <w:p w14:paraId="198E2700">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67" w:type="dxa"/>
            <w:tcBorders>
              <w:tl2br w:val="nil"/>
              <w:tr2bl w:val="nil"/>
            </w:tcBorders>
            <w:shd w:val="clear" w:color="auto" w:fill="auto"/>
          </w:tcPr>
          <w:p w14:paraId="5B57ADE2">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auto"/>
          </w:tcPr>
          <w:p w14:paraId="5E55160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8906C4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1EE7C17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77413C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040DCB9F">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7DFBD08C">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54D90402">
            <w:pPr>
              <w:spacing w:line="240" w:lineRule="auto"/>
              <w:ind w:firstLine="0" w:firstLineChars="0"/>
              <w:rPr>
                <w:rFonts w:hint="default" w:ascii="Times New Roman" w:hAnsi="Times New Roman" w:cs="Times New Roman"/>
                <w:sz w:val="21"/>
                <w:szCs w:val="21"/>
              </w:rPr>
            </w:pPr>
          </w:p>
        </w:tc>
      </w:tr>
      <w:tr w14:paraId="54FBE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199B5431">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0C8205C8">
            <w:pPr>
              <w:spacing w:line="240" w:lineRule="auto"/>
              <w:ind w:firstLine="0" w:firstLineChars="0"/>
              <w:jc w:val="center"/>
              <w:rPr>
                <w:rFonts w:hint="eastAsia" w:cs="Times New Roman"/>
                <w:kern w:val="0"/>
                <w:sz w:val="21"/>
                <w:szCs w:val="21"/>
                <w:lang w:eastAsia="zh-CN" w:bidi="ar"/>
              </w:rPr>
            </w:pPr>
          </w:p>
        </w:tc>
        <w:tc>
          <w:tcPr>
            <w:tcW w:w="2230" w:type="dxa"/>
            <w:tcBorders>
              <w:tl2br w:val="nil"/>
              <w:tr2bl w:val="nil"/>
            </w:tcBorders>
            <w:shd w:val="clear" w:color="auto" w:fill="auto"/>
            <w:tcMar>
              <w:top w:w="0" w:type="dxa"/>
              <w:left w:w="0" w:type="dxa"/>
              <w:bottom w:w="0" w:type="dxa"/>
              <w:right w:w="0" w:type="dxa"/>
            </w:tcMar>
            <w:vAlign w:val="center"/>
          </w:tcPr>
          <w:p w14:paraId="4C049BC8">
            <w:pPr>
              <w:spacing w:line="240" w:lineRule="auto"/>
              <w:ind w:firstLine="0" w:firstLineChars="0"/>
              <w:jc w:val="center"/>
              <w:textAlignment w:val="center"/>
              <w:rPr>
                <w:rFonts w:hint="eastAsia"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雨水管网</w:t>
            </w:r>
          </w:p>
        </w:tc>
        <w:tc>
          <w:tcPr>
            <w:tcW w:w="143" w:type="dxa"/>
            <w:tcBorders>
              <w:tl2br w:val="nil"/>
              <w:tr2bl w:val="nil"/>
            </w:tcBorders>
            <w:shd w:val="clear" w:color="auto" w:fill="auto"/>
            <w:noWrap/>
            <w:tcMar>
              <w:top w:w="0" w:type="dxa"/>
              <w:left w:w="0" w:type="dxa"/>
              <w:bottom w:w="0" w:type="dxa"/>
              <w:right w:w="0" w:type="dxa"/>
            </w:tcMar>
            <w:vAlign w:val="center"/>
          </w:tcPr>
          <w:p w14:paraId="7BB62CA0">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591FD961">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75B3C68E">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2F48FEB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285" w:type="dxa"/>
            <w:tcBorders>
              <w:tl2br w:val="nil"/>
              <w:tr2bl w:val="nil"/>
            </w:tcBorders>
            <w:shd w:val="clear" w:color="auto" w:fill="FFFF00"/>
            <w:noWrap/>
            <w:tcMar>
              <w:top w:w="0" w:type="dxa"/>
              <w:left w:w="0" w:type="dxa"/>
              <w:bottom w:w="0" w:type="dxa"/>
              <w:right w:w="0" w:type="dxa"/>
            </w:tcMar>
            <w:vAlign w:val="center"/>
          </w:tcPr>
          <w:p w14:paraId="304A64A2">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99" w:type="dxa"/>
            <w:tcBorders>
              <w:tl2br w:val="nil"/>
              <w:tr2bl w:val="nil"/>
            </w:tcBorders>
            <w:shd w:val="clear" w:color="auto" w:fill="FFFF00"/>
            <w:vAlign w:val="top"/>
          </w:tcPr>
          <w:p w14:paraId="4F588694">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67" w:type="dxa"/>
            <w:tcBorders>
              <w:tl2br w:val="nil"/>
              <w:tr2bl w:val="nil"/>
            </w:tcBorders>
            <w:shd w:val="clear" w:color="auto" w:fill="FFFF00"/>
            <w:vAlign w:val="top"/>
          </w:tcPr>
          <w:p w14:paraId="5F2CB4A8">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579" w:type="dxa"/>
            <w:tcBorders>
              <w:tl2br w:val="nil"/>
              <w:tr2bl w:val="nil"/>
            </w:tcBorders>
            <w:shd w:val="clear" w:color="auto" w:fill="FFFF00"/>
            <w:vAlign w:val="top"/>
          </w:tcPr>
          <w:p w14:paraId="72051800">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7" w:type="dxa"/>
            <w:tcBorders>
              <w:tl2br w:val="nil"/>
              <w:tr2bl w:val="nil"/>
            </w:tcBorders>
            <w:shd w:val="clear" w:color="auto" w:fill="FFFF00"/>
            <w:vAlign w:val="top"/>
          </w:tcPr>
          <w:p w14:paraId="6E765B75">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7" w:type="dxa"/>
            <w:tcBorders>
              <w:tl2br w:val="nil"/>
              <w:tr2bl w:val="nil"/>
            </w:tcBorders>
            <w:shd w:val="clear" w:color="auto" w:fill="FFFF00"/>
            <w:vAlign w:val="top"/>
          </w:tcPr>
          <w:p w14:paraId="2286897E">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7" w:type="dxa"/>
            <w:tcBorders>
              <w:tl2br w:val="nil"/>
              <w:tr2bl w:val="nil"/>
            </w:tcBorders>
            <w:shd w:val="clear" w:color="auto" w:fill="FFFF00"/>
            <w:vAlign w:val="top"/>
          </w:tcPr>
          <w:p w14:paraId="06439D98">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7" w:type="dxa"/>
            <w:tcBorders>
              <w:tl2br w:val="nil"/>
              <w:tr2bl w:val="nil"/>
            </w:tcBorders>
            <w:shd w:val="clear" w:color="auto" w:fill="FFFF00"/>
            <w:vAlign w:val="top"/>
          </w:tcPr>
          <w:p w14:paraId="731E9327">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8" w:type="dxa"/>
            <w:tcBorders>
              <w:tl2br w:val="nil"/>
              <w:tr2bl w:val="nil"/>
            </w:tcBorders>
            <w:shd w:val="clear" w:color="auto" w:fill="FFFF00"/>
            <w:vAlign w:val="top"/>
          </w:tcPr>
          <w:p w14:paraId="64A5700E">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34" w:type="dxa"/>
            <w:tcBorders>
              <w:tl2br w:val="nil"/>
              <w:tr2bl w:val="nil"/>
            </w:tcBorders>
            <w:shd w:val="clear" w:color="auto" w:fill="auto"/>
            <w:vAlign w:val="top"/>
          </w:tcPr>
          <w:p w14:paraId="17831CCC">
            <w:pPr>
              <w:spacing w:line="240" w:lineRule="auto"/>
              <w:ind w:firstLine="0" w:firstLineChars="0"/>
              <w:rPr>
                <w:rFonts w:hint="default" w:ascii="Times New Roman" w:hAnsi="Times New Roman" w:eastAsia="仿宋_GB2312" w:cs="Times New Roman"/>
                <w:kern w:val="2"/>
                <w:sz w:val="21"/>
                <w:szCs w:val="21"/>
                <w:lang w:val="en-US" w:eastAsia="zh-CN" w:bidi="ar-SA"/>
              </w:rPr>
            </w:pPr>
          </w:p>
        </w:tc>
      </w:tr>
      <w:tr w14:paraId="26CC88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3C5E238A">
            <w:pPr>
              <w:spacing w:line="240" w:lineRule="auto"/>
              <w:ind w:firstLine="0" w:firstLineChars="0"/>
              <w:jc w:val="center"/>
              <w:rPr>
                <w:rFonts w:hint="eastAsia" w:cs="Times New Roman"/>
                <w:kern w:val="0"/>
                <w:sz w:val="21"/>
                <w:szCs w:val="21"/>
                <w:lang w:eastAsia="zh-CN"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2795F366">
            <w:pPr>
              <w:spacing w:line="240" w:lineRule="auto"/>
              <w:ind w:firstLine="0" w:firstLineChars="0"/>
              <w:jc w:val="center"/>
              <w:rPr>
                <w:rFonts w:hint="eastAsia" w:ascii="Times New Roman" w:hAnsi="Times New Roman" w:eastAsia="仿宋_GB2312" w:cs="Times New Roman"/>
                <w:sz w:val="21"/>
                <w:szCs w:val="21"/>
                <w:lang w:eastAsia="zh-CN"/>
              </w:rPr>
            </w:pPr>
          </w:p>
        </w:tc>
        <w:tc>
          <w:tcPr>
            <w:tcW w:w="2230" w:type="dxa"/>
            <w:tcBorders>
              <w:tl2br w:val="nil"/>
              <w:tr2bl w:val="nil"/>
            </w:tcBorders>
            <w:shd w:val="clear" w:color="auto" w:fill="auto"/>
            <w:tcMar>
              <w:top w:w="0" w:type="dxa"/>
              <w:left w:w="0" w:type="dxa"/>
              <w:bottom w:w="0" w:type="dxa"/>
              <w:right w:w="0" w:type="dxa"/>
            </w:tcMar>
            <w:vAlign w:val="center"/>
          </w:tcPr>
          <w:p w14:paraId="10591DE6">
            <w:pPr>
              <w:spacing w:line="240" w:lineRule="auto"/>
              <w:ind w:firstLine="0" w:firstLineChars="0"/>
              <w:jc w:val="center"/>
              <w:textAlignment w:val="center"/>
              <w:rPr>
                <w:rFonts w:hint="default" w:ascii="Times New Roman" w:hAnsi="Times New Roman" w:eastAsia="仿宋_GB2312" w:cs="Times New Roman"/>
                <w:sz w:val="21"/>
                <w:szCs w:val="21"/>
                <w:lang w:val="en-US" w:eastAsia="zh-CN"/>
              </w:rPr>
            </w:pPr>
            <w:r>
              <w:rPr>
                <w:rFonts w:hint="default" w:ascii="Times New Roman" w:hAnsi="Times New Roman" w:eastAsia="仿宋_GB2312" w:cs="Times New Roman"/>
                <w:sz w:val="21"/>
                <w:szCs w:val="21"/>
                <w:lang w:val="en-US" w:eastAsia="zh-CN"/>
              </w:rPr>
              <w:t>彩条布临时苫盖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096CF77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756968B">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8D47545">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A728855">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13B0D3B0">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22091169">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0A6864B6">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20A6636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01179D7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BB6E978">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F858FF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225650CF">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08142DFF">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03E0F533">
            <w:pPr>
              <w:spacing w:line="240" w:lineRule="auto"/>
              <w:ind w:firstLine="0" w:firstLineChars="0"/>
              <w:rPr>
                <w:rFonts w:hint="default" w:ascii="Times New Roman" w:hAnsi="Times New Roman" w:cs="Times New Roman"/>
                <w:sz w:val="21"/>
                <w:szCs w:val="21"/>
              </w:rPr>
            </w:pPr>
          </w:p>
        </w:tc>
      </w:tr>
      <w:tr w14:paraId="12200D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34B041EB">
            <w:pPr>
              <w:spacing w:line="240" w:lineRule="auto"/>
              <w:ind w:firstLine="0" w:firstLineChars="0"/>
              <w:jc w:val="center"/>
              <w:rPr>
                <w:rFonts w:hint="eastAsia" w:cs="Times New Roman"/>
                <w:kern w:val="0"/>
                <w:sz w:val="21"/>
                <w:szCs w:val="21"/>
                <w:lang w:eastAsia="zh-CN"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6C803CE5">
            <w:pPr>
              <w:spacing w:line="240" w:lineRule="auto"/>
              <w:ind w:firstLine="0" w:firstLineChars="0"/>
              <w:jc w:val="center"/>
              <w:rPr>
                <w:rFonts w:hint="eastAsia" w:cs="Times New Roman"/>
                <w:kern w:val="0"/>
                <w:sz w:val="21"/>
                <w:szCs w:val="21"/>
                <w:lang w:eastAsia="zh-CN" w:bidi="ar"/>
              </w:rPr>
            </w:pPr>
          </w:p>
        </w:tc>
        <w:tc>
          <w:tcPr>
            <w:tcW w:w="2230" w:type="dxa"/>
            <w:tcBorders>
              <w:tl2br w:val="nil"/>
              <w:tr2bl w:val="nil"/>
            </w:tcBorders>
            <w:shd w:val="clear" w:color="auto" w:fill="auto"/>
            <w:tcMar>
              <w:top w:w="0" w:type="dxa"/>
              <w:left w:w="0" w:type="dxa"/>
              <w:bottom w:w="0" w:type="dxa"/>
              <w:right w:w="0" w:type="dxa"/>
            </w:tcMar>
            <w:vAlign w:val="center"/>
          </w:tcPr>
          <w:p w14:paraId="4C2FA372">
            <w:pPr>
              <w:spacing w:line="240" w:lineRule="auto"/>
              <w:ind w:firstLine="0" w:firstLineChars="0"/>
              <w:jc w:val="center"/>
              <w:textAlignment w:val="center"/>
              <w:rPr>
                <w:rFonts w:hint="default" w:ascii="Times New Roman" w:hAnsi="Times New Roman" w:cs="Times New Roman"/>
                <w:kern w:val="0"/>
                <w:sz w:val="21"/>
                <w:szCs w:val="21"/>
                <w:lang w:eastAsia="zh-CN" w:bidi="ar"/>
              </w:rPr>
            </w:pPr>
            <w:r>
              <w:rPr>
                <w:rFonts w:hint="default" w:ascii="Times New Roman" w:hAnsi="Times New Roman" w:cs="Times New Roman"/>
                <w:kern w:val="0"/>
                <w:sz w:val="21"/>
                <w:szCs w:val="21"/>
                <w:lang w:eastAsia="zh-CN" w:bidi="ar"/>
              </w:rPr>
              <w:t>临时沉砂池</w:t>
            </w:r>
          </w:p>
        </w:tc>
        <w:tc>
          <w:tcPr>
            <w:tcW w:w="143" w:type="dxa"/>
            <w:tcBorders>
              <w:tl2br w:val="nil"/>
              <w:tr2bl w:val="nil"/>
            </w:tcBorders>
            <w:shd w:val="clear" w:color="auto" w:fill="auto"/>
            <w:noWrap/>
            <w:tcMar>
              <w:top w:w="0" w:type="dxa"/>
              <w:left w:w="0" w:type="dxa"/>
              <w:bottom w:w="0" w:type="dxa"/>
              <w:right w:w="0" w:type="dxa"/>
            </w:tcMar>
            <w:vAlign w:val="center"/>
          </w:tcPr>
          <w:p w14:paraId="03624CE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30D9B0C1">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C85C1B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44AF3AC6">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4FBDE71E">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auto"/>
          </w:tcPr>
          <w:p w14:paraId="44D86EC0">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auto"/>
          </w:tcPr>
          <w:p w14:paraId="517AF1D0">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auto"/>
          </w:tcPr>
          <w:p w14:paraId="0FE1D90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184237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7190E67A">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ABB33A4">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74BF313A">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1DFB2845">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2DF08D7F">
            <w:pPr>
              <w:spacing w:line="240" w:lineRule="auto"/>
              <w:ind w:firstLine="0" w:firstLineChars="0"/>
              <w:rPr>
                <w:rFonts w:hint="default" w:ascii="Times New Roman" w:hAnsi="Times New Roman" w:cs="Times New Roman"/>
                <w:sz w:val="21"/>
                <w:szCs w:val="21"/>
              </w:rPr>
            </w:pPr>
          </w:p>
        </w:tc>
      </w:tr>
      <w:tr w14:paraId="5FF43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3FE07358">
            <w:pPr>
              <w:spacing w:line="240" w:lineRule="auto"/>
              <w:ind w:firstLine="0" w:firstLineChars="0"/>
              <w:jc w:val="center"/>
              <w:rPr>
                <w:rFonts w:hint="eastAsia" w:cs="Times New Roman"/>
                <w:kern w:val="0"/>
                <w:sz w:val="21"/>
                <w:szCs w:val="21"/>
                <w:lang w:eastAsia="zh-CN"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22B3DC40">
            <w:pPr>
              <w:spacing w:line="240" w:lineRule="auto"/>
              <w:ind w:firstLine="0" w:firstLineChars="0"/>
              <w:jc w:val="center"/>
              <w:rPr>
                <w:rFonts w:hint="eastAsia" w:cs="Times New Roman"/>
                <w:kern w:val="0"/>
                <w:sz w:val="21"/>
                <w:szCs w:val="21"/>
                <w:lang w:eastAsia="zh-CN" w:bidi="ar"/>
              </w:rPr>
            </w:pPr>
          </w:p>
        </w:tc>
        <w:tc>
          <w:tcPr>
            <w:tcW w:w="2230" w:type="dxa"/>
            <w:tcBorders>
              <w:tl2br w:val="nil"/>
              <w:tr2bl w:val="nil"/>
            </w:tcBorders>
            <w:shd w:val="clear" w:color="auto" w:fill="auto"/>
            <w:tcMar>
              <w:top w:w="0" w:type="dxa"/>
              <w:left w:w="0" w:type="dxa"/>
              <w:bottom w:w="0" w:type="dxa"/>
              <w:right w:w="0" w:type="dxa"/>
            </w:tcMar>
            <w:vAlign w:val="center"/>
          </w:tcPr>
          <w:p w14:paraId="29CE9C03">
            <w:pPr>
              <w:spacing w:line="240" w:lineRule="auto"/>
              <w:ind w:firstLine="0" w:firstLineChars="0"/>
              <w:jc w:val="center"/>
              <w:textAlignment w:val="center"/>
              <w:rPr>
                <w:rFonts w:hint="default" w:ascii="Times New Roman" w:hAnsi="Times New Roman" w:cs="Times New Roman"/>
                <w:kern w:val="0"/>
                <w:sz w:val="21"/>
                <w:szCs w:val="21"/>
                <w:lang w:eastAsia="zh-CN" w:bidi="ar"/>
              </w:rPr>
            </w:pPr>
            <w:r>
              <w:rPr>
                <w:rFonts w:hint="default" w:ascii="Times New Roman" w:hAnsi="Times New Roman" w:cs="Times New Roman"/>
                <w:kern w:val="0"/>
                <w:sz w:val="21"/>
                <w:szCs w:val="21"/>
                <w:lang w:eastAsia="zh-CN" w:bidi="ar"/>
              </w:rPr>
              <w:t>车辆清洗</w:t>
            </w:r>
            <w:r>
              <w:rPr>
                <w:rFonts w:hint="eastAsia" w:cs="Times New Roman"/>
                <w:kern w:val="0"/>
                <w:sz w:val="21"/>
                <w:szCs w:val="21"/>
                <w:lang w:val="en-US" w:eastAsia="zh-CN" w:bidi="ar"/>
              </w:rPr>
              <w:t>池</w:t>
            </w:r>
          </w:p>
        </w:tc>
        <w:tc>
          <w:tcPr>
            <w:tcW w:w="143" w:type="dxa"/>
            <w:tcBorders>
              <w:tl2br w:val="nil"/>
              <w:tr2bl w:val="nil"/>
            </w:tcBorders>
            <w:shd w:val="clear" w:color="auto" w:fill="auto"/>
            <w:noWrap/>
            <w:tcMar>
              <w:top w:w="0" w:type="dxa"/>
              <w:left w:w="0" w:type="dxa"/>
              <w:bottom w:w="0" w:type="dxa"/>
              <w:right w:w="0" w:type="dxa"/>
            </w:tcMar>
            <w:vAlign w:val="center"/>
          </w:tcPr>
          <w:p w14:paraId="4FA0C45A">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2F1942E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6C6E9500">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74B08DC">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55B57D95">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tcPr>
          <w:p w14:paraId="24203CFC">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226EC72A">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550EE48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37293A9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7C1CC8B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0244B53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6590CFD5">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tcPr>
          <w:p w14:paraId="3ADCF15A">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67DAA51E">
            <w:pPr>
              <w:spacing w:line="240" w:lineRule="auto"/>
              <w:ind w:firstLine="0" w:firstLineChars="0"/>
              <w:rPr>
                <w:rFonts w:hint="default" w:ascii="Times New Roman" w:hAnsi="Times New Roman" w:cs="Times New Roman"/>
                <w:sz w:val="21"/>
                <w:szCs w:val="21"/>
              </w:rPr>
            </w:pPr>
          </w:p>
        </w:tc>
      </w:tr>
      <w:tr w14:paraId="188E3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38E2A26B">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226DD42C">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09A8F5F4">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水土保持管理要求</w:t>
            </w:r>
          </w:p>
        </w:tc>
        <w:tc>
          <w:tcPr>
            <w:tcW w:w="143" w:type="dxa"/>
            <w:tcBorders>
              <w:tl2br w:val="nil"/>
              <w:tr2bl w:val="nil"/>
            </w:tcBorders>
            <w:shd w:val="clear" w:color="auto" w:fill="FFFF00"/>
            <w:noWrap/>
            <w:tcMar>
              <w:top w:w="0" w:type="dxa"/>
              <w:left w:w="0" w:type="dxa"/>
              <w:bottom w:w="0" w:type="dxa"/>
              <w:right w:w="0" w:type="dxa"/>
            </w:tcMar>
            <w:vAlign w:val="center"/>
          </w:tcPr>
          <w:p w14:paraId="73BFEBA3">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14A9A473">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7AE25BF9">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415EF204">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1B359145">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61A977D2">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3F656ABF">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435F9E17">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372401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1B8EBD9">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2D6BFBA0">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408240F4">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5043C96B">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7E998F0D">
            <w:pPr>
              <w:spacing w:line="240" w:lineRule="auto"/>
              <w:ind w:firstLine="0" w:firstLineChars="0"/>
              <w:rPr>
                <w:rFonts w:hint="default" w:ascii="Times New Roman" w:hAnsi="Times New Roman" w:cs="Times New Roman"/>
                <w:sz w:val="21"/>
                <w:szCs w:val="21"/>
              </w:rPr>
            </w:pPr>
          </w:p>
        </w:tc>
      </w:tr>
      <w:tr w14:paraId="5CF42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78283839">
            <w:pPr>
              <w:spacing w:line="240" w:lineRule="auto"/>
              <w:ind w:firstLine="0" w:firstLineChars="0"/>
              <w:jc w:val="center"/>
              <w:rPr>
                <w:rFonts w:hint="default" w:ascii="Times New Roman" w:hAnsi="Times New Roman" w:cs="Times New Roman"/>
                <w:sz w:val="21"/>
                <w:szCs w:val="21"/>
              </w:rPr>
            </w:pPr>
          </w:p>
        </w:tc>
        <w:tc>
          <w:tcPr>
            <w:tcW w:w="1676" w:type="dxa"/>
            <w:vMerge w:val="restart"/>
            <w:tcBorders>
              <w:tl2br w:val="nil"/>
              <w:tr2bl w:val="nil"/>
            </w:tcBorders>
            <w:shd w:val="clear" w:color="auto" w:fill="auto"/>
            <w:tcMar>
              <w:top w:w="0" w:type="dxa"/>
              <w:left w:w="0" w:type="dxa"/>
              <w:bottom w:w="0" w:type="dxa"/>
              <w:right w:w="0" w:type="dxa"/>
            </w:tcMar>
            <w:vAlign w:val="center"/>
          </w:tcPr>
          <w:p w14:paraId="75ADE189">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绿化区</w:t>
            </w:r>
          </w:p>
        </w:tc>
        <w:tc>
          <w:tcPr>
            <w:tcW w:w="2230" w:type="dxa"/>
            <w:tcBorders>
              <w:tl2br w:val="nil"/>
              <w:tr2bl w:val="nil"/>
            </w:tcBorders>
            <w:shd w:val="clear" w:color="auto" w:fill="auto"/>
            <w:tcMar>
              <w:top w:w="0" w:type="dxa"/>
              <w:left w:w="0" w:type="dxa"/>
              <w:bottom w:w="0" w:type="dxa"/>
              <w:right w:w="0" w:type="dxa"/>
            </w:tcMar>
            <w:vAlign w:val="center"/>
          </w:tcPr>
          <w:p w14:paraId="409098C2">
            <w:pPr>
              <w:spacing w:line="240" w:lineRule="auto"/>
              <w:ind w:firstLine="0" w:firstLineChars="0"/>
              <w:jc w:val="center"/>
              <w:textAlignment w:val="center"/>
              <w:rPr>
                <w:rFonts w:hint="default" w:ascii="Times New Roman" w:hAnsi="Times New Roman" w:eastAsia="仿宋_GB2312" w:cs="Times New Roman"/>
                <w:kern w:val="0"/>
                <w:sz w:val="21"/>
                <w:szCs w:val="21"/>
                <w:lang w:val="en-US" w:eastAsia="zh-CN" w:bidi="ar"/>
              </w:rPr>
            </w:pPr>
            <w:r>
              <w:rPr>
                <w:rFonts w:hint="eastAsia" w:cs="Times New Roman"/>
                <w:kern w:val="0"/>
                <w:sz w:val="21"/>
                <w:szCs w:val="21"/>
                <w:lang w:val="en-US" w:eastAsia="zh-CN" w:bidi="ar"/>
              </w:rPr>
              <w:t>表土剥离</w:t>
            </w:r>
          </w:p>
        </w:tc>
        <w:tc>
          <w:tcPr>
            <w:tcW w:w="143" w:type="dxa"/>
            <w:tcBorders>
              <w:tl2br w:val="nil"/>
              <w:tr2bl w:val="nil"/>
            </w:tcBorders>
            <w:shd w:val="clear" w:color="auto" w:fill="auto"/>
            <w:noWrap/>
            <w:tcMar>
              <w:top w:w="0" w:type="dxa"/>
              <w:left w:w="0" w:type="dxa"/>
              <w:bottom w:w="0" w:type="dxa"/>
              <w:right w:w="0" w:type="dxa"/>
            </w:tcMar>
            <w:vAlign w:val="center"/>
          </w:tcPr>
          <w:p w14:paraId="24D89239">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36D739D8">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1930E688">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143" w:type="dxa"/>
            <w:tcBorders>
              <w:tl2br w:val="nil"/>
              <w:tr2bl w:val="nil"/>
            </w:tcBorders>
            <w:shd w:val="clear" w:color="auto" w:fill="auto"/>
            <w:noWrap/>
            <w:tcMar>
              <w:top w:w="0" w:type="dxa"/>
              <w:left w:w="0" w:type="dxa"/>
              <w:bottom w:w="0" w:type="dxa"/>
              <w:right w:w="0" w:type="dxa"/>
            </w:tcMar>
            <w:vAlign w:val="center"/>
          </w:tcPr>
          <w:p w14:paraId="473C6C5C">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285" w:type="dxa"/>
            <w:tcBorders>
              <w:tl2br w:val="nil"/>
              <w:tr2bl w:val="nil"/>
            </w:tcBorders>
            <w:shd w:val="clear" w:color="auto" w:fill="FFFF00"/>
            <w:noWrap/>
            <w:tcMar>
              <w:top w:w="0" w:type="dxa"/>
              <w:left w:w="0" w:type="dxa"/>
              <w:bottom w:w="0" w:type="dxa"/>
              <w:right w:w="0" w:type="dxa"/>
            </w:tcMar>
            <w:vAlign w:val="center"/>
          </w:tcPr>
          <w:p w14:paraId="464239F7">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99" w:type="dxa"/>
            <w:tcBorders>
              <w:tl2br w:val="nil"/>
              <w:tr2bl w:val="nil"/>
            </w:tcBorders>
            <w:shd w:val="clear" w:color="auto" w:fill="FFFF00"/>
            <w:vAlign w:val="top"/>
          </w:tcPr>
          <w:p w14:paraId="156269F5">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67" w:type="dxa"/>
            <w:tcBorders>
              <w:tl2br w:val="nil"/>
              <w:tr2bl w:val="nil"/>
            </w:tcBorders>
            <w:shd w:val="clear" w:color="auto" w:fill="auto"/>
            <w:vAlign w:val="top"/>
          </w:tcPr>
          <w:p w14:paraId="0C271520">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579" w:type="dxa"/>
            <w:tcBorders>
              <w:tl2br w:val="nil"/>
              <w:tr2bl w:val="nil"/>
            </w:tcBorders>
            <w:shd w:val="clear" w:color="auto" w:fill="auto"/>
            <w:vAlign w:val="top"/>
          </w:tcPr>
          <w:p w14:paraId="62693A43">
            <w:pPr>
              <w:spacing w:line="240" w:lineRule="auto"/>
              <w:ind w:firstLine="0" w:firstLineChars="0"/>
              <w:rPr>
                <w:rFonts w:hint="default" w:ascii="Times New Roman" w:hAnsi="Times New Roman" w:eastAsia="仿宋_GB2312" w:cs="Times New Roman"/>
                <w:kern w:val="2"/>
                <w:sz w:val="21"/>
                <w:szCs w:val="21"/>
                <w:lang w:val="en-US" w:eastAsia="zh-CN" w:bidi="ar-SA"/>
              </w:rPr>
            </w:pPr>
          </w:p>
        </w:tc>
        <w:tc>
          <w:tcPr>
            <w:tcW w:w="417" w:type="dxa"/>
            <w:tcBorders>
              <w:tl2br w:val="nil"/>
              <w:tr2bl w:val="nil"/>
            </w:tcBorders>
            <w:shd w:val="clear" w:color="auto" w:fill="auto"/>
          </w:tcPr>
          <w:p w14:paraId="65B352D5">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05112AC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B84C389">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407F984B">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1CFE1A64">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6797242E">
            <w:pPr>
              <w:spacing w:line="240" w:lineRule="auto"/>
              <w:ind w:firstLine="0" w:firstLineChars="0"/>
              <w:rPr>
                <w:rFonts w:hint="default" w:ascii="Times New Roman" w:hAnsi="Times New Roman" w:cs="Times New Roman"/>
                <w:sz w:val="21"/>
                <w:szCs w:val="21"/>
              </w:rPr>
            </w:pPr>
          </w:p>
        </w:tc>
      </w:tr>
      <w:tr w14:paraId="037ED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4A4C245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6CC496EF">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2230" w:type="dxa"/>
            <w:tcBorders>
              <w:tl2br w:val="nil"/>
              <w:tr2bl w:val="nil"/>
            </w:tcBorders>
            <w:shd w:val="clear" w:color="auto" w:fill="auto"/>
            <w:tcMar>
              <w:top w:w="0" w:type="dxa"/>
              <w:left w:w="0" w:type="dxa"/>
              <w:bottom w:w="0" w:type="dxa"/>
              <w:right w:w="0" w:type="dxa"/>
            </w:tcMar>
            <w:vAlign w:val="center"/>
          </w:tcPr>
          <w:p w14:paraId="492A056F">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景观绿化</w:t>
            </w:r>
          </w:p>
        </w:tc>
        <w:tc>
          <w:tcPr>
            <w:tcW w:w="143" w:type="dxa"/>
            <w:tcBorders>
              <w:tl2br w:val="nil"/>
              <w:tr2bl w:val="nil"/>
            </w:tcBorders>
            <w:shd w:val="clear" w:color="auto" w:fill="auto"/>
            <w:noWrap/>
            <w:tcMar>
              <w:top w:w="0" w:type="dxa"/>
              <w:left w:w="0" w:type="dxa"/>
              <w:bottom w:w="0" w:type="dxa"/>
              <w:right w:w="0" w:type="dxa"/>
            </w:tcMar>
            <w:vAlign w:val="center"/>
          </w:tcPr>
          <w:p w14:paraId="538DF3D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29A46FF">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6F49EDC0">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15114226">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auto"/>
            <w:noWrap/>
            <w:tcMar>
              <w:top w:w="0" w:type="dxa"/>
              <w:left w:w="0" w:type="dxa"/>
              <w:bottom w:w="0" w:type="dxa"/>
              <w:right w:w="0" w:type="dxa"/>
            </w:tcMar>
            <w:vAlign w:val="center"/>
          </w:tcPr>
          <w:p w14:paraId="7B2C2F1B">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auto"/>
          </w:tcPr>
          <w:p w14:paraId="1970BE0D">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44808E0C">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0ED9186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1DCBEF3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060DCA1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00CCD29F">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61B6F625">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1686FB51">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07F239CF">
            <w:pPr>
              <w:spacing w:line="240" w:lineRule="auto"/>
              <w:ind w:firstLine="0" w:firstLineChars="0"/>
              <w:rPr>
                <w:rFonts w:hint="default" w:ascii="Times New Roman" w:hAnsi="Times New Roman" w:cs="Times New Roman"/>
                <w:sz w:val="21"/>
                <w:szCs w:val="21"/>
              </w:rPr>
            </w:pPr>
          </w:p>
        </w:tc>
      </w:tr>
      <w:tr w14:paraId="003E4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5D29C5C4">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1C779702">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2230" w:type="dxa"/>
            <w:tcBorders>
              <w:tl2br w:val="nil"/>
              <w:tr2bl w:val="nil"/>
            </w:tcBorders>
            <w:shd w:val="clear" w:color="auto" w:fill="auto"/>
            <w:tcMar>
              <w:top w:w="0" w:type="dxa"/>
              <w:left w:w="0" w:type="dxa"/>
              <w:bottom w:w="0" w:type="dxa"/>
              <w:right w:w="0" w:type="dxa"/>
            </w:tcMar>
            <w:vAlign w:val="center"/>
          </w:tcPr>
          <w:p w14:paraId="242688E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无纺布临时苫盖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5C4B83B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530623C">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D26713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4AC9533">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auto"/>
            <w:noWrap/>
            <w:tcMar>
              <w:top w:w="0" w:type="dxa"/>
              <w:left w:w="0" w:type="dxa"/>
              <w:bottom w:w="0" w:type="dxa"/>
              <w:right w:w="0" w:type="dxa"/>
            </w:tcMar>
            <w:vAlign w:val="center"/>
          </w:tcPr>
          <w:p w14:paraId="7923DFAB">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auto"/>
          </w:tcPr>
          <w:p w14:paraId="6BEE195A">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tcPr>
          <w:p w14:paraId="5DD6CE8E">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2BBC5041">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1768324">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5F300B6D">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0F6169C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2193FFD6">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26B16FBF">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319A40E4">
            <w:pPr>
              <w:spacing w:line="240" w:lineRule="auto"/>
              <w:ind w:firstLine="0" w:firstLineChars="0"/>
              <w:rPr>
                <w:rFonts w:hint="default" w:ascii="Times New Roman" w:hAnsi="Times New Roman" w:cs="Times New Roman"/>
                <w:sz w:val="21"/>
                <w:szCs w:val="21"/>
              </w:rPr>
            </w:pPr>
          </w:p>
        </w:tc>
      </w:tr>
      <w:tr w14:paraId="26AC89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6E93A84B">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62DDF6B6">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462759BC">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编织袋拦挡</w:t>
            </w:r>
          </w:p>
        </w:tc>
        <w:tc>
          <w:tcPr>
            <w:tcW w:w="143" w:type="dxa"/>
            <w:tcBorders>
              <w:tl2br w:val="nil"/>
              <w:tr2bl w:val="nil"/>
            </w:tcBorders>
            <w:shd w:val="clear" w:color="auto" w:fill="auto"/>
            <w:noWrap/>
            <w:tcMar>
              <w:top w:w="0" w:type="dxa"/>
              <w:left w:w="0" w:type="dxa"/>
              <w:bottom w:w="0" w:type="dxa"/>
              <w:right w:w="0" w:type="dxa"/>
            </w:tcMar>
            <w:vAlign w:val="center"/>
          </w:tcPr>
          <w:p w14:paraId="7C3D730F">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1D2427D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4643EA1B">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75AC381A">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574E99FE">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70A272AA">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auto"/>
          </w:tcPr>
          <w:p w14:paraId="019CEBFA">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tcPr>
          <w:p w14:paraId="3372F327">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7B74951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7D04A906">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42020B64">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tcPr>
          <w:p w14:paraId="6B7240C5">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tcPr>
          <w:p w14:paraId="19B8D1D6">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tcPr>
          <w:p w14:paraId="096A57CC">
            <w:pPr>
              <w:spacing w:line="240" w:lineRule="auto"/>
              <w:ind w:firstLine="0" w:firstLineChars="0"/>
              <w:rPr>
                <w:rFonts w:hint="default" w:ascii="Times New Roman" w:hAnsi="Times New Roman" w:cs="Times New Roman"/>
                <w:sz w:val="21"/>
                <w:szCs w:val="21"/>
              </w:rPr>
            </w:pPr>
          </w:p>
        </w:tc>
      </w:tr>
      <w:tr w14:paraId="30BF82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58831932">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063218A4">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48D9C101">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彩条布临时苫盖</w:t>
            </w:r>
          </w:p>
        </w:tc>
        <w:tc>
          <w:tcPr>
            <w:tcW w:w="143" w:type="dxa"/>
            <w:tcBorders>
              <w:tl2br w:val="nil"/>
              <w:tr2bl w:val="nil"/>
            </w:tcBorders>
            <w:shd w:val="clear" w:color="auto" w:fill="auto"/>
            <w:noWrap/>
            <w:tcMar>
              <w:top w:w="0" w:type="dxa"/>
              <w:left w:w="0" w:type="dxa"/>
              <w:bottom w:w="0" w:type="dxa"/>
              <w:right w:w="0" w:type="dxa"/>
            </w:tcMar>
            <w:vAlign w:val="center"/>
          </w:tcPr>
          <w:p w14:paraId="601BD359">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393F8C18">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0345BB56">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auto"/>
            <w:noWrap/>
            <w:tcMar>
              <w:top w:w="0" w:type="dxa"/>
              <w:left w:w="0" w:type="dxa"/>
              <w:bottom w:w="0" w:type="dxa"/>
              <w:right w:w="0" w:type="dxa"/>
            </w:tcMar>
            <w:vAlign w:val="center"/>
          </w:tcPr>
          <w:p w14:paraId="5EDCF86E">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189E34F0">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7E7DE281">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auto"/>
          </w:tcPr>
          <w:p w14:paraId="4971F906">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auto"/>
          </w:tcPr>
          <w:p w14:paraId="1E185FF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6A03CB3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2BF2ADFC">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2B42A9AB">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auto"/>
          </w:tcPr>
          <w:p w14:paraId="03C71F9E">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auto"/>
          </w:tcPr>
          <w:p w14:paraId="6F2DFCC6">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auto"/>
          </w:tcPr>
          <w:p w14:paraId="3A702606">
            <w:pPr>
              <w:spacing w:line="240" w:lineRule="auto"/>
              <w:ind w:firstLine="0" w:firstLineChars="0"/>
              <w:rPr>
                <w:rFonts w:hint="default" w:ascii="Times New Roman" w:hAnsi="Times New Roman" w:cs="Times New Roman"/>
                <w:sz w:val="21"/>
                <w:szCs w:val="21"/>
              </w:rPr>
            </w:pPr>
          </w:p>
        </w:tc>
      </w:tr>
      <w:tr w14:paraId="6655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857" w:type="dxa"/>
            <w:vMerge w:val="continue"/>
            <w:tcBorders>
              <w:tl2br w:val="nil"/>
              <w:tr2bl w:val="nil"/>
            </w:tcBorders>
            <w:shd w:val="clear" w:color="auto" w:fill="auto"/>
            <w:tcMar>
              <w:top w:w="0" w:type="dxa"/>
              <w:left w:w="0" w:type="dxa"/>
              <w:bottom w:w="0" w:type="dxa"/>
              <w:right w:w="0" w:type="dxa"/>
            </w:tcMar>
            <w:vAlign w:val="center"/>
          </w:tcPr>
          <w:p w14:paraId="46C4A6B1">
            <w:pPr>
              <w:spacing w:line="240" w:lineRule="auto"/>
              <w:ind w:firstLine="0" w:firstLineChars="0"/>
              <w:jc w:val="center"/>
              <w:rPr>
                <w:rFonts w:hint="default" w:ascii="Times New Roman" w:hAnsi="Times New Roman" w:cs="Times New Roman"/>
                <w:sz w:val="21"/>
                <w:szCs w:val="21"/>
              </w:rPr>
            </w:pPr>
          </w:p>
        </w:tc>
        <w:tc>
          <w:tcPr>
            <w:tcW w:w="1676" w:type="dxa"/>
            <w:vMerge w:val="continue"/>
            <w:tcBorders>
              <w:tl2br w:val="nil"/>
              <w:tr2bl w:val="nil"/>
            </w:tcBorders>
            <w:shd w:val="clear" w:color="auto" w:fill="auto"/>
            <w:tcMar>
              <w:top w:w="0" w:type="dxa"/>
              <w:left w:w="0" w:type="dxa"/>
              <w:bottom w:w="0" w:type="dxa"/>
              <w:right w:w="0" w:type="dxa"/>
            </w:tcMar>
            <w:vAlign w:val="center"/>
          </w:tcPr>
          <w:p w14:paraId="02EDE5C0">
            <w:pPr>
              <w:spacing w:line="240" w:lineRule="auto"/>
              <w:ind w:firstLine="0" w:firstLineChars="0"/>
              <w:jc w:val="center"/>
              <w:rPr>
                <w:rFonts w:hint="default" w:ascii="Times New Roman" w:hAnsi="Times New Roman" w:cs="Times New Roman"/>
                <w:sz w:val="21"/>
                <w:szCs w:val="21"/>
              </w:rPr>
            </w:pPr>
          </w:p>
        </w:tc>
        <w:tc>
          <w:tcPr>
            <w:tcW w:w="2230" w:type="dxa"/>
            <w:tcBorders>
              <w:tl2br w:val="nil"/>
              <w:tr2bl w:val="nil"/>
            </w:tcBorders>
            <w:shd w:val="clear" w:color="auto" w:fill="auto"/>
            <w:tcMar>
              <w:top w:w="0" w:type="dxa"/>
              <w:left w:w="0" w:type="dxa"/>
              <w:bottom w:w="0" w:type="dxa"/>
              <w:right w:w="0" w:type="dxa"/>
            </w:tcMar>
            <w:vAlign w:val="center"/>
          </w:tcPr>
          <w:p w14:paraId="4FEE02F0">
            <w:pPr>
              <w:spacing w:line="240" w:lineRule="auto"/>
              <w:ind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lang w:bidi="ar"/>
              </w:rPr>
              <w:t>水土保持管理要求</w:t>
            </w:r>
          </w:p>
        </w:tc>
        <w:tc>
          <w:tcPr>
            <w:tcW w:w="143" w:type="dxa"/>
            <w:tcBorders>
              <w:tl2br w:val="nil"/>
              <w:tr2bl w:val="nil"/>
            </w:tcBorders>
            <w:shd w:val="clear" w:color="auto" w:fill="FFFF00"/>
            <w:noWrap/>
            <w:tcMar>
              <w:top w:w="0" w:type="dxa"/>
              <w:left w:w="0" w:type="dxa"/>
              <w:bottom w:w="0" w:type="dxa"/>
              <w:right w:w="0" w:type="dxa"/>
            </w:tcMar>
            <w:vAlign w:val="center"/>
          </w:tcPr>
          <w:p w14:paraId="23D52A47">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05D841D5">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5161683D">
            <w:pPr>
              <w:spacing w:line="240" w:lineRule="auto"/>
              <w:ind w:firstLine="0" w:firstLineChars="0"/>
              <w:rPr>
                <w:rFonts w:hint="default" w:ascii="Times New Roman" w:hAnsi="Times New Roman" w:cs="Times New Roman"/>
                <w:sz w:val="21"/>
                <w:szCs w:val="21"/>
              </w:rPr>
            </w:pPr>
          </w:p>
        </w:tc>
        <w:tc>
          <w:tcPr>
            <w:tcW w:w="143" w:type="dxa"/>
            <w:tcBorders>
              <w:tl2br w:val="nil"/>
              <w:tr2bl w:val="nil"/>
            </w:tcBorders>
            <w:shd w:val="clear" w:color="auto" w:fill="FFFF00"/>
            <w:noWrap/>
            <w:tcMar>
              <w:top w:w="0" w:type="dxa"/>
              <w:left w:w="0" w:type="dxa"/>
              <w:bottom w:w="0" w:type="dxa"/>
              <w:right w:w="0" w:type="dxa"/>
            </w:tcMar>
            <w:vAlign w:val="center"/>
          </w:tcPr>
          <w:p w14:paraId="5343A39B">
            <w:pPr>
              <w:spacing w:line="240" w:lineRule="auto"/>
              <w:ind w:firstLine="0" w:firstLineChars="0"/>
              <w:rPr>
                <w:rFonts w:hint="default" w:ascii="Times New Roman" w:hAnsi="Times New Roman" w:cs="Times New Roman"/>
                <w:sz w:val="21"/>
                <w:szCs w:val="21"/>
              </w:rPr>
            </w:pPr>
          </w:p>
        </w:tc>
        <w:tc>
          <w:tcPr>
            <w:tcW w:w="285" w:type="dxa"/>
            <w:tcBorders>
              <w:tl2br w:val="nil"/>
              <w:tr2bl w:val="nil"/>
            </w:tcBorders>
            <w:shd w:val="clear" w:color="auto" w:fill="FFFF00"/>
            <w:noWrap/>
            <w:tcMar>
              <w:top w:w="0" w:type="dxa"/>
              <w:left w:w="0" w:type="dxa"/>
              <w:bottom w:w="0" w:type="dxa"/>
              <w:right w:w="0" w:type="dxa"/>
            </w:tcMar>
            <w:vAlign w:val="center"/>
          </w:tcPr>
          <w:p w14:paraId="6DDF0ED2">
            <w:pPr>
              <w:spacing w:line="240" w:lineRule="auto"/>
              <w:ind w:firstLine="0" w:firstLineChars="0"/>
              <w:rPr>
                <w:rFonts w:hint="default" w:ascii="Times New Roman" w:hAnsi="Times New Roman" w:cs="Times New Roman"/>
                <w:sz w:val="21"/>
                <w:szCs w:val="21"/>
              </w:rPr>
            </w:pPr>
          </w:p>
        </w:tc>
        <w:tc>
          <w:tcPr>
            <w:tcW w:w="499" w:type="dxa"/>
            <w:tcBorders>
              <w:tl2br w:val="nil"/>
              <w:tr2bl w:val="nil"/>
            </w:tcBorders>
            <w:shd w:val="clear" w:color="auto" w:fill="FFFF00"/>
          </w:tcPr>
          <w:p w14:paraId="1DB32D46">
            <w:pPr>
              <w:spacing w:line="240" w:lineRule="auto"/>
              <w:ind w:firstLine="0" w:firstLineChars="0"/>
              <w:rPr>
                <w:rFonts w:hint="default" w:ascii="Times New Roman" w:hAnsi="Times New Roman" w:cs="Times New Roman"/>
                <w:sz w:val="21"/>
                <w:szCs w:val="21"/>
              </w:rPr>
            </w:pPr>
          </w:p>
        </w:tc>
        <w:tc>
          <w:tcPr>
            <w:tcW w:w="467" w:type="dxa"/>
            <w:tcBorders>
              <w:tl2br w:val="nil"/>
              <w:tr2bl w:val="nil"/>
            </w:tcBorders>
            <w:shd w:val="clear" w:color="auto" w:fill="FFFF00"/>
          </w:tcPr>
          <w:p w14:paraId="09F2E89D">
            <w:pPr>
              <w:spacing w:line="240" w:lineRule="auto"/>
              <w:ind w:firstLine="0" w:firstLineChars="0"/>
              <w:rPr>
                <w:rFonts w:hint="default" w:ascii="Times New Roman" w:hAnsi="Times New Roman" w:cs="Times New Roman"/>
                <w:sz w:val="21"/>
                <w:szCs w:val="21"/>
              </w:rPr>
            </w:pPr>
          </w:p>
        </w:tc>
        <w:tc>
          <w:tcPr>
            <w:tcW w:w="579" w:type="dxa"/>
            <w:tcBorders>
              <w:tl2br w:val="nil"/>
              <w:tr2bl w:val="nil"/>
            </w:tcBorders>
            <w:shd w:val="clear" w:color="auto" w:fill="FFFF00"/>
          </w:tcPr>
          <w:p w14:paraId="2A9A27E9">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D4B2912">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096ADDBC">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1ECC819E">
            <w:pPr>
              <w:spacing w:line="240" w:lineRule="auto"/>
              <w:ind w:firstLine="0" w:firstLineChars="0"/>
              <w:rPr>
                <w:rFonts w:hint="default" w:ascii="Times New Roman" w:hAnsi="Times New Roman" w:cs="Times New Roman"/>
                <w:sz w:val="21"/>
                <w:szCs w:val="21"/>
              </w:rPr>
            </w:pPr>
          </w:p>
        </w:tc>
        <w:tc>
          <w:tcPr>
            <w:tcW w:w="417" w:type="dxa"/>
            <w:tcBorders>
              <w:tl2br w:val="nil"/>
              <w:tr2bl w:val="nil"/>
            </w:tcBorders>
            <w:shd w:val="clear" w:color="auto" w:fill="FFFF00"/>
          </w:tcPr>
          <w:p w14:paraId="7DCACDFF">
            <w:pPr>
              <w:spacing w:line="240" w:lineRule="auto"/>
              <w:ind w:firstLine="0" w:firstLineChars="0"/>
              <w:rPr>
                <w:rFonts w:hint="default" w:ascii="Times New Roman" w:hAnsi="Times New Roman" w:cs="Times New Roman"/>
                <w:sz w:val="21"/>
                <w:szCs w:val="21"/>
              </w:rPr>
            </w:pPr>
          </w:p>
        </w:tc>
        <w:tc>
          <w:tcPr>
            <w:tcW w:w="418" w:type="dxa"/>
            <w:tcBorders>
              <w:tl2br w:val="nil"/>
              <w:tr2bl w:val="nil"/>
            </w:tcBorders>
            <w:shd w:val="clear" w:color="auto" w:fill="FFFF00"/>
          </w:tcPr>
          <w:p w14:paraId="6A82D76F">
            <w:pPr>
              <w:spacing w:line="240" w:lineRule="auto"/>
              <w:ind w:firstLine="0" w:firstLineChars="0"/>
              <w:rPr>
                <w:rFonts w:hint="default" w:ascii="Times New Roman" w:hAnsi="Times New Roman" w:cs="Times New Roman"/>
                <w:sz w:val="21"/>
                <w:szCs w:val="21"/>
              </w:rPr>
            </w:pPr>
          </w:p>
        </w:tc>
        <w:tc>
          <w:tcPr>
            <w:tcW w:w="434" w:type="dxa"/>
            <w:tcBorders>
              <w:tl2br w:val="nil"/>
              <w:tr2bl w:val="nil"/>
            </w:tcBorders>
            <w:shd w:val="clear" w:color="auto" w:fill="FFFF00"/>
          </w:tcPr>
          <w:p w14:paraId="6427804B">
            <w:pPr>
              <w:spacing w:line="240" w:lineRule="auto"/>
              <w:ind w:firstLine="0" w:firstLineChars="0"/>
              <w:rPr>
                <w:rFonts w:hint="default" w:ascii="Times New Roman" w:hAnsi="Times New Roman" w:cs="Times New Roman"/>
                <w:sz w:val="21"/>
                <w:szCs w:val="21"/>
              </w:rPr>
            </w:pPr>
          </w:p>
        </w:tc>
      </w:tr>
    </w:tbl>
    <w:p w14:paraId="7F3C89BF">
      <w:pPr>
        <w:pStyle w:val="12"/>
        <w:ind w:firstLine="482"/>
        <w:rPr>
          <w:rFonts w:hint="default" w:ascii="Times New Roman" w:hAnsi="Times New Roman" w:cs="Times New Roman"/>
        </w:rPr>
        <w:sectPr>
          <w:headerReference r:id="rId22"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7F2A0BB">
      <w:pPr>
        <w:pStyle w:val="2"/>
        <w:jc w:val="center"/>
        <w:rPr>
          <w:rFonts w:hint="default" w:ascii="Times New Roman" w:hAnsi="Times New Roman" w:cs="Times New Roman"/>
          <w:lang w:val="zh-CN"/>
        </w:rPr>
      </w:pPr>
      <w:r>
        <w:rPr>
          <w:rFonts w:hint="default" w:ascii="Times New Roman" w:hAnsi="Times New Roman" w:cs="Times New Roman"/>
          <w:lang w:val="zh-CN"/>
        </w:rPr>
        <w:t xml:space="preserve"> </w:t>
      </w:r>
      <w:bookmarkStart w:id="104" w:name="_Toc165223588"/>
      <w:r>
        <w:rPr>
          <w:rFonts w:hint="default" w:ascii="Times New Roman" w:hAnsi="Times New Roman" w:cs="Times New Roman"/>
          <w:lang w:val="zh-CN"/>
        </w:rPr>
        <w:t>水土保持监测</w:t>
      </w:r>
      <w:bookmarkEnd w:id="104"/>
    </w:p>
    <w:p w14:paraId="2F16E607">
      <w:pPr>
        <w:ind w:firstLine="480"/>
        <w:rPr>
          <w:color w:val="000000" w:themeColor="text1"/>
          <w:sz w:val="21"/>
          <w:szCs w:val="21"/>
        </w:rPr>
      </w:pPr>
      <w:bookmarkStart w:id="105" w:name="_Hlk80723921"/>
      <w:r>
        <w:rPr>
          <w:rFonts w:hint="eastAsia"/>
          <w:color w:val="000000" w:themeColor="text1"/>
        </w:rPr>
        <w:t>根据《水利部关于进一步深化“放管服”改革全面加强水土保持监管的意见》水保〔2019〕160号文，对本项目水土保持方案报告表实行承诺制管理，可以不开展水土保持监测工作，建设单位依法做好水土流失防治工作，本方案针对本项目提出水土保持监管要求。</w:t>
      </w:r>
      <w:r>
        <w:rPr>
          <w:rFonts w:hint="eastAsia" w:ascii="宋体" w:hAnsi="宋体"/>
          <w:color w:val="000000" w:themeColor="text1"/>
        </w:rPr>
        <w:t>本方案针对本项目提出水土保持监管要求，详见</w:t>
      </w:r>
      <w:r>
        <w:rPr>
          <w:rFonts w:hint="eastAsia"/>
          <w:color w:val="000000" w:themeColor="text1"/>
        </w:rPr>
        <w:t>8</w:t>
      </w:r>
      <w:r>
        <w:rPr>
          <w:color w:val="000000" w:themeColor="text1"/>
        </w:rPr>
        <w:t>.2</w:t>
      </w:r>
      <w:r>
        <w:rPr>
          <w:rFonts w:hint="eastAsia" w:ascii="宋体" w:hAnsi="宋体"/>
          <w:color w:val="000000" w:themeColor="text1"/>
        </w:rPr>
        <w:t>章节</w:t>
      </w:r>
      <w:r>
        <w:rPr>
          <w:rFonts w:ascii="宋体" w:hAnsi="宋体"/>
          <w:color w:val="000000" w:themeColor="text1"/>
        </w:rPr>
        <w:t>。</w:t>
      </w:r>
    </w:p>
    <w:bookmarkEnd w:id="105"/>
    <w:p w14:paraId="306C6AD8">
      <w:pPr>
        <w:pStyle w:val="46"/>
        <w:rPr>
          <w:rFonts w:hint="default" w:ascii="Times New Roman" w:hAnsi="Times New Roman" w:cs="Times New Roman"/>
        </w:rPr>
      </w:pPr>
    </w:p>
    <w:p w14:paraId="2BC30B36">
      <w:pPr>
        <w:pStyle w:val="46"/>
        <w:rPr>
          <w:rFonts w:hint="default" w:ascii="Times New Roman" w:hAnsi="Times New Roman" w:cs="Times New Roman"/>
        </w:rPr>
      </w:pPr>
    </w:p>
    <w:p w14:paraId="26D8FB87">
      <w:pPr>
        <w:pStyle w:val="18"/>
        <w:rPr>
          <w:rFonts w:hint="default" w:ascii="Times New Roman" w:hAnsi="Times New Roman" w:cs="Times New Roman"/>
        </w:rPr>
        <w:sectPr>
          <w:headerReference r:id="rId23"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42E7B5E">
      <w:pPr>
        <w:pStyle w:val="2"/>
        <w:jc w:val="center"/>
        <w:rPr>
          <w:rFonts w:hint="default" w:ascii="Times New Roman" w:hAnsi="Times New Roman" w:cs="Times New Roman"/>
        </w:rPr>
      </w:pPr>
      <w:r>
        <w:rPr>
          <w:rFonts w:hint="default" w:ascii="Times New Roman" w:hAnsi="Times New Roman" w:cs="Times New Roman"/>
        </w:rPr>
        <w:t xml:space="preserve"> </w:t>
      </w:r>
      <w:bookmarkStart w:id="106" w:name="_Toc165223593"/>
      <w:r>
        <w:rPr>
          <w:rFonts w:hint="default" w:ascii="Times New Roman" w:hAnsi="Times New Roman" w:cs="Times New Roman"/>
        </w:rPr>
        <w:t>水土保持投资</w:t>
      </w:r>
      <w:r>
        <w:rPr>
          <w:rFonts w:hint="eastAsia" w:cs="Times New Roman"/>
          <w:lang w:eastAsia="zh-CN"/>
        </w:rPr>
        <w:t>概算</w:t>
      </w:r>
      <w:r>
        <w:rPr>
          <w:rFonts w:hint="default" w:ascii="Times New Roman" w:hAnsi="Times New Roman" w:cs="Times New Roman"/>
        </w:rPr>
        <w:t>及效益分析</w:t>
      </w:r>
      <w:bookmarkEnd w:id="106"/>
    </w:p>
    <w:p w14:paraId="49E12F94">
      <w:pPr>
        <w:pStyle w:val="3"/>
        <w:rPr>
          <w:rFonts w:hint="default" w:ascii="Times New Roman" w:hAnsi="Times New Roman" w:cs="Times New Roman"/>
        </w:rPr>
      </w:pPr>
      <w:bookmarkStart w:id="107" w:name="_Toc165223594"/>
      <w:r>
        <w:rPr>
          <w:rFonts w:hint="default" w:ascii="Times New Roman" w:hAnsi="Times New Roman" w:cs="Times New Roman"/>
        </w:rPr>
        <w:t>投资</w:t>
      </w:r>
      <w:bookmarkEnd w:id="107"/>
      <w:r>
        <w:rPr>
          <w:rFonts w:hint="eastAsia" w:ascii="Times New Roman" w:hAnsi="Times New Roman" w:cs="Times New Roman"/>
          <w:lang w:eastAsia="zh-CN"/>
        </w:rPr>
        <w:t>概算</w:t>
      </w:r>
    </w:p>
    <w:p w14:paraId="7293D7F8">
      <w:pPr>
        <w:pStyle w:val="4"/>
        <w:rPr>
          <w:rFonts w:hint="default" w:ascii="Times New Roman" w:hAnsi="Times New Roman" w:cs="Times New Roman"/>
        </w:rPr>
      </w:pPr>
      <w:r>
        <w:rPr>
          <w:rFonts w:hint="default" w:ascii="Times New Roman" w:hAnsi="Times New Roman" w:cs="Times New Roman"/>
        </w:rPr>
        <w:t>编制原则及依据</w:t>
      </w:r>
    </w:p>
    <w:p w14:paraId="0477EEEA">
      <w:pPr>
        <w:pStyle w:val="5"/>
        <w:rPr>
          <w:rFonts w:hint="default" w:ascii="Times New Roman" w:hAnsi="Times New Roman" w:cs="Times New Roman"/>
        </w:rPr>
      </w:pPr>
      <w:r>
        <w:rPr>
          <w:rFonts w:hint="default" w:ascii="Times New Roman" w:hAnsi="Times New Roman" w:cs="Times New Roman"/>
        </w:rPr>
        <w:t>编制原则</w:t>
      </w:r>
    </w:p>
    <w:p w14:paraId="4DFFE121">
      <w:pPr>
        <w:ind w:firstLine="480"/>
        <w:rPr>
          <w:rFonts w:hint="default" w:ascii="Times New Roman" w:hAnsi="Times New Roman" w:cs="Times New Roman"/>
        </w:rPr>
      </w:pPr>
      <w:r>
        <w:rPr>
          <w:rFonts w:hint="default" w:ascii="Times New Roman" w:hAnsi="Times New Roman" w:cs="Times New Roman"/>
        </w:rPr>
        <w:t>（1）水保措施</w:t>
      </w:r>
      <w:r>
        <w:rPr>
          <w:rFonts w:hint="eastAsia" w:cs="Times New Roman"/>
          <w:lang w:eastAsia="zh-CN"/>
        </w:rPr>
        <w:t>概算</w:t>
      </w:r>
      <w:r>
        <w:rPr>
          <w:rFonts w:hint="default" w:ascii="Times New Roman" w:hAnsi="Times New Roman" w:cs="Times New Roman"/>
        </w:rPr>
        <w:t>的编制依据、价格水平年、主要工程单价、费用计取等与主体工程一致，不能满足要求的部分，选用水利部水总〔2003〕67号文颁布的《水土保持工程概（估）算编制规定和定额》进行补充；</w:t>
      </w:r>
    </w:p>
    <w:p w14:paraId="47E7D1ED">
      <w:pPr>
        <w:ind w:firstLine="480"/>
        <w:rPr>
          <w:rFonts w:hint="default" w:ascii="Times New Roman" w:hAnsi="Times New Roman" w:cs="Times New Roman"/>
        </w:rPr>
      </w:pPr>
      <w:r>
        <w:rPr>
          <w:rFonts w:hint="default" w:ascii="Times New Roman" w:hAnsi="Times New Roman" w:cs="Times New Roman"/>
        </w:rPr>
        <w:t>（2）对主体工程中具有水土保持功能的工程计入本工程水土保持方案投资</w:t>
      </w:r>
      <w:r>
        <w:rPr>
          <w:rFonts w:hint="eastAsia" w:cs="Times New Roman"/>
          <w:lang w:eastAsia="zh-CN"/>
        </w:rPr>
        <w:t>概算</w:t>
      </w:r>
      <w:r>
        <w:rPr>
          <w:rFonts w:hint="default" w:ascii="Times New Roman" w:hAnsi="Times New Roman" w:cs="Times New Roman"/>
        </w:rPr>
        <w:t>中；</w:t>
      </w:r>
    </w:p>
    <w:p w14:paraId="73E88524">
      <w:pPr>
        <w:ind w:firstLine="480"/>
        <w:rPr>
          <w:rFonts w:hint="default" w:ascii="Times New Roman" w:hAnsi="Times New Roman" w:cs="Times New Roman"/>
        </w:rPr>
      </w:pPr>
      <w:r>
        <w:rPr>
          <w:rFonts w:hint="default" w:ascii="Times New Roman" w:hAnsi="Times New Roman" w:cs="Times New Roman"/>
        </w:rPr>
        <w:t>（3）主要材料价格及工程措施单价与主体工程一致；</w:t>
      </w:r>
    </w:p>
    <w:p w14:paraId="25F3E79F">
      <w:pPr>
        <w:ind w:firstLine="480"/>
        <w:rPr>
          <w:rFonts w:hint="default" w:ascii="Times New Roman" w:hAnsi="Times New Roman" w:cs="Times New Roman"/>
        </w:rPr>
      </w:pPr>
      <w:r>
        <w:rPr>
          <w:rFonts w:hint="default" w:ascii="Times New Roman" w:hAnsi="Times New Roman" w:cs="Times New Roman"/>
        </w:rPr>
        <w:t>（4）水土保持方案投资价格水平年取2024年</w:t>
      </w:r>
      <w:r>
        <w:rPr>
          <w:rFonts w:hint="eastAsia" w:cs="Times New Roman"/>
          <w:lang w:val="en-US" w:eastAsia="zh-CN"/>
        </w:rPr>
        <w:t>7</w:t>
      </w:r>
      <w:r>
        <w:rPr>
          <w:rFonts w:hint="default" w:ascii="Times New Roman" w:hAnsi="Times New Roman" w:cs="Times New Roman"/>
        </w:rPr>
        <w:t>月；</w:t>
      </w:r>
    </w:p>
    <w:p w14:paraId="65FBCA96">
      <w:pPr>
        <w:ind w:firstLine="480"/>
        <w:rPr>
          <w:rFonts w:hint="default" w:ascii="Times New Roman" w:hAnsi="Times New Roman" w:cs="Times New Roman"/>
          <w:shd w:val="clear" w:color="auto" w:fill="FFFFFF"/>
        </w:rPr>
      </w:pPr>
      <w:r>
        <w:rPr>
          <w:rStyle w:val="92"/>
          <w:rFonts w:hint="default" w:ascii="Times New Roman" w:hAnsi="Times New Roman" w:cs="Times New Roman"/>
        </w:rPr>
        <w:t>（5）项目区海拔</w:t>
      </w:r>
      <w:r>
        <w:rPr>
          <w:rFonts w:hint="eastAsia" w:cs="Times New Roman"/>
          <w:lang w:val="en-US" w:eastAsia="zh-CN"/>
        </w:rPr>
        <w:t>2290.36m</w:t>
      </w:r>
      <w:r>
        <w:rPr>
          <w:rStyle w:val="92"/>
          <w:rFonts w:hint="default" w:ascii="Times New Roman" w:hAnsi="Times New Roman" w:cs="Times New Roman"/>
        </w:rPr>
        <w:t>~</w:t>
      </w:r>
      <w:r>
        <w:rPr>
          <w:rFonts w:hint="default" w:ascii="Times New Roman" w:hAnsi="Times New Roman" w:cs="Times New Roman"/>
          <w:lang w:val="zh-CN"/>
        </w:rPr>
        <w:t>2</w:t>
      </w:r>
      <w:r>
        <w:rPr>
          <w:rFonts w:hint="eastAsia" w:cs="Times New Roman"/>
          <w:lang w:val="en-US" w:eastAsia="zh-CN"/>
        </w:rPr>
        <w:t>292.50</w:t>
      </w:r>
      <w:r>
        <w:rPr>
          <w:rStyle w:val="92"/>
          <w:rFonts w:hint="default" w:ascii="Times New Roman" w:hAnsi="Times New Roman" w:cs="Times New Roman"/>
        </w:rPr>
        <w:t>之间，平均海拔为</w:t>
      </w:r>
      <w:r>
        <w:rPr>
          <w:rStyle w:val="92"/>
          <w:rFonts w:hint="eastAsia" w:cs="Times New Roman"/>
          <w:lang w:val="en-US" w:eastAsia="zh-CN"/>
        </w:rPr>
        <w:t>2291.43</w:t>
      </w:r>
      <w:r>
        <w:rPr>
          <w:rStyle w:val="92"/>
          <w:rFonts w:hint="default" w:ascii="Times New Roman" w:hAnsi="Times New Roman" w:cs="Times New Roman"/>
        </w:rPr>
        <w:t>m，</w:t>
      </w:r>
      <w:r>
        <w:rPr>
          <w:rFonts w:hint="default" w:ascii="Times New Roman" w:hAnsi="Times New Roman" w:cs="Times New Roman"/>
          <w:shd w:val="clear" w:color="auto" w:fill="FFFFFF"/>
        </w:rPr>
        <w:t>根据“云南省水利工程设计概（估）算次要材料价格（2014版）”，海拔位于2000~2500m之间，人工消耗量和机械消耗量需乘以调整系数。人工消耗量需乘以1.</w:t>
      </w:r>
      <w:r>
        <w:rPr>
          <w:rFonts w:hint="default" w:ascii="Times New Roman" w:hAnsi="Times New Roman" w:cs="Times New Roman"/>
          <w:shd w:val="clear" w:color="auto" w:fill="FFFFFF"/>
          <w:lang w:val="en-US" w:eastAsia="zh-CN"/>
        </w:rPr>
        <w:t>10</w:t>
      </w:r>
      <w:r>
        <w:rPr>
          <w:rFonts w:hint="default" w:ascii="Times New Roman" w:hAnsi="Times New Roman" w:cs="Times New Roman"/>
          <w:shd w:val="clear" w:color="auto" w:fill="FFFFFF"/>
        </w:rPr>
        <w:t>调整系数，机械消耗量需乘以1.</w:t>
      </w:r>
      <w:r>
        <w:rPr>
          <w:rFonts w:hint="default" w:ascii="Times New Roman" w:hAnsi="Times New Roman" w:cs="Times New Roman"/>
          <w:shd w:val="clear" w:color="auto" w:fill="FFFFFF"/>
          <w:lang w:val="en-US" w:eastAsia="zh-CN"/>
        </w:rPr>
        <w:t>25</w:t>
      </w:r>
      <w:r>
        <w:rPr>
          <w:rFonts w:hint="default" w:ascii="Times New Roman" w:hAnsi="Times New Roman" w:cs="Times New Roman"/>
          <w:shd w:val="clear" w:color="auto" w:fill="FFFFFF"/>
        </w:rPr>
        <w:t>调整系数。</w:t>
      </w:r>
    </w:p>
    <w:p w14:paraId="7EC04669">
      <w:pPr>
        <w:pStyle w:val="5"/>
        <w:rPr>
          <w:rFonts w:hint="default" w:ascii="Times New Roman" w:hAnsi="Times New Roman" w:cs="Times New Roman"/>
        </w:rPr>
      </w:pPr>
      <w:r>
        <w:rPr>
          <w:rFonts w:hint="default" w:ascii="Times New Roman" w:hAnsi="Times New Roman" w:cs="Times New Roman"/>
        </w:rPr>
        <w:t>编制依据</w:t>
      </w:r>
    </w:p>
    <w:p w14:paraId="334947D3">
      <w:pPr>
        <w:ind w:firstLine="480"/>
        <w:rPr>
          <w:rFonts w:hint="default" w:ascii="Times New Roman" w:hAnsi="Times New Roman" w:cs="Times New Roman"/>
        </w:rPr>
      </w:pPr>
      <w:r>
        <w:rPr>
          <w:rFonts w:hint="default" w:ascii="Times New Roman" w:hAnsi="Times New Roman" w:cs="Times New Roman"/>
        </w:rPr>
        <w:t>（1）《开发建设项目水土保持工程概（估）算编制规定》（水利部〔2003〕67号）；</w:t>
      </w:r>
    </w:p>
    <w:p w14:paraId="3CEA6856">
      <w:pPr>
        <w:ind w:firstLine="480"/>
        <w:rPr>
          <w:rFonts w:hint="default" w:ascii="Times New Roman" w:hAnsi="Times New Roman" w:cs="Times New Roman"/>
        </w:rPr>
      </w:pPr>
      <w:r>
        <w:rPr>
          <w:rFonts w:hint="default" w:ascii="Times New Roman" w:hAnsi="Times New Roman" w:cs="Times New Roman"/>
        </w:rPr>
        <w:t>（2）《关于颁发&lt;水土保持工程概（估）算编制规定和定额&gt;的通知》（水利部水总〔2003〕67号）；</w:t>
      </w:r>
    </w:p>
    <w:p w14:paraId="4C839A62">
      <w:pPr>
        <w:ind w:firstLine="480"/>
        <w:rPr>
          <w:rFonts w:hint="default" w:ascii="Times New Roman" w:hAnsi="Times New Roman" w:cs="Times New Roman"/>
        </w:rPr>
      </w:pPr>
      <w:r>
        <w:rPr>
          <w:rFonts w:hint="default" w:ascii="Times New Roman" w:hAnsi="Times New Roman" w:cs="Times New Roman"/>
        </w:rPr>
        <w:t>（3）《关于公布取消和停止征收100项行政事业性收费项目的通知》（财综〔2008〕78号）；</w:t>
      </w:r>
    </w:p>
    <w:p w14:paraId="013A3866">
      <w:pPr>
        <w:ind w:firstLine="480"/>
        <w:rPr>
          <w:rFonts w:hint="default" w:ascii="Times New Roman" w:hAnsi="Times New Roman" w:cs="Times New Roman"/>
        </w:rPr>
      </w:pPr>
      <w:r>
        <w:rPr>
          <w:rFonts w:hint="default" w:ascii="Times New Roman" w:hAnsi="Times New Roman" w:cs="Times New Roman"/>
        </w:rPr>
        <w:t>（4）《关于生产建设项目水土保持方案编制有关问题的意见》（云南省水土保持生态环境监测总站，云水保监字〔2010〕7号）；</w:t>
      </w:r>
    </w:p>
    <w:p w14:paraId="08FA15D2">
      <w:pPr>
        <w:ind w:firstLine="480"/>
        <w:rPr>
          <w:rFonts w:hint="default" w:ascii="Times New Roman" w:hAnsi="Times New Roman" w:cs="Times New Roman"/>
        </w:rPr>
      </w:pPr>
      <w:r>
        <w:rPr>
          <w:rFonts w:hint="default" w:ascii="Times New Roman" w:hAnsi="Times New Roman" w:cs="Times New Roman"/>
        </w:rPr>
        <w:t>（5）《云南省水利厅关于调整云南省水利工程造价计价依据中税率及系数的通知》（云水规计〔2019〕46号）；</w:t>
      </w:r>
    </w:p>
    <w:p w14:paraId="25AB1E40">
      <w:pPr>
        <w:ind w:firstLine="480"/>
        <w:rPr>
          <w:rFonts w:hint="default" w:ascii="Times New Roman" w:hAnsi="Times New Roman" w:cs="Times New Roman"/>
        </w:rPr>
      </w:pPr>
      <w:r>
        <w:rPr>
          <w:rFonts w:hint="default" w:ascii="Times New Roman" w:hAnsi="Times New Roman" w:cs="Times New Roman"/>
        </w:rPr>
        <w:t>（6）《关于水土保持补偿费收费标准的通知》（2017年9月19日，云南省物价局、云南省财政厅、云南省水利厅文件，云价收费〔2017〕113号）；</w:t>
      </w:r>
    </w:p>
    <w:p w14:paraId="2F1B96B9">
      <w:pPr>
        <w:ind w:firstLine="480"/>
        <w:rPr>
          <w:rFonts w:hint="default" w:ascii="Times New Roman" w:hAnsi="Times New Roman" w:cs="Times New Roman"/>
        </w:rPr>
      </w:pPr>
      <w:r>
        <w:rPr>
          <w:rFonts w:hint="default" w:ascii="Times New Roman" w:hAnsi="Times New Roman" w:cs="Times New Roman"/>
        </w:rPr>
        <w:t>（7）《云南省住房和城乡建设厅关于云南省2013版建设工程造价计价依据调整定额人工费的通知》（云建标函〔2018〕47号）；</w:t>
      </w:r>
    </w:p>
    <w:p w14:paraId="2C2946F8">
      <w:pPr>
        <w:ind w:firstLine="480"/>
        <w:rPr>
          <w:rFonts w:hint="default" w:ascii="Times New Roman" w:hAnsi="Times New Roman" w:cs="Times New Roman"/>
        </w:rPr>
      </w:pPr>
      <w:r>
        <w:rPr>
          <w:rFonts w:hint="default" w:ascii="Times New Roman" w:hAnsi="Times New Roman" w:cs="Times New Roman"/>
        </w:rPr>
        <w:t>（8）其它水土保持工程</w:t>
      </w:r>
      <w:r>
        <w:rPr>
          <w:rFonts w:hint="eastAsia" w:cs="Times New Roman"/>
          <w:lang w:eastAsia="zh-CN"/>
        </w:rPr>
        <w:t>概算</w:t>
      </w:r>
      <w:r>
        <w:rPr>
          <w:rFonts w:hint="default" w:ascii="Times New Roman" w:hAnsi="Times New Roman" w:cs="Times New Roman"/>
        </w:rPr>
        <w:t>的有关规定。</w:t>
      </w:r>
    </w:p>
    <w:p w14:paraId="2222DBEF">
      <w:pPr>
        <w:pStyle w:val="4"/>
        <w:jc w:val="left"/>
        <w:rPr>
          <w:rFonts w:hint="default" w:ascii="Times New Roman" w:hAnsi="Times New Roman" w:cs="Times New Roman"/>
        </w:rPr>
      </w:pPr>
      <w:r>
        <w:rPr>
          <w:rFonts w:hint="default" w:ascii="Times New Roman" w:hAnsi="Times New Roman" w:cs="Times New Roman"/>
        </w:rPr>
        <w:t>编制说明及</w:t>
      </w:r>
      <w:r>
        <w:rPr>
          <w:rFonts w:hint="eastAsia" w:cs="Times New Roman"/>
          <w:lang w:eastAsia="zh-CN"/>
        </w:rPr>
        <w:t>概算</w:t>
      </w:r>
      <w:r>
        <w:rPr>
          <w:rFonts w:hint="default" w:ascii="Times New Roman" w:hAnsi="Times New Roman" w:cs="Times New Roman"/>
        </w:rPr>
        <w:t>成果</w:t>
      </w:r>
    </w:p>
    <w:p w14:paraId="67F2CF67">
      <w:pPr>
        <w:pStyle w:val="5"/>
        <w:jc w:val="left"/>
        <w:rPr>
          <w:rFonts w:hint="default" w:ascii="Times New Roman" w:hAnsi="Times New Roman" w:cs="Times New Roman"/>
        </w:rPr>
      </w:pPr>
      <w:r>
        <w:rPr>
          <w:rFonts w:hint="default" w:ascii="Times New Roman" w:hAnsi="Times New Roman" w:cs="Times New Roman"/>
        </w:rPr>
        <w:t>项目划分</w:t>
      </w:r>
    </w:p>
    <w:p w14:paraId="48564CD6">
      <w:pPr>
        <w:ind w:firstLine="480"/>
        <w:rPr>
          <w:rFonts w:hint="default" w:ascii="Times New Roman" w:hAnsi="Times New Roman" w:cs="Times New Roman"/>
        </w:rPr>
      </w:pPr>
      <w:r>
        <w:rPr>
          <w:rFonts w:hint="default" w:ascii="Times New Roman" w:hAnsi="Times New Roman" w:cs="Times New Roman"/>
        </w:rPr>
        <w:t>根据《开发建设项目水土保持方案技术规范》和《水土保持工程概(估)编制规定》，水土保持工程专项投资划分为工程措施费、植物措施费、施工临时工程措施费、独立费以及基本预备费、水土保持补偿费组成。各项工程单价和费用组成计算方法为：</w:t>
      </w:r>
    </w:p>
    <w:p w14:paraId="54A8B21E">
      <w:pPr>
        <w:ind w:firstLine="480"/>
        <w:rPr>
          <w:rFonts w:hint="default" w:ascii="Times New Roman" w:hAnsi="Times New Roman" w:cs="Times New Roman"/>
        </w:rPr>
      </w:pPr>
      <w:r>
        <w:rPr>
          <w:rFonts w:hint="default" w:ascii="Times New Roman" w:hAnsi="Times New Roman" w:cs="Times New Roman"/>
        </w:rPr>
        <w:t>工程措施和植物措施单价由直接工程费、间接费、企业利润、税金4部分组成。</w:t>
      </w:r>
    </w:p>
    <w:p w14:paraId="35270E13">
      <w:pPr>
        <w:ind w:firstLine="480"/>
        <w:rPr>
          <w:rFonts w:hint="default" w:ascii="Times New Roman" w:hAnsi="Times New Roman" w:cs="Times New Roman"/>
        </w:rPr>
      </w:pPr>
      <w:r>
        <w:rPr>
          <w:rFonts w:hint="default" w:ascii="Times New Roman" w:hAnsi="Times New Roman" w:cs="Times New Roman"/>
        </w:rPr>
        <w:t>施工临时工程包括临时防护工程和其他临时工程。</w:t>
      </w:r>
    </w:p>
    <w:p w14:paraId="09295CBD">
      <w:pPr>
        <w:ind w:firstLine="480"/>
        <w:rPr>
          <w:rFonts w:hint="default" w:ascii="Times New Roman" w:hAnsi="Times New Roman" w:cs="Times New Roman"/>
        </w:rPr>
      </w:pPr>
      <w:r>
        <w:rPr>
          <w:rFonts w:hint="default" w:ascii="Times New Roman" w:hAnsi="Times New Roman" w:cs="Times New Roman"/>
        </w:rPr>
        <w:t>独立费用由建设单位管理费、工程建设监理费、科研勘测设计费、水土保持监测费和水土保持设施验收报告编制费组成。</w:t>
      </w:r>
    </w:p>
    <w:p w14:paraId="6CB93633">
      <w:pPr>
        <w:ind w:firstLine="480"/>
        <w:rPr>
          <w:rFonts w:hint="default" w:ascii="Times New Roman" w:hAnsi="Times New Roman" w:cs="Times New Roman"/>
        </w:rPr>
      </w:pPr>
      <w:r>
        <w:rPr>
          <w:rFonts w:hint="default" w:ascii="Times New Roman" w:hAnsi="Times New Roman" w:cs="Times New Roman"/>
        </w:rPr>
        <w:t>预备费只计基本预备费，不计价差预备费。</w:t>
      </w:r>
    </w:p>
    <w:p w14:paraId="57CFA85A">
      <w:pPr>
        <w:pStyle w:val="5"/>
        <w:jc w:val="left"/>
        <w:rPr>
          <w:rFonts w:hint="default" w:ascii="Times New Roman" w:hAnsi="Times New Roman" w:cs="Times New Roman"/>
        </w:rPr>
      </w:pPr>
      <w:r>
        <w:rPr>
          <w:rFonts w:hint="default" w:ascii="Times New Roman" w:hAnsi="Times New Roman" w:cs="Times New Roman"/>
        </w:rPr>
        <w:t>工程单价及费用标准</w:t>
      </w:r>
    </w:p>
    <w:p w14:paraId="03230053">
      <w:pPr>
        <w:pStyle w:val="100"/>
        <w:ind w:firstLine="480"/>
        <w:rPr>
          <w:rFonts w:hint="default" w:ascii="Times New Roman" w:hAnsi="Times New Roman" w:cs="Times New Roman"/>
        </w:rPr>
      </w:pPr>
      <w:r>
        <w:rPr>
          <w:rFonts w:hint="default" w:ascii="Times New Roman" w:hAnsi="Times New Roman" w:cs="Times New Roman"/>
        </w:rPr>
        <w:t>1、人工预算单价</w:t>
      </w:r>
    </w:p>
    <w:p w14:paraId="4A8BFB2C">
      <w:pPr>
        <w:ind w:firstLine="480"/>
        <w:rPr>
          <w:rFonts w:hint="default" w:ascii="Times New Roman" w:hAnsi="Times New Roman" w:cs="Times New Roman"/>
          <w:lang w:val="zh-CN"/>
        </w:rPr>
      </w:pPr>
      <w:r>
        <w:rPr>
          <w:rFonts w:hint="default" w:ascii="Times New Roman" w:hAnsi="Times New Roman" w:cs="Times New Roman"/>
          <w:lang w:val="zh-CN"/>
        </w:rPr>
        <w:t>人工</w:t>
      </w:r>
      <w:r>
        <w:rPr>
          <w:rFonts w:hint="eastAsia" w:cs="Times New Roman"/>
          <w:lang w:val="zh-CN"/>
        </w:rPr>
        <w:t>概算</w:t>
      </w:r>
      <w:r>
        <w:rPr>
          <w:rFonts w:hint="default" w:ascii="Times New Roman" w:hAnsi="Times New Roman" w:cs="Times New Roman"/>
          <w:lang w:val="zh-CN"/>
        </w:rPr>
        <w:t>单价按《云南省住房和城乡建设厅关于发布实施云南省2013版建设工程造价计价依据的通知》（云建标〔2013〕918号文）规定计算，人工单价为7.99元/工时，根据《</w:t>
      </w:r>
      <w:r>
        <w:rPr>
          <w:rFonts w:hint="default" w:ascii="Times New Roman" w:hAnsi="Times New Roman" w:cs="Times New Roman"/>
        </w:rPr>
        <w:t>云南省住房和城乡建设厅关于云南省建设工程造价计价标准调整定额人工费的通知</w:t>
      </w:r>
      <w:r>
        <w:rPr>
          <w:rFonts w:hint="eastAsia" w:cs="Times New Roman"/>
          <w:lang w:eastAsia="zh-CN"/>
        </w:rPr>
        <w:t>》</w:t>
      </w:r>
      <w:r>
        <w:rPr>
          <w:rFonts w:hint="default" w:ascii="Times New Roman" w:hAnsi="Times New Roman" w:cs="Times New Roman"/>
        </w:rPr>
        <w:t>（云建科〔2023〕54号）</w:t>
      </w:r>
      <w:r>
        <w:rPr>
          <w:rFonts w:hint="default" w:ascii="Times New Roman" w:hAnsi="Times New Roman" w:cs="Times New Roman"/>
          <w:lang w:val="zh-CN"/>
        </w:rPr>
        <w:t>文件，人工费上调60.46%，本项目工程措施和植物措施人工预算单价按12.82元/工时计，</w:t>
      </w:r>
      <w:r>
        <w:rPr>
          <w:rFonts w:hint="eastAsia" w:cs="Times New Roman"/>
          <w:lang w:val="en-US" w:eastAsia="zh-CN"/>
        </w:rPr>
        <w:t>调</w:t>
      </w:r>
      <w:r>
        <w:rPr>
          <w:rFonts w:hint="default" w:ascii="Times New Roman" w:hAnsi="Times New Roman" w:cs="Times New Roman"/>
          <w:lang w:val="zh-CN"/>
        </w:rPr>
        <w:t>整的人工费用差额不作为计取其他费用的基础，仅计算税金。</w:t>
      </w:r>
    </w:p>
    <w:p w14:paraId="50842369">
      <w:pPr>
        <w:pStyle w:val="100"/>
        <w:ind w:firstLine="480"/>
        <w:rPr>
          <w:rFonts w:hint="default" w:ascii="Times New Roman" w:hAnsi="Times New Roman" w:cs="Times New Roman"/>
        </w:rPr>
      </w:pPr>
      <w:r>
        <w:rPr>
          <w:rFonts w:hint="default" w:ascii="Times New Roman" w:hAnsi="Times New Roman" w:cs="Times New Roman"/>
        </w:rPr>
        <w:t>2、主要材料预算价格</w:t>
      </w:r>
    </w:p>
    <w:p w14:paraId="3C0565E0">
      <w:pPr>
        <w:pStyle w:val="100"/>
        <w:ind w:firstLine="480"/>
        <w:rPr>
          <w:rFonts w:hint="default" w:ascii="Times New Roman" w:hAnsi="Times New Roman" w:cs="Times New Roman"/>
        </w:rPr>
      </w:pPr>
      <w:r>
        <w:rPr>
          <w:rFonts w:hint="default" w:ascii="Times New Roman" w:hAnsi="Times New Roman" w:cs="Times New Roman"/>
        </w:rPr>
        <w:t>主要材料预算价格材料原价、运杂费、场外运输消耗、采购及保管费等分别以不含相应增值税的价格计算。主要材料预算价格详见下表。</w:t>
      </w:r>
    </w:p>
    <w:p w14:paraId="7636BCD7">
      <w:pPr>
        <w:pStyle w:val="100"/>
        <w:ind w:firstLine="480"/>
        <w:rPr>
          <w:rFonts w:hint="default" w:ascii="Times New Roman" w:hAnsi="Times New Roman" w:cs="Times New Roman"/>
        </w:rPr>
      </w:pPr>
      <w:r>
        <w:rPr>
          <w:rFonts w:hint="default" w:ascii="Times New Roman" w:hAnsi="Times New Roman" w:cs="Times New Roman"/>
        </w:rPr>
        <w:t>3、次要材料预算价格</w:t>
      </w:r>
    </w:p>
    <w:p w14:paraId="61C6FE9F">
      <w:pPr>
        <w:pStyle w:val="100"/>
        <w:ind w:firstLine="480"/>
        <w:rPr>
          <w:rFonts w:hint="default" w:ascii="Times New Roman" w:hAnsi="Times New Roman" w:cs="Times New Roman"/>
        </w:rPr>
      </w:pPr>
      <w:r>
        <w:rPr>
          <w:rFonts w:hint="default" w:ascii="Times New Roman" w:hAnsi="Times New Roman" w:cs="Times New Roman"/>
        </w:rPr>
        <w:t>次要材料价格采用主体工可单价，不足部分按当地现行市场价计算。</w:t>
      </w:r>
    </w:p>
    <w:p w14:paraId="52A87B7D">
      <w:pPr>
        <w:pStyle w:val="100"/>
        <w:ind w:firstLine="480"/>
        <w:rPr>
          <w:rFonts w:hint="default" w:ascii="Times New Roman" w:hAnsi="Times New Roman" w:cs="Times New Roman"/>
        </w:rPr>
      </w:pPr>
      <w:r>
        <w:rPr>
          <w:rFonts w:hint="default" w:ascii="Times New Roman" w:hAnsi="Times New Roman" w:cs="Times New Roman"/>
        </w:rPr>
        <w:t>4、施工用风、电价</w:t>
      </w:r>
    </w:p>
    <w:p w14:paraId="4D572BDB">
      <w:pPr>
        <w:pStyle w:val="100"/>
        <w:ind w:firstLine="480"/>
        <w:rPr>
          <w:rFonts w:hint="default" w:ascii="Times New Roman" w:hAnsi="Times New Roman" w:cs="Times New Roman"/>
        </w:rPr>
      </w:pPr>
      <w:r>
        <w:rPr>
          <w:rFonts w:hint="default" w:ascii="Times New Roman" w:hAnsi="Times New Roman" w:cs="Times New Roman"/>
        </w:rPr>
        <w:t>施工用风、水、电价采用主体工程的价格，具体为风价0.12元/m</w:t>
      </w:r>
      <w:r>
        <w:rPr>
          <w:rFonts w:hint="default" w:ascii="Times New Roman" w:hAnsi="Times New Roman" w:cs="Times New Roman"/>
          <w:vertAlign w:val="superscript"/>
        </w:rPr>
        <w:t>3</w:t>
      </w:r>
      <w:r>
        <w:rPr>
          <w:rFonts w:hint="default" w:ascii="Times New Roman" w:hAnsi="Times New Roman" w:cs="Times New Roman"/>
        </w:rPr>
        <w:t>，水价1.5元/ m</w:t>
      </w:r>
      <w:r>
        <w:rPr>
          <w:rFonts w:hint="default" w:ascii="Times New Roman" w:hAnsi="Times New Roman" w:cs="Times New Roman"/>
          <w:vertAlign w:val="superscript"/>
        </w:rPr>
        <w:t>3</w:t>
      </w:r>
      <w:r>
        <w:rPr>
          <w:rFonts w:hint="default" w:ascii="Times New Roman" w:hAnsi="Times New Roman" w:cs="Times New Roman"/>
        </w:rPr>
        <w:t>，电价0.78元/kw·h。</w:t>
      </w:r>
    </w:p>
    <w:p w14:paraId="06773444">
      <w:pPr>
        <w:pStyle w:val="83"/>
        <w:pageBreakBefore/>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 xml:space="preserve">表 </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7</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SEQ 表 \* ARABIC \s 1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1</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t xml:space="preserve">                   </w:t>
      </w:r>
      <w:r>
        <w:rPr>
          <w:rFonts w:hint="default" w:ascii="Times New Roman" w:hAnsi="Times New Roman" w:eastAsia="仿宋_GB2312" w:cs="Times New Roman"/>
          <w:b/>
          <w:bCs w:val="0"/>
        </w:rPr>
        <w:tab/>
      </w:r>
      <w:r>
        <w:rPr>
          <w:rFonts w:hint="default" w:ascii="Times New Roman" w:hAnsi="Times New Roman" w:eastAsia="仿宋_GB2312" w:cs="Times New Roman"/>
          <w:b/>
          <w:bCs w:val="0"/>
        </w:rPr>
        <w:t xml:space="preserve">   主要材料预算单价</w:t>
      </w:r>
    </w:p>
    <w:tbl>
      <w:tblPr>
        <w:tblStyle w:val="27"/>
        <w:tblW w:w="957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770"/>
        <w:gridCol w:w="2117"/>
        <w:gridCol w:w="1770"/>
        <w:gridCol w:w="1770"/>
        <w:gridCol w:w="2143"/>
      </w:tblGrid>
      <w:tr w14:paraId="707F8B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7601D5AC">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编号</w:t>
            </w:r>
          </w:p>
        </w:tc>
        <w:tc>
          <w:tcPr>
            <w:tcW w:w="2117" w:type="dxa"/>
            <w:shd w:val="clear" w:color="auto" w:fill="auto"/>
            <w:vAlign w:val="center"/>
          </w:tcPr>
          <w:p w14:paraId="1DF599A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名称及规格</w:t>
            </w:r>
          </w:p>
        </w:tc>
        <w:tc>
          <w:tcPr>
            <w:tcW w:w="1770" w:type="dxa"/>
            <w:shd w:val="clear" w:color="auto" w:fill="auto"/>
            <w:vAlign w:val="center"/>
          </w:tcPr>
          <w:p w14:paraId="09467EB7">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单位</w:t>
            </w:r>
          </w:p>
        </w:tc>
        <w:tc>
          <w:tcPr>
            <w:tcW w:w="1770" w:type="dxa"/>
            <w:shd w:val="clear" w:color="auto" w:fill="auto"/>
            <w:vAlign w:val="center"/>
          </w:tcPr>
          <w:p w14:paraId="6953BEEA">
            <w:pPr>
              <w:spacing w:line="240" w:lineRule="auto"/>
              <w:ind w:firstLine="0" w:firstLineChars="0"/>
              <w:jc w:val="center"/>
              <w:rPr>
                <w:rFonts w:hint="default" w:ascii="Times New Roman" w:hAnsi="Times New Roman" w:cs="Times New Roman"/>
                <w:color w:val="000000"/>
                <w:kern w:val="0"/>
                <w:sz w:val="21"/>
                <w:szCs w:val="21"/>
              </w:rPr>
            </w:pPr>
            <w:r>
              <w:rPr>
                <w:rFonts w:hint="eastAsia" w:cs="Times New Roman"/>
                <w:color w:val="000000"/>
                <w:kern w:val="0"/>
                <w:sz w:val="21"/>
                <w:szCs w:val="21"/>
                <w:lang w:eastAsia="zh-CN"/>
              </w:rPr>
              <w:t>概算</w:t>
            </w:r>
            <w:r>
              <w:rPr>
                <w:rFonts w:hint="default" w:ascii="Times New Roman" w:hAnsi="Times New Roman" w:cs="Times New Roman"/>
                <w:color w:val="000000"/>
                <w:kern w:val="0"/>
                <w:sz w:val="21"/>
                <w:szCs w:val="21"/>
              </w:rPr>
              <w:t>价格</w:t>
            </w:r>
          </w:p>
        </w:tc>
        <w:tc>
          <w:tcPr>
            <w:tcW w:w="2143" w:type="dxa"/>
            <w:shd w:val="clear" w:color="auto" w:fill="auto"/>
            <w:vAlign w:val="center"/>
          </w:tcPr>
          <w:p w14:paraId="341E629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备注</w:t>
            </w:r>
          </w:p>
        </w:tc>
      </w:tr>
      <w:tr w14:paraId="7F1428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79D045D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w:t>
            </w:r>
          </w:p>
        </w:tc>
        <w:tc>
          <w:tcPr>
            <w:tcW w:w="2117" w:type="dxa"/>
            <w:shd w:val="clear" w:color="auto" w:fill="auto"/>
            <w:vAlign w:val="center"/>
          </w:tcPr>
          <w:p w14:paraId="0026F212">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柴油0#</w:t>
            </w:r>
          </w:p>
        </w:tc>
        <w:tc>
          <w:tcPr>
            <w:tcW w:w="1770" w:type="dxa"/>
            <w:shd w:val="clear" w:color="auto" w:fill="auto"/>
            <w:vAlign w:val="center"/>
          </w:tcPr>
          <w:p w14:paraId="0F6B058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kg</w:t>
            </w:r>
          </w:p>
        </w:tc>
        <w:tc>
          <w:tcPr>
            <w:tcW w:w="1770" w:type="dxa"/>
            <w:shd w:val="clear" w:color="auto" w:fill="auto"/>
            <w:vAlign w:val="center"/>
          </w:tcPr>
          <w:p w14:paraId="0AB07FCE">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9.92</w:t>
            </w:r>
          </w:p>
        </w:tc>
        <w:tc>
          <w:tcPr>
            <w:tcW w:w="2143" w:type="dxa"/>
            <w:shd w:val="clear" w:color="auto" w:fill="auto"/>
            <w:vAlign w:val="center"/>
          </w:tcPr>
          <w:p w14:paraId="4D6AC49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14281A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4EABE0F2">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w:t>
            </w:r>
          </w:p>
        </w:tc>
        <w:tc>
          <w:tcPr>
            <w:tcW w:w="2117" w:type="dxa"/>
            <w:shd w:val="clear" w:color="auto" w:fill="auto"/>
            <w:vAlign w:val="center"/>
          </w:tcPr>
          <w:p w14:paraId="575B02D1">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砖</w:t>
            </w:r>
          </w:p>
        </w:tc>
        <w:tc>
          <w:tcPr>
            <w:tcW w:w="1770" w:type="dxa"/>
            <w:shd w:val="clear" w:color="auto" w:fill="auto"/>
            <w:vAlign w:val="center"/>
          </w:tcPr>
          <w:p w14:paraId="6DF889B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千块</w:t>
            </w:r>
          </w:p>
        </w:tc>
        <w:tc>
          <w:tcPr>
            <w:tcW w:w="1770" w:type="dxa"/>
            <w:shd w:val="clear" w:color="auto" w:fill="auto"/>
            <w:vAlign w:val="center"/>
          </w:tcPr>
          <w:p w14:paraId="0BCF977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480</w:t>
            </w:r>
          </w:p>
        </w:tc>
        <w:tc>
          <w:tcPr>
            <w:tcW w:w="2143" w:type="dxa"/>
            <w:shd w:val="clear" w:color="auto" w:fill="auto"/>
            <w:vAlign w:val="center"/>
          </w:tcPr>
          <w:p w14:paraId="13C5DC0E">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7E47B8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22AC0AF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3</w:t>
            </w:r>
          </w:p>
        </w:tc>
        <w:tc>
          <w:tcPr>
            <w:tcW w:w="2117" w:type="dxa"/>
            <w:shd w:val="clear" w:color="auto" w:fill="auto"/>
            <w:vAlign w:val="center"/>
          </w:tcPr>
          <w:p w14:paraId="695D0D8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碎石</w:t>
            </w:r>
          </w:p>
        </w:tc>
        <w:tc>
          <w:tcPr>
            <w:tcW w:w="1770" w:type="dxa"/>
            <w:shd w:val="clear" w:color="auto" w:fill="auto"/>
            <w:vAlign w:val="center"/>
          </w:tcPr>
          <w:p w14:paraId="2DE3333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w:t>
            </w:r>
            <w:r>
              <w:rPr>
                <w:rFonts w:hint="default" w:ascii="Times New Roman" w:hAnsi="Times New Roman" w:cs="Times New Roman"/>
                <w:color w:val="000000"/>
                <w:kern w:val="0"/>
                <w:sz w:val="21"/>
                <w:szCs w:val="21"/>
                <w:vertAlign w:val="superscript"/>
              </w:rPr>
              <w:t>3</w:t>
            </w:r>
          </w:p>
        </w:tc>
        <w:tc>
          <w:tcPr>
            <w:tcW w:w="1770" w:type="dxa"/>
            <w:shd w:val="clear" w:color="auto" w:fill="auto"/>
            <w:vAlign w:val="center"/>
          </w:tcPr>
          <w:p w14:paraId="65314CA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98</w:t>
            </w:r>
          </w:p>
        </w:tc>
        <w:tc>
          <w:tcPr>
            <w:tcW w:w="2143" w:type="dxa"/>
            <w:shd w:val="clear" w:color="auto" w:fill="auto"/>
            <w:vAlign w:val="center"/>
          </w:tcPr>
          <w:p w14:paraId="4A63C21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7E619F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5150851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4</w:t>
            </w:r>
          </w:p>
        </w:tc>
        <w:tc>
          <w:tcPr>
            <w:tcW w:w="2117" w:type="dxa"/>
            <w:shd w:val="clear" w:color="auto" w:fill="auto"/>
            <w:vAlign w:val="center"/>
          </w:tcPr>
          <w:p w14:paraId="412E527D">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中砂</w:t>
            </w:r>
          </w:p>
        </w:tc>
        <w:tc>
          <w:tcPr>
            <w:tcW w:w="1770" w:type="dxa"/>
            <w:shd w:val="clear" w:color="auto" w:fill="auto"/>
            <w:vAlign w:val="center"/>
          </w:tcPr>
          <w:p w14:paraId="23D70B4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w:t>
            </w:r>
            <w:r>
              <w:rPr>
                <w:rFonts w:hint="default" w:ascii="Times New Roman" w:hAnsi="Times New Roman" w:cs="Times New Roman"/>
                <w:color w:val="000000"/>
                <w:kern w:val="0"/>
                <w:sz w:val="21"/>
                <w:szCs w:val="21"/>
                <w:vertAlign w:val="superscript"/>
              </w:rPr>
              <w:t>3</w:t>
            </w:r>
          </w:p>
        </w:tc>
        <w:tc>
          <w:tcPr>
            <w:tcW w:w="1770" w:type="dxa"/>
            <w:shd w:val="clear" w:color="auto" w:fill="auto"/>
            <w:vAlign w:val="center"/>
          </w:tcPr>
          <w:p w14:paraId="6AECC0A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95</w:t>
            </w:r>
          </w:p>
        </w:tc>
        <w:tc>
          <w:tcPr>
            <w:tcW w:w="2143" w:type="dxa"/>
            <w:shd w:val="clear" w:color="auto" w:fill="auto"/>
            <w:vAlign w:val="center"/>
          </w:tcPr>
          <w:p w14:paraId="07DA61E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27446E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197D16F6">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5</w:t>
            </w:r>
          </w:p>
        </w:tc>
        <w:tc>
          <w:tcPr>
            <w:tcW w:w="2117" w:type="dxa"/>
            <w:shd w:val="clear" w:color="auto" w:fill="auto"/>
            <w:vAlign w:val="center"/>
          </w:tcPr>
          <w:p w14:paraId="05D4F413">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42.5水泥</w:t>
            </w:r>
          </w:p>
        </w:tc>
        <w:tc>
          <w:tcPr>
            <w:tcW w:w="1770" w:type="dxa"/>
            <w:shd w:val="clear" w:color="auto" w:fill="auto"/>
            <w:vAlign w:val="center"/>
          </w:tcPr>
          <w:p w14:paraId="7A38232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t</w:t>
            </w:r>
          </w:p>
        </w:tc>
        <w:tc>
          <w:tcPr>
            <w:tcW w:w="1770" w:type="dxa"/>
            <w:shd w:val="clear" w:color="auto" w:fill="auto"/>
            <w:vAlign w:val="center"/>
          </w:tcPr>
          <w:p w14:paraId="4A79DCA3">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400</w:t>
            </w:r>
          </w:p>
        </w:tc>
        <w:tc>
          <w:tcPr>
            <w:tcW w:w="2143" w:type="dxa"/>
            <w:shd w:val="clear" w:color="auto" w:fill="auto"/>
            <w:vAlign w:val="center"/>
          </w:tcPr>
          <w:p w14:paraId="3FE2FB9F">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59308A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45D8A017">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7</w:t>
            </w:r>
          </w:p>
        </w:tc>
        <w:tc>
          <w:tcPr>
            <w:tcW w:w="2117" w:type="dxa"/>
            <w:shd w:val="clear" w:color="auto" w:fill="auto"/>
            <w:vAlign w:val="center"/>
          </w:tcPr>
          <w:p w14:paraId="6CCC1F24">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板枋材</w:t>
            </w:r>
          </w:p>
        </w:tc>
        <w:tc>
          <w:tcPr>
            <w:tcW w:w="1770" w:type="dxa"/>
            <w:shd w:val="clear" w:color="auto" w:fill="auto"/>
            <w:vAlign w:val="center"/>
          </w:tcPr>
          <w:p w14:paraId="4EDDC89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w:t>
            </w:r>
            <w:r>
              <w:rPr>
                <w:rFonts w:hint="default" w:ascii="Times New Roman" w:hAnsi="Times New Roman" w:cs="Times New Roman"/>
                <w:color w:val="000000"/>
                <w:kern w:val="0"/>
                <w:sz w:val="21"/>
                <w:szCs w:val="21"/>
                <w:vertAlign w:val="superscript"/>
              </w:rPr>
              <w:t>3</w:t>
            </w:r>
          </w:p>
        </w:tc>
        <w:tc>
          <w:tcPr>
            <w:tcW w:w="1770" w:type="dxa"/>
            <w:shd w:val="clear" w:color="auto" w:fill="auto"/>
            <w:vAlign w:val="center"/>
          </w:tcPr>
          <w:p w14:paraId="11F47195">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1350</w:t>
            </w:r>
          </w:p>
        </w:tc>
        <w:tc>
          <w:tcPr>
            <w:tcW w:w="2143" w:type="dxa"/>
            <w:shd w:val="clear" w:color="auto" w:fill="auto"/>
            <w:vAlign w:val="center"/>
          </w:tcPr>
          <w:p w14:paraId="79C7C25A">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227A04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56B21FE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8</w:t>
            </w:r>
          </w:p>
        </w:tc>
        <w:tc>
          <w:tcPr>
            <w:tcW w:w="2117" w:type="dxa"/>
            <w:shd w:val="clear" w:color="auto" w:fill="auto"/>
            <w:vAlign w:val="center"/>
          </w:tcPr>
          <w:p w14:paraId="774ABB4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钢模板</w:t>
            </w:r>
          </w:p>
        </w:tc>
        <w:tc>
          <w:tcPr>
            <w:tcW w:w="1770" w:type="dxa"/>
            <w:shd w:val="clear" w:color="auto" w:fill="auto"/>
            <w:vAlign w:val="center"/>
          </w:tcPr>
          <w:p w14:paraId="0A665F5F">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kg</w:t>
            </w:r>
          </w:p>
        </w:tc>
        <w:tc>
          <w:tcPr>
            <w:tcW w:w="1770" w:type="dxa"/>
            <w:shd w:val="clear" w:color="auto" w:fill="auto"/>
            <w:vAlign w:val="center"/>
          </w:tcPr>
          <w:p w14:paraId="36F0B8B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7.12</w:t>
            </w:r>
          </w:p>
        </w:tc>
        <w:tc>
          <w:tcPr>
            <w:tcW w:w="2143" w:type="dxa"/>
            <w:shd w:val="clear" w:color="auto" w:fill="auto"/>
            <w:vAlign w:val="center"/>
          </w:tcPr>
          <w:p w14:paraId="1A6315BA">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57CB7C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1F0B8E36">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9</w:t>
            </w:r>
          </w:p>
        </w:tc>
        <w:tc>
          <w:tcPr>
            <w:tcW w:w="2117" w:type="dxa"/>
            <w:shd w:val="clear" w:color="auto" w:fill="auto"/>
            <w:vAlign w:val="center"/>
          </w:tcPr>
          <w:p w14:paraId="73C5040D">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铁件</w:t>
            </w:r>
          </w:p>
        </w:tc>
        <w:tc>
          <w:tcPr>
            <w:tcW w:w="1770" w:type="dxa"/>
            <w:shd w:val="clear" w:color="auto" w:fill="auto"/>
            <w:vAlign w:val="center"/>
          </w:tcPr>
          <w:p w14:paraId="25234FAE">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kg</w:t>
            </w:r>
          </w:p>
        </w:tc>
        <w:tc>
          <w:tcPr>
            <w:tcW w:w="1770" w:type="dxa"/>
            <w:shd w:val="clear" w:color="auto" w:fill="auto"/>
            <w:vAlign w:val="center"/>
          </w:tcPr>
          <w:p w14:paraId="3C51F0D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7.5</w:t>
            </w:r>
          </w:p>
        </w:tc>
        <w:tc>
          <w:tcPr>
            <w:tcW w:w="2143" w:type="dxa"/>
            <w:shd w:val="clear" w:color="auto" w:fill="auto"/>
            <w:vAlign w:val="center"/>
          </w:tcPr>
          <w:p w14:paraId="33B1A500">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7B2D27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596AAFD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10</w:t>
            </w:r>
          </w:p>
        </w:tc>
        <w:tc>
          <w:tcPr>
            <w:tcW w:w="2117" w:type="dxa"/>
            <w:shd w:val="clear" w:color="auto" w:fill="auto"/>
            <w:noWrap/>
            <w:vAlign w:val="center"/>
          </w:tcPr>
          <w:p w14:paraId="269258D9">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无纺布</w:t>
            </w:r>
          </w:p>
        </w:tc>
        <w:tc>
          <w:tcPr>
            <w:tcW w:w="1770" w:type="dxa"/>
            <w:shd w:val="clear" w:color="auto" w:fill="auto"/>
            <w:noWrap/>
            <w:vAlign w:val="center"/>
          </w:tcPr>
          <w:p w14:paraId="43161F3C">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w:t>
            </w:r>
            <w:r>
              <w:rPr>
                <w:rFonts w:hint="default" w:ascii="Times New Roman" w:hAnsi="Times New Roman" w:cs="Times New Roman"/>
                <w:color w:val="000000"/>
                <w:kern w:val="0"/>
                <w:sz w:val="21"/>
                <w:szCs w:val="21"/>
                <w:vertAlign w:val="superscript"/>
              </w:rPr>
              <w:t>2</w:t>
            </w:r>
          </w:p>
        </w:tc>
        <w:tc>
          <w:tcPr>
            <w:tcW w:w="1770" w:type="dxa"/>
            <w:shd w:val="clear" w:color="auto" w:fill="auto"/>
            <w:vAlign w:val="center"/>
          </w:tcPr>
          <w:p w14:paraId="5535A476">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2.5</w:t>
            </w:r>
          </w:p>
        </w:tc>
        <w:tc>
          <w:tcPr>
            <w:tcW w:w="2143" w:type="dxa"/>
            <w:shd w:val="clear" w:color="auto" w:fill="auto"/>
            <w:noWrap/>
            <w:vAlign w:val="center"/>
          </w:tcPr>
          <w:p w14:paraId="443EE7CA">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49F350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0F44C1E8">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11</w:t>
            </w:r>
          </w:p>
        </w:tc>
        <w:tc>
          <w:tcPr>
            <w:tcW w:w="2117" w:type="dxa"/>
            <w:shd w:val="clear" w:color="auto" w:fill="auto"/>
            <w:noWrap/>
            <w:vAlign w:val="center"/>
          </w:tcPr>
          <w:p w14:paraId="662CA187">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彩条布</w:t>
            </w:r>
          </w:p>
        </w:tc>
        <w:tc>
          <w:tcPr>
            <w:tcW w:w="1770" w:type="dxa"/>
            <w:shd w:val="clear" w:color="auto" w:fill="auto"/>
            <w:noWrap/>
            <w:vAlign w:val="center"/>
          </w:tcPr>
          <w:p w14:paraId="2C355166">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m</w:t>
            </w:r>
            <w:r>
              <w:rPr>
                <w:rFonts w:hint="default" w:ascii="Times New Roman" w:hAnsi="Times New Roman" w:cs="Times New Roman"/>
                <w:color w:val="000000"/>
                <w:kern w:val="0"/>
                <w:sz w:val="21"/>
                <w:szCs w:val="21"/>
                <w:vertAlign w:val="superscript"/>
              </w:rPr>
              <w:t>2</w:t>
            </w:r>
          </w:p>
        </w:tc>
        <w:tc>
          <w:tcPr>
            <w:tcW w:w="1770" w:type="dxa"/>
            <w:shd w:val="clear" w:color="auto" w:fill="auto"/>
            <w:vAlign w:val="center"/>
          </w:tcPr>
          <w:p w14:paraId="5E03026E">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 xml:space="preserve">2.2 </w:t>
            </w:r>
          </w:p>
        </w:tc>
        <w:tc>
          <w:tcPr>
            <w:tcW w:w="2143" w:type="dxa"/>
            <w:shd w:val="clear" w:color="auto" w:fill="auto"/>
            <w:noWrap/>
            <w:vAlign w:val="center"/>
          </w:tcPr>
          <w:p w14:paraId="08A8519C">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市场询价</w:t>
            </w:r>
          </w:p>
        </w:tc>
      </w:tr>
      <w:tr w14:paraId="26F716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1770" w:type="dxa"/>
            <w:shd w:val="clear" w:color="auto" w:fill="auto"/>
            <w:vAlign w:val="center"/>
          </w:tcPr>
          <w:p w14:paraId="1DA1089D">
            <w:pPr>
              <w:spacing w:line="240" w:lineRule="auto"/>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12</w:t>
            </w:r>
          </w:p>
        </w:tc>
        <w:tc>
          <w:tcPr>
            <w:tcW w:w="2117" w:type="dxa"/>
            <w:shd w:val="clear" w:color="auto" w:fill="auto"/>
            <w:noWrap/>
            <w:vAlign w:val="center"/>
          </w:tcPr>
          <w:p w14:paraId="3A6915C5">
            <w:pPr>
              <w:spacing w:line="240" w:lineRule="auto"/>
              <w:ind w:firstLine="0" w:firstLineChars="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编织袋</w:t>
            </w:r>
          </w:p>
        </w:tc>
        <w:tc>
          <w:tcPr>
            <w:tcW w:w="1770" w:type="dxa"/>
            <w:shd w:val="clear" w:color="auto" w:fill="auto"/>
            <w:noWrap/>
            <w:vAlign w:val="center"/>
          </w:tcPr>
          <w:p w14:paraId="2A37304D">
            <w:pPr>
              <w:spacing w:line="240" w:lineRule="auto"/>
              <w:ind w:firstLine="0" w:firstLineChars="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个</w:t>
            </w:r>
          </w:p>
        </w:tc>
        <w:tc>
          <w:tcPr>
            <w:tcW w:w="1770" w:type="dxa"/>
            <w:shd w:val="clear" w:color="auto" w:fill="auto"/>
            <w:vAlign w:val="center"/>
          </w:tcPr>
          <w:p w14:paraId="4C7EC24B">
            <w:pPr>
              <w:spacing w:line="240" w:lineRule="auto"/>
              <w:ind w:firstLine="0" w:firstLineChars="0"/>
              <w:jc w:val="center"/>
              <w:rPr>
                <w:rFonts w:hint="default" w:ascii="Times New Roman" w:hAnsi="Times New Roman"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1.5</w:t>
            </w:r>
          </w:p>
        </w:tc>
        <w:tc>
          <w:tcPr>
            <w:tcW w:w="2143" w:type="dxa"/>
            <w:shd w:val="clear" w:color="auto" w:fill="auto"/>
            <w:noWrap/>
            <w:vAlign w:val="center"/>
          </w:tcPr>
          <w:p w14:paraId="1AB31FB7">
            <w:pPr>
              <w:spacing w:line="240" w:lineRule="auto"/>
              <w:ind w:firstLine="0" w:firstLineChars="0"/>
              <w:jc w:val="center"/>
              <w:rPr>
                <w:rFonts w:hint="default" w:ascii="Times New Roman" w:hAnsi="Times New Roman" w:cs="Times New Roman"/>
                <w:color w:val="000000"/>
                <w:kern w:val="0"/>
                <w:sz w:val="21"/>
                <w:szCs w:val="21"/>
              </w:rPr>
            </w:pPr>
            <w:r>
              <w:rPr>
                <w:rFonts w:hint="eastAsia" w:ascii="Times New Roman" w:hAnsi="Times New Roman" w:cs="Times New Roman"/>
                <w:color w:val="000000"/>
                <w:kern w:val="0"/>
                <w:sz w:val="21"/>
                <w:szCs w:val="21"/>
                <w:lang w:val="en-US" w:eastAsia="zh-CN"/>
              </w:rPr>
              <w:t>市场询价</w:t>
            </w:r>
          </w:p>
        </w:tc>
      </w:tr>
    </w:tbl>
    <w:p w14:paraId="5DDE16E3">
      <w:pPr>
        <w:pStyle w:val="100"/>
        <w:ind w:firstLine="480"/>
        <w:rPr>
          <w:rFonts w:hint="eastAsia" w:ascii="Times New Roman" w:hAnsi="Times New Roman" w:eastAsia="仿宋_GB2312" w:cs="Times New Roman"/>
          <w:lang w:val="en-US" w:eastAsia="zh-CN"/>
        </w:rPr>
      </w:pPr>
      <w:r>
        <w:rPr>
          <w:rFonts w:hint="default" w:ascii="Times New Roman" w:hAnsi="Times New Roman" w:cs="Times New Roman"/>
        </w:rPr>
        <w:t>5、混凝土砂浆单价</w:t>
      </w:r>
      <w:r>
        <w:rPr>
          <w:rFonts w:hint="eastAsia" w:cs="Times New Roman"/>
          <w:lang w:val="en-US" w:eastAsia="zh-CN"/>
        </w:rPr>
        <w:t>·</w:t>
      </w:r>
    </w:p>
    <w:p w14:paraId="52D1E48F">
      <w:pPr>
        <w:pStyle w:val="100"/>
        <w:ind w:firstLine="480"/>
        <w:rPr>
          <w:rFonts w:hint="default" w:ascii="Times New Roman" w:hAnsi="Times New Roman" w:cs="Times New Roman"/>
        </w:rPr>
      </w:pPr>
      <w:r>
        <w:rPr>
          <w:rFonts w:hint="default" w:ascii="Times New Roman" w:hAnsi="Times New Roman" w:cs="Times New Roman"/>
        </w:rPr>
        <w:t>按照水利部水总〔2003〕67号文《水土保持工程施工机械台时费定额》进行计算。</w:t>
      </w:r>
    </w:p>
    <w:p w14:paraId="75AF5847">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 xml:space="preserve">表 </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7</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SEQ 表 \* ARABIC \s 1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2</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tab/>
      </w:r>
      <w:r>
        <w:rPr>
          <w:rFonts w:hint="default" w:ascii="Times New Roman" w:hAnsi="Times New Roman" w:eastAsia="仿宋_GB2312" w:cs="Times New Roman"/>
          <w:b/>
          <w:bCs w:val="0"/>
        </w:rPr>
        <w:t xml:space="preserve">                       水泥砂浆单价计算表</w:t>
      </w:r>
    </w:p>
    <w:tbl>
      <w:tblPr>
        <w:tblStyle w:val="27"/>
        <w:tblW w:w="95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184"/>
        <w:gridCol w:w="764"/>
        <w:gridCol w:w="1371"/>
        <w:gridCol w:w="787"/>
        <w:gridCol w:w="634"/>
        <w:gridCol w:w="900"/>
        <w:gridCol w:w="766"/>
        <w:gridCol w:w="766"/>
        <w:gridCol w:w="841"/>
        <w:gridCol w:w="900"/>
      </w:tblGrid>
      <w:tr w14:paraId="274F8B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7" w:type="dxa"/>
            <w:vMerge w:val="restart"/>
            <w:shd w:val="clear" w:color="auto" w:fill="auto"/>
            <w:vAlign w:val="center"/>
          </w:tcPr>
          <w:p w14:paraId="76669187">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序号</w:t>
            </w:r>
          </w:p>
        </w:tc>
        <w:tc>
          <w:tcPr>
            <w:tcW w:w="1184" w:type="dxa"/>
            <w:vMerge w:val="restart"/>
            <w:shd w:val="clear" w:color="auto" w:fill="auto"/>
            <w:vAlign w:val="center"/>
          </w:tcPr>
          <w:p w14:paraId="11618A50">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混凝土或砂浆</w:t>
            </w:r>
          </w:p>
        </w:tc>
        <w:tc>
          <w:tcPr>
            <w:tcW w:w="764" w:type="dxa"/>
            <w:vMerge w:val="restart"/>
            <w:shd w:val="clear" w:color="auto" w:fill="auto"/>
            <w:vAlign w:val="center"/>
          </w:tcPr>
          <w:p w14:paraId="6716AAB3">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水泥</w:t>
            </w:r>
          </w:p>
        </w:tc>
        <w:tc>
          <w:tcPr>
            <w:tcW w:w="1371" w:type="dxa"/>
            <w:vMerge w:val="restart"/>
            <w:shd w:val="clear" w:color="auto" w:fill="auto"/>
            <w:vAlign w:val="center"/>
          </w:tcPr>
          <w:p w14:paraId="4EFAE4FD">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石子或砂子</w:t>
            </w:r>
          </w:p>
        </w:tc>
        <w:tc>
          <w:tcPr>
            <w:tcW w:w="787" w:type="dxa"/>
            <w:vMerge w:val="restart"/>
            <w:shd w:val="clear" w:color="auto" w:fill="auto"/>
            <w:vAlign w:val="center"/>
          </w:tcPr>
          <w:p w14:paraId="1FF1B347">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混凝土</w:t>
            </w:r>
          </w:p>
        </w:tc>
        <w:tc>
          <w:tcPr>
            <w:tcW w:w="634" w:type="dxa"/>
            <w:vMerge w:val="restart"/>
            <w:shd w:val="clear" w:color="auto" w:fill="auto"/>
            <w:vAlign w:val="center"/>
          </w:tcPr>
          <w:p w14:paraId="1BA5248E">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水灰比</w:t>
            </w:r>
          </w:p>
        </w:tc>
        <w:tc>
          <w:tcPr>
            <w:tcW w:w="3273" w:type="dxa"/>
            <w:gridSpan w:val="4"/>
            <w:shd w:val="clear" w:color="auto" w:fill="auto"/>
            <w:vAlign w:val="center"/>
          </w:tcPr>
          <w:p w14:paraId="5F5D987D">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材料预算用量</w:t>
            </w:r>
          </w:p>
        </w:tc>
        <w:tc>
          <w:tcPr>
            <w:tcW w:w="900" w:type="dxa"/>
            <w:vMerge w:val="restart"/>
            <w:shd w:val="clear" w:color="auto" w:fill="auto"/>
            <w:vAlign w:val="center"/>
          </w:tcPr>
          <w:p w14:paraId="7CC976F3">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单价</w:t>
            </w:r>
          </w:p>
        </w:tc>
      </w:tr>
      <w:tr w14:paraId="2F5E3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7" w:type="dxa"/>
            <w:vMerge w:val="continue"/>
            <w:vAlign w:val="center"/>
          </w:tcPr>
          <w:p w14:paraId="6347305A">
            <w:pPr>
              <w:pStyle w:val="104"/>
              <w:spacing w:line="240" w:lineRule="auto"/>
              <w:ind w:firstLine="0" w:firstLineChars="0"/>
              <w:rPr>
                <w:rFonts w:hint="default" w:ascii="Times New Roman" w:hAnsi="Times New Roman" w:cs="Times New Roman"/>
                <w:color w:val="000000" w:themeColor="text1"/>
              </w:rPr>
            </w:pPr>
          </w:p>
        </w:tc>
        <w:tc>
          <w:tcPr>
            <w:tcW w:w="1184" w:type="dxa"/>
            <w:vMerge w:val="continue"/>
            <w:vAlign w:val="center"/>
          </w:tcPr>
          <w:p w14:paraId="67D8AC74">
            <w:pPr>
              <w:pStyle w:val="104"/>
              <w:spacing w:line="240" w:lineRule="auto"/>
              <w:ind w:firstLine="0" w:firstLineChars="0"/>
              <w:rPr>
                <w:rFonts w:hint="default" w:ascii="Times New Roman" w:hAnsi="Times New Roman" w:cs="Times New Roman"/>
                <w:color w:val="000000" w:themeColor="text1"/>
              </w:rPr>
            </w:pPr>
          </w:p>
        </w:tc>
        <w:tc>
          <w:tcPr>
            <w:tcW w:w="764" w:type="dxa"/>
            <w:vMerge w:val="continue"/>
            <w:vAlign w:val="center"/>
          </w:tcPr>
          <w:p w14:paraId="3367F262">
            <w:pPr>
              <w:pStyle w:val="104"/>
              <w:spacing w:line="240" w:lineRule="auto"/>
              <w:ind w:firstLine="0" w:firstLineChars="0"/>
              <w:rPr>
                <w:rFonts w:hint="default" w:ascii="Times New Roman" w:hAnsi="Times New Roman" w:cs="Times New Roman"/>
                <w:color w:val="000000" w:themeColor="text1"/>
              </w:rPr>
            </w:pPr>
          </w:p>
        </w:tc>
        <w:tc>
          <w:tcPr>
            <w:tcW w:w="1371" w:type="dxa"/>
            <w:vMerge w:val="continue"/>
            <w:vAlign w:val="center"/>
          </w:tcPr>
          <w:p w14:paraId="1B87EA71">
            <w:pPr>
              <w:pStyle w:val="104"/>
              <w:spacing w:line="240" w:lineRule="auto"/>
              <w:ind w:firstLine="0" w:firstLineChars="0"/>
              <w:rPr>
                <w:rFonts w:hint="default" w:ascii="Times New Roman" w:hAnsi="Times New Roman" w:cs="Times New Roman"/>
                <w:color w:val="000000" w:themeColor="text1"/>
              </w:rPr>
            </w:pPr>
          </w:p>
        </w:tc>
        <w:tc>
          <w:tcPr>
            <w:tcW w:w="787" w:type="dxa"/>
            <w:vMerge w:val="continue"/>
            <w:vAlign w:val="center"/>
          </w:tcPr>
          <w:p w14:paraId="7EE40F09">
            <w:pPr>
              <w:pStyle w:val="104"/>
              <w:spacing w:line="240" w:lineRule="auto"/>
              <w:ind w:firstLine="0" w:firstLineChars="0"/>
              <w:rPr>
                <w:rFonts w:hint="default" w:ascii="Times New Roman" w:hAnsi="Times New Roman" w:cs="Times New Roman"/>
                <w:color w:val="000000" w:themeColor="text1"/>
              </w:rPr>
            </w:pPr>
          </w:p>
        </w:tc>
        <w:tc>
          <w:tcPr>
            <w:tcW w:w="634" w:type="dxa"/>
            <w:vMerge w:val="continue"/>
            <w:vAlign w:val="center"/>
          </w:tcPr>
          <w:p w14:paraId="2A4A0B4D">
            <w:pPr>
              <w:pStyle w:val="104"/>
              <w:spacing w:line="240" w:lineRule="auto"/>
              <w:ind w:firstLine="0" w:firstLineChars="0"/>
              <w:rPr>
                <w:rFonts w:hint="default" w:ascii="Times New Roman" w:hAnsi="Times New Roman" w:cs="Times New Roman"/>
                <w:color w:val="000000" w:themeColor="text1"/>
              </w:rPr>
            </w:pPr>
          </w:p>
        </w:tc>
        <w:tc>
          <w:tcPr>
            <w:tcW w:w="900" w:type="dxa"/>
            <w:shd w:val="clear" w:color="auto" w:fill="auto"/>
            <w:vAlign w:val="center"/>
          </w:tcPr>
          <w:p w14:paraId="15CD273E">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水泥</w:t>
            </w:r>
          </w:p>
        </w:tc>
        <w:tc>
          <w:tcPr>
            <w:tcW w:w="766" w:type="dxa"/>
            <w:shd w:val="clear" w:color="auto" w:fill="auto"/>
            <w:vAlign w:val="center"/>
          </w:tcPr>
          <w:p w14:paraId="5C529F53">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中砂</w:t>
            </w:r>
          </w:p>
        </w:tc>
        <w:tc>
          <w:tcPr>
            <w:tcW w:w="766" w:type="dxa"/>
            <w:shd w:val="clear" w:color="auto" w:fill="auto"/>
            <w:vAlign w:val="center"/>
          </w:tcPr>
          <w:p w14:paraId="7D030646">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碎石</w:t>
            </w:r>
          </w:p>
        </w:tc>
        <w:tc>
          <w:tcPr>
            <w:tcW w:w="841" w:type="dxa"/>
            <w:shd w:val="clear" w:color="auto" w:fill="auto"/>
            <w:vAlign w:val="center"/>
          </w:tcPr>
          <w:p w14:paraId="781D4F0C">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水</w:t>
            </w:r>
          </w:p>
        </w:tc>
        <w:tc>
          <w:tcPr>
            <w:tcW w:w="900" w:type="dxa"/>
            <w:vMerge w:val="continue"/>
            <w:vAlign w:val="center"/>
          </w:tcPr>
          <w:p w14:paraId="74A7C9E1">
            <w:pPr>
              <w:pStyle w:val="104"/>
              <w:spacing w:line="240" w:lineRule="auto"/>
              <w:ind w:firstLine="0" w:firstLineChars="0"/>
              <w:rPr>
                <w:rFonts w:hint="default" w:ascii="Times New Roman" w:hAnsi="Times New Roman" w:cs="Times New Roman"/>
                <w:color w:val="000000" w:themeColor="text1"/>
              </w:rPr>
            </w:pPr>
          </w:p>
        </w:tc>
      </w:tr>
      <w:tr w14:paraId="6F87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7" w:type="dxa"/>
            <w:vMerge w:val="continue"/>
            <w:vAlign w:val="center"/>
          </w:tcPr>
          <w:p w14:paraId="4D9F7434">
            <w:pPr>
              <w:pStyle w:val="104"/>
              <w:spacing w:line="240" w:lineRule="auto"/>
              <w:ind w:firstLine="0" w:firstLineChars="0"/>
              <w:rPr>
                <w:rFonts w:hint="default" w:ascii="Times New Roman" w:hAnsi="Times New Roman" w:cs="Times New Roman"/>
                <w:color w:val="000000" w:themeColor="text1"/>
              </w:rPr>
            </w:pPr>
          </w:p>
        </w:tc>
        <w:tc>
          <w:tcPr>
            <w:tcW w:w="1184" w:type="dxa"/>
            <w:shd w:val="clear" w:color="auto" w:fill="auto"/>
            <w:vAlign w:val="center"/>
          </w:tcPr>
          <w:p w14:paraId="18CE3EED">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强度等级</w:t>
            </w:r>
          </w:p>
        </w:tc>
        <w:tc>
          <w:tcPr>
            <w:tcW w:w="764" w:type="dxa"/>
            <w:shd w:val="clear" w:color="auto" w:fill="auto"/>
            <w:vAlign w:val="center"/>
          </w:tcPr>
          <w:p w14:paraId="54203CC1">
            <w:pPr>
              <w:pStyle w:val="104"/>
              <w:spacing w:line="240" w:lineRule="auto"/>
              <w:ind w:firstLine="0" w:firstLineChars="0"/>
              <w:rPr>
                <w:rFonts w:hint="default" w:ascii="Times New Roman" w:hAnsi="Times New Roman" w:cs="Times New Roman"/>
                <w:color w:val="000000" w:themeColor="text1"/>
              </w:rPr>
            </w:pPr>
          </w:p>
        </w:tc>
        <w:tc>
          <w:tcPr>
            <w:tcW w:w="1371" w:type="dxa"/>
            <w:shd w:val="clear" w:color="auto" w:fill="auto"/>
            <w:vAlign w:val="center"/>
          </w:tcPr>
          <w:p w14:paraId="3787CE69">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粒径</w:t>
            </w:r>
          </w:p>
        </w:tc>
        <w:tc>
          <w:tcPr>
            <w:tcW w:w="787" w:type="dxa"/>
            <w:shd w:val="clear" w:color="auto" w:fill="auto"/>
            <w:vAlign w:val="center"/>
          </w:tcPr>
          <w:p w14:paraId="1BD5F92D">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级配</w:t>
            </w:r>
          </w:p>
        </w:tc>
        <w:tc>
          <w:tcPr>
            <w:tcW w:w="634" w:type="dxa"/>
            <w:vMerge w:val="continue"/>
            <w:vAlign w:val="center"/>
          </w:tcPr>
          <w:p w14:paraId="5D05CBC2">
            <w:pPr>
              <w:pStyle w:val="104"/>
              <w:spacing w:line="240" w:lineRule="auto"/>
              <w:ind w:firstLine="0" w:firstLineChars="0"/>
              <w:rPr>
                <w:rFonts w:hint="default" w:ascii="Times New Roman" w:hAnsi="Times New Roman" w:cs="Times New Roman"/>
                <w:color w:val="000000" w:themeColor="text1"/>
              </w:rPr>
            </w:pPr>
          </w:p>
        </w:tc>
        <w:tc>
          <w:tcPr>
            <w:tcW w:w="900" w:type="dxa"/>
            <w:shd w:val="clear" w:color="auto" w:fill="auto"/>
            <w:vAlign w:val="center"/>
          </w:tcPr>
          <w:p w14:paraId="4A947F4D">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(kg)</w:t>
            </w:r>
          </w:p>
        </w:tc>
        <w:tc>
          <w:tcPr>
            <w:tcW w:w="766" w:type="dxa"/>
            <w:shd w:val="clear" w:color="auto" w:fill="auto"/>
            <w:vAlign w:val="center"/>
          </w:tcPr>
          <w:p w14:paraId="6C4F08E2">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w:t>
            </w:r>
          </w:p>
        </w:tc>
        <w:tc>
          <w:tcPr>
            <w:tcW w:w="766" w:type="dxa"/>
            <w:shd w:val="clear" w:color="auto" w:fill="auto"/>
            <w:vAlign w:val="center"/>
          </w:tcPr>
          <w:p w14:paraId="3B4E801F">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w:t>
            </w:r>
          </w:p>
        </w:tc>
        <w:tc>
          <w:tcPr>
            <w:tcW w:w="841" w:type="dxa"/>
            <w:shd w:val="clear" w:color="auto" w:fill="auto"/>
            <w:vAlign w:val="center"/>
          </w:tcPr>
          <w:p w14:paraId="20DE665C">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w:t>
            </w:r>
          </w:p>
        </w:tc>
        <w:tc>
          <w:tcPr>
            <w:tcW w:w="900" w:type="dxa"/>
            <w:shd w:val="clear" w:color="auto" w:fill="auto"/>
            <w:vAlign w:val="center"/>
          </w:tcPr>
          <w:p w14:paraId="1B0BB998">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(元/m</w:t>
            </w:r>
            <w:r>
              <w:rPr>
                <w:rFonts w:hint="default" w:ascii="Times New Roman" w:hAnsi="Times New Roman" w:cs="Times New Roman"/>
                <w:color w:val="000000" w:themeColor="text1"/>
                <w:vertAlign w:val="superscript"/>
              </w:rPr>
              <w:t>3</w:t>
            </w:r>
            <w:r>
              <w:rPr>
                <w:rFonts w:hint="default" w:ascii="Times New Roman" w:hAnsi="Times New Roman" w:cs="Times New Roman"/>
                <w:color w:val="000000" w:themeColor="text1"/>
              </w:rPr>
              <w:t>)</w:t>
            </w:r>
          </w:p>
        </w:tc>
      </w:tr>
      <w:tr w14:paraId="2D96A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7" w:type="dxa"/>
            <w:shd w:val="clear" w:color="auto" w:fill="auto"/>
            <w:noWrap/>
            <w:vAlign w:val="center"/>
          </w:tcPr>
          <w:p w14:paraId="0F227818">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1</w:t>
            </w:r>
          </w:p>
        </w:tc>
        <w:tc>
          <w:tcPr>
            <w:tcW w:w="1184" w:type="dxa"/>
            <w:shd w:val="clear" w:color="auto" w:fill="auto"/>
            <w:noWrap/>
            <w:vAlign w:val="center"/>
          </w:tcPr>
          <w:p w14:paraId="1FC775C1">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val="en-US" w:eastAsia="zh-CN"/>
              </w:rPr>
              <w:t>M7.5砂浆</w:t>
            </w:r>
          </w:p>
        </w:tc>
        <w:tc>
          <w:tcPr>
            <w:tcW w:w="764" w:type="dxa"/>
            <w:shd w:val="clear" w:color="auto" w:fill="auto"/>
            <w:noWrap/>
            <w:vAlign w:val="center"/>
          </w:tcPr>
          <w:p w14:paraId="6413DB50">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lang w:val="en-US" w:eastAsia="zh-CN"/>
              </w:rPr>
              <w:t xml:space="preserve">42.5 </w:t>
            </w:r>
          </w:p>
        </w:tc>
        <w:tc>
          <w:tcPr>
            <w:tcW w:w="1371" w:type="dxa"/>
            <w:shd w:val="clear" w:color="auto" w:fill="auto"/>
            <w:noWrap/>
            <w:vAlign w:val="center"/>
          </w:tcPr>
          <w:p w14:paraId="093CB7D7">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val="en-US" w:eastAsia="zh-CN"/>
              </w:rPr>
              <w:t>中砂</w:t>
            </w:r>
          </w:p>
        </w:tc>
        <w:tc>
          <w:tcPr>
            <w:tcW w:w="787" w:type="dxa"/>
            <w:shd w:val="clear" w:color="auto" w:fill="auto"/>
            <w:noWrap/>
            <w:vAlign w:val="center"/>
          </w:tcPr>
          <w:p w14:paraId="58000859">
            <w:pPr>
              <w:pStyle w:val="104"/>
              <w:spacing w:line="240" w:lineRule="auto"/>
              <w:ind w:firstLine="0" w:firstLineChars="0"/>
              <w:rPr>
                <w:rFonts w:hint="default" w:ascii="Times New Roman" w:hAnsi="Times New Roman" w:cs="Times New Roman"/>
                <w:color w:val="000000" w:themeColor="text1"/>
                <w:szCs w:val="21"/>
              </w:rPr>
            </w:pPr>
          </w:p>
        </w:tc>
        <w:tc>
          <w:tcPr>
            <w:tcW w:w="634" w:type="dxa"/>
            <w:shd w:val="clear" w:color="auto" w:fill="auto"/>
            <w:noWrap/>
            <w:vAlign w:val="center"/>
          </w:tcPr>
          <w:p w14:paraId="16F568DF">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val="en-US" w:eastAsia="zh-CN"/>
              </w:rPr>
              <w:t xml:space="preserve">0.99 </w:t>
            </w:r>
          </w:p>
        </w:tc>
        <w:tc>
          <w:tcPr>
            <w:tcW w:w="900" w:type="dxa"/>
            <w:shd w:val="clear" w:color="auto" w:fill="auto"/>
            <w:noWrap/>
            <w:vAlign w:val="center"/>
          </w:tcPr>
          <w:p w14:paraId="47F54628">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val="en-US" w:eastAsia="zh-CN"/>
              </w:rPr>
              <w:t xml:space="preserve">292.00 </w:t>
            </w:r>
          </w:p>
        </w:tc>
        <w:tc>
          <w:tcPr>
            <w:tcW w:w="766" w:type="dxa"/>
            <w:shd w:val="clear" w:color="auto" w:fill="auto"/>
            <w:noWrap/>
            <w:vAlign w:val="center"/>
          </w:tcPr>
          <w:p w14:paraId="5F73D06B">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val="en-US" w:eastAsia="zh-CN"/>
              </w:rPr>
              <w:t xml:space="preserve">1.11 </w:t>
            </w:r>
          </w:p>
        </w:tc>
        <w:tc>
          <w:tcPr>
            <w:tcW w:w="766" w:type="dxa"/>
            <w:shd w:val="clear" w:color="auto" w:fill="auto"/>
            <w:noWrap/>
            <w:vAlign w:val="center"/>
          </w:tcPr>
          <w:p w14:paraId="385D3828">
            <w:pPr>
              <w:pStyle w:val="104"/>
              <w:spacing w:line="240" w:lineRule="auto"/>
              <w:ind w:firstLine="0" w:firstLineChars="0"/>
              <w:rPr>
                <w:rFonts w:hint="default" w:ascii="Times New Roman" w:hAnsi="Times New Roman" w:cs="Times New Roman"/>
                <w:color w:val="000000" w:themeColor="text1"/>
                <w:szCs w:val="21"/>
              </w:rPr>
            </w:pPr>
          </w:p>
        </w:tc>
        <w:tc>
          <w:tcPr>
            <w:tcW w:w="841" w:type="dxa"/>
            <w:shd w:val="clear" w:color="auto" w:fill="auto"/>
            <w:noWrap/>
            <w:vAlign w:val="center"/>
          </w:tcPr>
          <w:p w14:paraId="4C997D12">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lang w:val="en-US" w:eastAsia="zh-CN"/>
              </w:rPr>
              <w:t xml:space="preserve">0.289 </w:t>
            </w:r>
          </w:p>
        </w:tc>
        <w:tc>
          <w:tcPr>
            <w:tcW w:w="900" w:type="dxa"/>
            <w:shd w:val="clear" w:color="auto" w:fill="auto"/>
            <w:vAlign w:val="center"/>
          </w:tcPr>
          <w:p w14:paraId="213E94ED">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lang w:val="en-US" w:eastAsia="zh-CN"/>
              </w:rPr>
              <w:t xml:space="preserve">183.83 </w:t>
            </w:r>
          </w:p>
        </w:tc>
      </w:tr>
      <w:tr w14:paraId="39783F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7" w:type="dxa"/>
            <w:shd w:val="clear" w:color="auto" w:fill="auto"/>
            <w:noWrap/>
            <w:vAlign w:val="center"/>
          </w:tcPr>
          <w:p w14:paraId="5811524A">
            <w:pPr>
              <w:pStyle w:val="104"/>
              <w:spacing w:line="240" w:lineRule="auto"/>
              <w:ind w:firstLine="0" w:firstLineChars="0"/>
              <w:rPr>
                <w:rFonts w:hint="default" w:ascii="Times New Roman" w:hAnsi="Times New Roman" w:cs="Times New Roman"/>
                <w:color w:val="000000" w:themeColor="text1"/>
              </w:rPr>
            </w:pPr>
            <w:r>
              <w:rPr>
                <w:rFonts w:hint="default" w:ascii="Times New Roman" w:hAnsi="Times New Roman" w:cs="Times New Roman"/>
                <w:color w:val="000000" w:themeColor="text1"/>
              </w:rPr>
              <w:t>2</w:t>
            </w:r>
          </w:p>
        </w:tc>
        <w:tc>
          <w:tcPr>
            <w:tcW w:w="1184" w:type="dxa"/>
            <w:shd w:val="clear" w:color="auto" w:fill="auto"/>
            <w:noWrap/>
            <w:vAlign w:val="center"/>
          </w:tcPr>
          <w:p w14:paraId="0E341914">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C20砼</w:t>
            </w:r>
          </w:p>
        </w:tc>
        <w:tc>
          <w:tcPr>
            <w:tcW w:w="764" w:type="dxa"/>
            <w:shd w:val="clear" w:color="auto" w:fill="auto"/>
            <w:noWrap/>
            <w:vAlign w:val="center"/>
          </w:tcPr>
          <w:p w14:paraId="1E623DA9">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 xml:space="preserve">42.5 </w:t>
            </w:r>
          </w:p>
        </w:tc>
        <w:tc>
          <w:tcPr>
            <w:tcW w:w="1371" w:type="dxa"/>
            <w:shd w:val="clear" w:color="auto" w:fill="auto"/>
            <w:noWrap/>
            <w:vAlign w:val="center"/>
          </w:tcPr>
          <w:p w14:paraId="1C9A68EC">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 xml:space="preserve"> 碎石、中砂</w:t>
            </w:r>
          </w:p>
        </w:tc>
        <w:tc>
          <w:tcPr>
            <w:tcW w:w="787" w:type="dxa"/>
            <w:shd w:val="clear" w:color="auto" w:fill="auto"/>
            <w:noWrap/>
            <w:vAlign w:val="center"/>
          </w:tcPr>
          <w:p w14:paraId="511740BF">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 xml:space="preserve">2 </w:t>
            </w:r>
          </w:p>
        </w:tc>
        <w:tc>
          <w:tcPr>
            <w:tcW w:w="634" w:type="dxa"/>
            <w:shd w:val="clear" w:color="auto" w:fill="auto"/>
            <w:noWrap/>
            <w:vAlign w:val="center"/>
          </w:tcPr>
          <w:p w14:paraId="7E34C9F1">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 xml:space="preserve">0.65 </w:t>
            </w:r>
          </w:p>
        </w:tc>
        <w:tc>
          <w:tcPr>
            <w:tcW w:w="900" w:type="dxa"/>
            <w:shd w:val="clear" w:color="auto" w:fill="auto"/>
            <w:noWrap/>
            <w:vAlign w:val="center"/>
          </w:tcPr>
          <w:p w14:paraId="6ED52689">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 xml:space="preserve">298.35 </w:t>
            </w:r>
          </w:p>
        </w:tc>
        <w:tc>
          <w:tcPr>
            <w:tcW w:w="766" w:type="dxa"/>
            <w:shd w:val="clear" w:color="auto" w:fill="auto"/>
            <w:noWrap/>
            <w:vAlign w:val="center"/>
          </w:tcPr>
          <w:p w14:paraId="2A12C5DA">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 xml:space="preserve">0.57 </w:t>
            </w:r>
          </w:p>
        </w:tc>
        <w:tc>
          <w:tcPr>
            <w:tcW w:w="766" w:type="dxa"/>
            <w:shd w:val="clear" w:color="auto" w:fill="auto"/>
            <w:noWrap/>
            <w:vAlign w:val="center"/>
          </w:tcPr>
          <w:p w14:paraId="3F2B81CD">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 xml:space="preserve">0.88 </w:t>
            </w:r>
          </w:p>
        </w:tc>
        <w:tc>
          <w:tcPr>
            <w:tcW w:w="841" w:type="dxa"/>
            <w:shd w:val="clear" w:color="auto" w:fill="auto"/>
            <w:noWrap/>
            <w:vAlign w:val="center"/>
          </w:tcPr>
          <w:p w14:paraId="1B5D1CAE">
            <w:pPr>
              <w:pStyle w:val="104"/>
              <w:spacing w:line="240" w:lineRule="auto"/>
              <w:ind w:firstLine="0" w:firstLineChars="0"/>
              <w:rPr>
                <w:rFonts w:hint="default" w:ascii="Times New Roman" w:hAnsi="Times New Roman" w:cs="Times New Roman"/>
                <w:color w:val="000000" w:themeColor="text1"/>
                <w:szCs w:val="21"/>
                <w:lang w:val="en-US"/>
              </w:rPr>
            </w:pPr>
            <w:r>
              <w:rPr>
                <w:rFonts w:hint="default" w:ascii="Times New Roman" w:hAnsi="Times New Roman" w:cs="Times New Roman"/>
                <w:color w:val="000000" w:themeColor="text1"/>
                <w:szCs w:val="21"/>
              </w:rPr>
              <w:t xml:space="preserve">0.176 </w:t>
            </w:r>
          </w:p>
        </w:tc>
        <w:tc>
          <w:tcPr>
            <w:tcW w:w="900" w:type="dxa"/>
            <w:shd w:val="clear" w:color="auto" w:fill="auto"/>
            <w:vAlign w:val="center"/>
          </w:tcPr>
          <w:p w14:paraId="618524F7">
            <w:pPr>
              <w:pStyle w:val="104"/>
              <w:spacing w:line="240" w:lineRule="auto"/>
              <w:ind w:firstLine="0" w:firstLineChars="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 xml:space="preserve">206.60 </w:t>
            </w:r>
          </w:p>
        </w:tc>
      </w:tr>
    </w:tbl>
    <w:p w14:paraId="4C15376E">
      <w:pPr>
        <w:pStyle w:val="100"/>
        <w:ind w:firstLine="480"/>
        <w:rPr>
          <w:rFonts w:hint="default" w:ascii="Times New Roman" w:hAnsi="Times New Roman" w:cs="Times New Roman"/>
        </w:rPr>
      </w:pPr>
      <w:r>
        <w:rPr>
          <w:rFonts w:hint="default" w:ascii="Times New Roman" w:hAnsi="Times New Roman" w:cs="Times New Roman"/>
        </w:rPr>
        <w:t>6、施工机械使用费</w:t>
      </w:r>
    </w:p>
    <w:p w14:paraId="324F8AFC">
      <w:pPr>
        <w:pStyle w:val="100"/>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cs="Times New Roman"/>
        </w:rPr>
      </w:pPr>
      <w:r>
        <w:rPr>
          <w:rFonts w:hint="default" w:ascii="Times New Roman" w:hAnsi="Times New Roman" w:cs="Times New Roman"/>
        </w:rPr>
        <w:t>施工机械台时费采用主体工程机械台时费，不足部分按照《水土保持工程概算定额》（水利部水总〔2003〕67号）附录一施工机械台时费定额进行计算。根据水利部办公厅《关于印发水利工程营业税改征增值税计价依据调整办法的通知》（办水总〔2016〕132号）和云南省水利厅、云南省发展和改革委员会文件《关于调整云南省水利厅工程造价计价依据中有关税率及系数的通知》（云水规计〔2018〕103号）及《云南省水利厅关于调整云南省水利工程造价计价依据中税率及系数的通知》（云水规计〔2019〕46号）的要求，折旧费均应除以1.13的调整系数，修理及替换设备费均应除以1.09的调整系数，安装拆卸费不变。</w:t>
      </w:r>
    </w:p>
    <w:p w14:paraId="002C24BF">
      <w:pPr>
        <w:pStyle w:val="83"/>
        <w:pageBreakBefore/>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 xml:space="preserve">表 </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7</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SEQ 表 \* ARABIC \s 1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3</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t xml:space="preserve">                        </w:t>
      </w:r>
      <w:r>
        <w:rPr>
          <w:rFonts w:hint="default" w:ascii="Times New Roman" w:hAnsi="Times New Roman" w:eastAsia="仿宋_GB2312" w:cs="Times New Roman"/>
          <w:b/>
          <w:bCs w:val="0"/>
        </w:rPr>
        <w:tab/>
      </w:r>
      <w:r>
        <w:rPr>
          <w:rFonts w:hint="default" w:ascii="Times New Roman" w:hAnsi="Times New Roman" w:eastAsia="仿宋_GB2312" w:cs="Times New Roman"/>
          <w:b/>
          <w:bCs w:val="0"/>
        </w:rPr>
        <w:t>施工机械台时费计算表</w:t>
      </w:r>
      <w:r>
        <w:rPr>
          <w:rFonts w:hint="default" w:ascii="Times New Roman" w:hAnsi="Times New Roman" w:eastAsia="仿宋_GB2312" w:cs="Times New Roman"/>
          <w:b/>
          <w:bCs w:val="0"/>
        </w:rPr>
        <w:tab/>
      </w:r>
    </w:p>
    <w:tbl>
      <w:tblPr>
        <w:tblStyle w:val="27"/>
        <w:tblW w:w="943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75"/>
        <w:gridCol w:w="1270"/>
        <w:gridCol w:w="588"/>
        <w:gridCol w:w="576"/>
        <w:gridCol w:w="699"/>
        <w:gridCol w:w="700"/>
        <w:gridCol w:w="583"/>
        <w:gridCol w:w="588"/>
        <w:gridCol w:w="565"/>
        <w:gridCol w:w="574"/>
        <w:gridCol w:w="798"/>
        <w:gridCol w:w="751"/>
        <w:gridCol w:w="577"/>
        <w:gridCol w:w="593"/>
      </w:tblGrid>
      <w:tr w14:paraId="5D620E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vMerge w:val="restart"/>
            <w:tcBorders>
              <w:tl2br w:val="nil"/>
              <w:tr2bl w:val="nil"/>
            </w:tcBorders>
            <w:shd w:val="clear" w:color="auto" w:fill="auto"/>
            <w:tcMar>
              <w:top w:w="0" w:type="dxa"/>
              <w:left w:w="0" w:type="dxa"/>
              <w:bottom w:w="0" w:type="dxa"/>
              <w:right w:w="0" w:type="dxa"/>
            </w:tcMar>
            <w:vAlign w:val="center"/>
          </w:tcPr>
          <w:p w14:paraId="512D5A6E">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定额编号</w:t>
            </w:r>
          </w:p>
        </w:tc>
        <w:tc>
          <w:tcPr>
            <w:tcW w:w="1270" w:type="dxa"/>
            <w:vMerge w:val="restart"/>
            <w:tcBorders>
              <w:tl2br w:val="nil"/>
              <w:tr2bl w:val="nil"/>
            </w:tcBorders>
            <w:shd w:val="clear" w:color="auto" w:fill="auto"/>
            <w:tcMar>
              <w:top w:w="0" w:type="dxa"/>
              <w:left w:w="0" w:type="dxa"/>
              <w:bottom w:w="0" w:type="dxa"/>
              <w:right w:w="0" w:type="dxa"/>
            </w:tcMar>
            <w:vAlign w:val="center"/>
          </w:tcPr>
          <w:p w14:paraId="61EFBF3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名称及规格</w:t>
            </w:r>
          </w:p>
        </w:tc>
        <w:tc>
          <w:tcPr>
            <w:tcW w:w="588" w:type="dxa"/>
            <w:tcBorders>
              <w:tl2br w:val="nil"/>
              <w:tr2bl w:val="nil"/>
            </w:tcBorders>
            <w:shd w:val="clear" w:color="auto" w:fill="auto"/>
            <w:tcMar>
              <w:top w:w="0" w:type="dxa"/>
              <w:left w:w="0" w:type="dxa"/>
              <w:bottom w:w="0" w:type="dxa"/>
              <w:right w:w="0" w:type="dxa"/>
            </w:tcMar>
            <w:vAlign w:val="center"/>
          </w:tcPr>
          <w:p w14:paraId="5AD7A61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台时费</w:t>
            </w:r>
          </w:p>
        </w:tc>
        <w:tc>
          <w:tcPr>
            <w:tcW w:w="2558" w:type="dxa"/>
            <w:gridSpan w:val="4"/>
            <w:tcBorders>
              <w:tl2br w:val="nil"/>
              <w:tr2bl w:val="nil"/>
            </w:tcBorders>
            <w:shd w:val="clear" w:color="auto" w:fill="auto"/>
            <w:tcMar>
              <w:top w:w="0" w:type="dxa"/>
              <w:left w:w="0" w:type="dxa"/>
              <w:bottom w:w="0" w:type="dxa"/>
              <w:right w:w="0" w:type="dxa"/>
            </w:tcMar>
            <w:vAlign w:val="center"/>
          </w:tcPr>
          <w:p w14:paraId="4066B4DC">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一类费用(元）</w:t>
            </w:r>
          </w:p>
        </w:tc>
        <w:tc>
          <w:tcPr>
            <w:tcW w:w="4446" w:type="dxa"/>
            <w:gridSpan w:val="7"/>
            <w:tcBorders>
              <w:tl2br w:val="nil"/>
              <w:tr2bl w:val="nil"/>
            </w:tcBorders>
            <w:shd w:val="clear" w:color="auto" w:fill="auto"/>
            <w:tcMar>
              <w:top w:w="0" w:type="dxa"/>
              <w:left w:w="0" w:type="dxa"/>
              <w:bottom w:w="0" w:type="dxa"/>
              <w:right w:w="0" w:type="dxa"/>
            </w:tcMar>
            <w:vAlign w:val="center"/>
          </w:tcPr>
          <w:p w14:paraId="04E62423">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二类费用(元）</w:t>
            </w:r>
          </w:p>
        </w:tc>
      </w:tr>
      <w:tr w14:paraId="2D5D8B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vMerge w:val="continue"/>
            <w:tcBorders>
              <w:tl2br w:val="nil"/>
              <w:tr2bl w:val="nil"/>
            </w:tcBorders>
            <w:shd w:val="clear" w:color="auto" w:fill="auto"/>
            <w:tcMar>
              <w:top w:w="0" w:type="dxa"/>
              <w:left w:w="0" w:type="dxa"/>
              <w:bottom w:w="0" w:type="dxa"/>
              <w:right w:w="0" w:type="dxa"/>
            </w:tcMar>
            <w:vAlign w:val="center"/>
          </w:tcPr>
          <w:p w14:paraId="5293EFF9">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270" w:type="dxa"/>
            <w:vMerge w:val="continue"/>
            <w:tcBorders>
              <w:tl2br w:val="nil"/>
              <w:tr2bl w:val="nil"/>
            </w:tcBorders>
            <w:shd w:val="clear" w:color="auto" w:fill="auto"/>
            <w:tcMar>
              <w:top w:w="0" w:type="dxa"/>
              <w:left w:w="0" w:type="dxa"/>
              <w:bottom w:w="0" w:type="dxa"/>
              <w:right w:w="0" w:type="dxa"/>
            </w:tcMar>
            <w:vAlign w:val="center"/>
          </w:tcPr>
          <w:p w14:paraId="7090B1DD">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vMerge w:val="restart"/>
            <w:tcBorders>
              <w:tl2br w:val="nil"/>
              <w:tr2bl w:val="nil"/>
            </w:tcBorders>
            <w:shd w:val="clear" w:color="auto" w:fill="auto"/>
            <w:tcMar>
              <w:top w:w="0" w:type="dxa"/>
              <w:left w:w="0" w:type="dxa"/>
              <w:bottom w:w="0" w:type="dxa"/>
              <w:right w:w="0" w:type="dxa"/>
            </w:tcMar>
            <w:vAlign w:val="center"/>
          </w:tcPr>
          <w:p w14:paraId="08A89BA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(元)</w:t>
            </w:r>
          </w:p>
        </w:tc>
        <w:tc>
          <w:tcPr>
            <w:tcW w:w="576" w:type="dxa"/>
            <w:vMerge w:val="restart"/>
            <w:tcBorders>
              <w:tl2br w:val="nil"/>
              <w:tr2bl w:val="nil"/>
            </w:tcBorders>
            <w:shd w:val="clear" w:color="auto" w:fill="auto"/>
            <w:tcMar>
              <w:top w:w="0" w:type="dxa"/>
              <w:left w:w="0" w:type="dxa"/>
              <w:bottom w:w="0" w:type="dxa"/>
              <w:right w:w="0" w:type="dxa"/>
            </w:tcMar>
            <w:vAlign w:val="center"/>
          </w:tcPr>
          <w:p w14:paraId="1B9B7DDD">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小计</w:t>
            </w:r>
          </w:p>
        </w:tc>
        <w:tc>
          <w:tcPr>
            <w:tcW w:w="699" w:type="dxa"/>
            <w:vMerge w:val="restart"/>
            <w:tcBorders>
              <w:tl2br w:val="nil"/>
              <w:tr2bl w:val="nil"/>
            </w:tcBorders>
            <w:shd w:val="clear" w:color="auto" w:fill="auto"/>
            <w:tcMar>
              <w:top w:w="0" w:type="dxa"/>
              <w:left w:w="0" w:type="dxa"/>
              <w:bottom w:w="0" w:type="dxa"/>
              <w:right w:w="0" w:type="dxa"/>
            </w:tcMar>
            <w:vAlign w:val="center"/>
          </w:tcPr>
          <w:p w14:paraId="13113DA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折旧费</w:t>
            </w:r>
          </w:p>
        </w:tc>
        <w:tc>
          <w:tcPr>
            <w:tcW w:w="700" w:type="dxa"/>
            <w:vMerge w:val="restart"/>
            <w:tcBorders>
              <w:tl2br w:val="nil"/>
              <w:tr2bl w:val="nil"/>
            </w:tcBorders>
            <w:shd w:val="clear" w:color="auto" w:fill="auto"/>
            <w:tcMar>
              <w:top w:w="0" w:type="dxa"/>
              <w:left w:w="0" w:type="dxa"/>
              <w:bottom w:w="0" w:type="dxa"/>
              <w:right w:w="0" w:type="dxa"/>
            </w:tcMar>
            <w:vAlign w:val="center"/>
          </w:tcPr>
          <w:p w14:paraId="2F35BE7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修理及替换设备费</w:t>
            </w:r>
          </w:p>
        </w:tc>
        <w:tc>
          <w:tcPr>
            <w:tcW w:w="583" w:type="dxa"/>
            <w:vMerge w:val="restart"/>
            <w:tcBorders>
              <w:tl2br w:val="nil"/>
              <w:tr2bl w:val="nil"/>
            </w:tcBorders>
            <w:shd w:val="clear" w:color="auto" w:fill="auto"/>
            <w:tcMar>
              <w:top w:w="0" w:type="dxa"/>
              <w:left w:w="0" w:type="dxa"/>
              <w:bottom w:w="0" w:type="dxa"/>
              <w:right w:w="0" w:type="dxa"/>
            </w:tcMar>
            <w:vAlign w:val="center"/>
          </w:tcPr>
          <w:p w14:paraId="5F48403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安装拆卸费</w:t>
            </w:r>
          </w:p>
        </w:tc>
        <w:tc>
          <w:tcPr>
            <w:tcW w:w="588" w:type="dxa"/>
            <w:vMerge w:val="restart"/>
            <w:tcBorders>
              <w:tl2br w:val="nil"/>
              <w:tr2bl w:val="nil"/>
            </w:tcBorders>
            <w:shd w:val="clear" w:color="auto" w:fill="auto"/>
            <w:tcMar>
              <w:top w:w="0" w:type="dxa"/>
              <w:left w:w="0" w:type="dxa"/>
              <w:bottom w:w="0" w:type="dxa"/>
              <w:right w:w="0" w:type="dxa"/>
            </w:tcMar>
            <w:vAlign w:val="center"/>
          </w:tcPr>
          <w:p w14:paraId="1205C7A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小计</w:t>
            </w:r>
          </w:p>
        </w:tc>
        <w:tc>
          <w:tcPr>
            <w:tcW w:w="565" w:type="dxa"/>
            <w:tcBorders>
              <w:tl2br w:val="nil"/>
              <w:tr2bl w:val="nil"/>
            </w:tcBorders>
            <w:shd w:val="clear" w:color="auto" w:fill="auto"/>
            <w:tcMar>
              <w:top w:w="0" w:type="dxa"/>
              <w:left w:w="0" w:type="dxa"/>
              <w:bottom w:w="0" w:type="dxa"/>
              <w:right w:w="0" w:type="dxa"/>
            </w:tcMar>
            <w:vAlign w:val="center"/>
          </w:tcPr>
          <w:p w14:paraId="13E6C3B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人工</w:t>
            </w:r>
          </w:p>
        </w:tc>
        <w:tc>
          <w:tcPr>
            <w:tcW w:w="574" w:type="dxa"/>
            <w:tcBorders>
              <w:tl2br w:val="nil"/>
              <w:tr2bl w:val="nil"/>
            </w:tcBorders>
            <w:shd w:val="clear" w:color="auto" w:fill="auto"/>
            <w:tcMar>
              <w:top w:w="0" w:type="dxa"/>
              <w:left w:w="0" w:type="dxa"/>
              <w:bottom w:w="0" w:type="dxa"/>
              <w:right w:w="0" w:type="dxa"/>
            </w:tcMar>
            <w:vAlign w:val="center"/>
          </w:tcPr>
          <w:p w14:paraId="45B70E2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汽油</w:t>
            </w:r>
          </w:p>
        </w:tc>
        <w:tc>
          <w:tcPr>
            <w:tcW w:w="798" w:type="dxa"/>
            <w:tcBorders>
              <w:tl2br w:val="nil"/>
              <w:tr2bl w:val="nil"/>
            </w:tcBorders>
            <w:shd w:val="clear" w:color="auto" w:fill="auto"/>
            <w:tcMar>
              <w:top w:w="0" w:type="dxa"/>
              <w:left w:w="0" w:type="dxa"/>
              <w:bottom w:w="0" w:type="dxa"/>
              <w:right w:w="0" w:type="dxa"/>
            </w:tcMar>
            <w:vAlign w:val="center"/>
          </w:tcPr>
          <w:p w14:paraId="35A2953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柴油</w:t>
            </w:r>
          </w:p>
        </w:tc>
        <w:tc>
          <w:tcPr>
            <w:tcW w:w="751" w:type="dxa"/>
            <w:tcBorders>
              <w:tl2br w:val="nil"/>
              <w:tr2bl w:val="nil"/>
            </w:tcBorders>
            <w:shd w:val="clear" w:color="auto" w:fill="auto"/>
            <w:tcMar>
              <w:top w:w="0" w:type="dxa"/>
              <w:left w:w="0" w:type="dxa"/>
              <w:bottom w:w="0" w:type="dxa"/>
              <w:right w:w="0" w:type="dxa"/>
            </w:tcMar>
            <w:vAlign w:val="center"/>
          </w:tcPr>
          <w:p w14:paraId="39E86182">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电</w:t>
            </w:r>
          </w:p>
        </w:tc>
        <w:tc>
          <w:tcPr>
            <w:tcW w:w="577" w:type="dxa"/>
            <w:tcBorders>
              <w:tl2br w:val="nil"/>
              <w:tr2bl w:val="nil"/>
            </w:tcBorders>
            <w:shd w:val="clear" w:color="auto" w:fill="auto"/>
            <w:tcMar>
              <w:top w:w="0" w:type="dxa"/>
              <w:left w:w="0" w:type="dxa"/>
              <w:bottom w:w="0" w:type="dxa"/>
              <w:right w:w="0" w:type="dxa"/>
            </w:tcMar>
            <w:vAlign w:val="center"/>
          </w:tcPr>
          <w:p w14:paraId="4991137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风</w:t>
            </w:r>
          </w:p>
        </w:tc>
        <w:tc>
          <w:tcPr>
            <w:tcW w:w="593" w:type="dxa"/>
            <w:tcBorders>
              <w:tl2br w:val="nil"/>
              <w:tr2bl w:val="nil"/>
            </w:tcBorders>
            <w:shd w:val="clear" w:color="auto" w:fill="auto"/>
            <w:tcMar>
              <w:top w:w="0" w:type="dxa"/>
              <w:left w:w="0" w:type="dxa"/>
              <w:bottom w:w="0" w:type="dxa"/>
              <w:right w:w="0" w:type="dxa"/>
            </w:tcMar>
            <w:vAlign w:val="center"/>
          </w:tcPr>
          <w:p w14:paraId="3537E92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水</w:t>
            </w:r>
          </w:p>
        </w:tc>
      </w:tr>
      <w:tr w14:paraId="27A882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vMerge w:val="continue"/>
            <w:tcBorders>
              <w:tl2br w:val="nil"/>
              <w:tr2bl w:val="nil"/>
            </w:tcBorders>
            <w:shd w:val="clear" w:color="auto" w:fill="auto"/>
            <w:tcMar>
              <w:top w:w="0" w:type="dxa"/>
              <w:left w:w="0" w:type="dxa"/>
              <w:bottom w:w="0" w:type="dxa"/>
              <w:right w:w="0" w:type="dxa"/>
            </w:tcMar>
            <w:vAlign w:val="center"/>
          </w:tcPr>
          <w:p w14:paraId="48A17429">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1270" w:type="dxa"/>
            <w:vMerge w:val="continue"/>
            <w:tcBorders>
              <w:tl2br w:val="nil"/>
              <w:tr2bl w:val="nil"/>
            </w:tcBorders>
            <w:shd w:val="clear" w:color="auto" w:fill="auto"/>
            <w:tcMar>
              <w:top w:w="0" w:type="dxa"/>
              <w:left w:w="0" w:type="dxa"/>
              <w:bottom w:w="0" w:type="dxa"/>
              <w:right w:w="0" w:type="dxa"/>
            </w:tcMar>
            <w:vAlign w:val="center"/>
          </w:tcPr>
          <w:p w14:paraId="2C8DB9DB">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vMerge w:val="continue"/>
            <w:tcBorders>
              <w:tl2br w:val="nil"/>
              <w:tr2bl w:val="nil"/>
            </w:tcBorders>
            <w:shd w:val="clear" w:color="auto" w:fill="auto"/>
            <w:tcMar>
              <w:top w:w="0" w:type="dxa"/>
              <w:left w:w="0" w:type="dxa"/>
              <w:bottom w:w="0" w:type="dxa"/>
              <w:right w:w="0" w:type="dxa"/>
            </w:tcMar>
            <w:vAlign w:val="center"/>
          </w:tcPr>
          <w:p w14:paraId="4CAF10A1">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6" w:type="dxa"/>
            <w:vMerge w:val="continue"/>
            <w:tcBorders>
              <w:tl2br w:val="nil"/>
              <w:tr2bl w:val="nil"/>
            </w:tcBorders>
            <w:shd w:val="clear" w:color="auto" w:fill="auto"/>
            <w:tcMar>
              <w:top w:w="0" w:type="dxa"/>
              <w:left w:w="0" w:type="dxa"/>
              <w:bottom w:w="0" w:type="dxa"/>
              <w:right w:w="0" w:type="dxa"/>
            </w:tcMar>
            <w:vAlign w:val="center"/>
          </w:tcPr>
          <w:p w14:paraId="271113E6">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699" w:type="dxa"/>
            <w:vMerge w:val="continue"/>
            <w:tcBorders>
              <w:tl2br w:val="nil"/>
              <w:tr2bl w:val="nil"/>
            </w:tcBorders>
            <w:shd w:val="clear" w:color="auto" w:fill="auto"/>
            <w:tcMar>
              <w:top w:w="0" w:type="dxa"/>
              <w:left w:w="0" w:type="dxa"/>
              <w:bottom w:w="0" w:type="dxa"/>
              <w:right w:w="0" w:type="dxa"/>
            </w:tcMar>
            <w:vAlign w:val="center"/>
          </w:tcPr>
          <w:p w14:paraId="1129A1E8">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00" w:type="dxa"/>
            <w:vMerge w:val="continue"/>
            <w:tcBorders>
              <w:tl2br w:val="nil"/>
              <w:tr2bl w:val="nil"/>
            </w:tcBorders>
            <w:shd w:val="clear" w:color="auto" w:fill="auto"/>
            <w:tcMar>
              <w:top w:w="0" w:type="dxa"/>
              <w:left w:w="0" w:type="dxa"/>
              <w:bottom w:w="0" w:type="dxa"/>
              <w:right w:w="0" w:type="dxa"/>
            </w:tcMar>
            <w:vAlign w:val="center"/>
          </w:tcPr>
          <w:p w14:paraId="5CB567B8">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3" w:type="dxa"/>
            <w:vMerge w:val="continue"/>
            <w:tcBorders>
              <w:tl2br w:val="nil"/>
              <w:tr2bl w:val="nil"/>
            </w:tcBorders>
            <w:shd w:val="clear" w:color="auto" w:fill="auto"/>
            <w:tcMar>
              <w:top w:w="0" w:type="dxa"/>
              <w:left w:w="0" w:type="dxa"/>
              <w:bottom w:w="0" w:type="dxa"/>
              <w:right w:w="0" w:type="dxa"/>
            </w:tcMar>
            <w:vAlign w:val="center"/>
          </w:tcPr>
          <w:p w14:paraId="61314068">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vMerge w:val="continue"/>
            <w:tcBorders>
              <w:tl2br w:val="nil"/>
              <w:tr2bl w:val="nil"/>
            </w:tcBorders>
            <w:shd w:val="clear" w:color="auto" w:fill="auto"/>
            <w:tcMar>
              <w:top w:w="0" w:type="dxa"/>
              <w:left w:w="0" w:type="dxa"/>
              <w:bottom w:w="0" w:type="dxa"/>
              <w:right w:w="0" w:type="dxa"/>
            </w:tcMar>
            <w:vAlign w:val="center"/>
          </w:tcPr>
          <w:p w14:paraId="2188D1F8">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65" w:type="dxa"/>
            <w:tcBorders>
              <w:tl2br w:val="nil"/>
              <w:tr2bl w:val="nil"/>
            </w:tcBorders>
            <w:shd w:val="clear" w:color="auto" w:fill="auto"/>
            <w:tcMar>
              <w:top w:w="0" w:type="dxa"/>
              <w:left w:w="0" w:type="dxa"/>
              <w:bottom w:w="0" w:type="dxa"/>
              <w:right w:w="0" w:type="dxa"/>
            </w:tcMar>
            <w:vAlign w:val="center"/>
          </w:tcPr>
          <w:p w14:paraId="3C9DAB4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(工时)</w:t>
            </w:r>
          </w:p>
        </w:tc>
        <w:tc>
          <w:tcPr>
            <w:tcW w:w="574" w:type="dxa"/>
            <w:tcBorders>
              <w:tl2br w:val="nil"/>
              <w:tr2bl w:val="nil"/>
            </w:tcBorders>
            <w:shd w:val="clear" w:color="auto" w:fill="auto"/>
            <w:tcMar>
              <w:top w:w="0" w:type="dxa"/>
              <w:left w:w="0" w:type="dxa"/>
              <w:bottom w:w="0" w:type="dxa"/>
              <w:right w:w="0" w:type="dxa"/>
            </w:tcMar>
            <w:vAlign w:val="center"/>
          </w:tcPr>
          <w:p w14:paraId="64B6C02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(kg)</w:t>
            </w:r>
          </w:p>
        </w:tc>
        <w:tc>
          <w:tcPr>
            <w:tcW w:w="798" w:type="dxa"/>
            <w:tcBorders>
              <w:tl2br w:val="nil"/>
              <w:tr2bl w:val="nil"/>
            </w:tcBorders>
            <w:shd w:val="clear" w:color="auto" w:fill="auto"/>
            <w:tcMar>
              <w:top w:w="0" w:type="dxa"/>
              <w:left w:w="0" w:type="dxa"/>
              <w:bottom w:w="0" w:type="dxa"/>
              <w:right w:w="0" w:type="dxa"/>
            </w:tcMar>
            <w:vAlign w:val="center"/>
          </w:tcPr>
          <w:p w14:paraId="02FD437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(kg)</w:t>
            </w:r>
          </w:p>
        </w:tc>
        <w:tc>
          <w:tcPr>
            <w:tcW w:w="751" w:type="dxa"/>
            <w:tcBorders>
              <w:tl2br w:val="nil"/>
              <w:tr2bl w:val="nil"/>
            </w:tcBorders>
            <w:shd w:val="clear" w:color="auto" w:fill="auto"/>
            <w:tcMar>
              <w:top w:w="0" w:type="dxa"/>
              <w:left w:w="0" w:type="dxa"/>
              <w:bottom w:w="0" w:type="dxa"/>
              <w:right w:w="0" w:type="dxa"/>
            </w:tcMar>
            <w:vAlign w:val="center"/>
          </w:tcPr>
          <w:p w14:paraId="7F0BA371">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(kw·h)</w:t>
            </w:r>
          </w:p>
        </w:tc>
        <w:tc>
          <w:tcPr>
            <w:tcW w:w="577" w:type="dxa"/>
            <w:tcBorders>
              <w:tl2br w:val="nil"/>
              <w:tr2bl w:val="nil"/>
            </w:tcBorders>
            <w:shd w:val="clear" w:color="auto" w:fill="auto"/>
            <w:tcMar>
              <w:top w:w="0" w:type="dxa"/>
              <w:left w:w="0" w:type="dxa"/>
              <w:bottom w:w="0" w:type="dxa"/>
              <w:right w:w="0" w:type="dxa"/>
            </w:tcMar>
            <w:vAlign w:val="center"/>
          </w:tcPr>
          <w:p w14:paraId="454C06A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(m</w:t>
            </w:r>
            <w:r>
              <w:rPr>
                <w:rFonts w:hint="default" w:ascii="Times New Roman" w:hAnsi="Times New Roman" w:cs="Times New Roman"/>
                <w:kern w:val="0"/>
                <w:sz w:val="21"/>
                <w:szCs w:val="21"/>
                <w:vertAlign w:val="superscript"/>
                <w:lang w:bidi="ar"/>
              </w:rPr>
              <w:t>3</w:t>
            </w:r>
            <w:r>
              <w:rPr>
                <w:rFonts w:hint="default" w:ascii="Times New Roman" w:hAnsi="Times New Roman" w:cs="Times New Roman"/>
                <w:kern w:val="0"/>
                <w:sz w:val="21"/>
                <w:szCs w:val="21"/>
                <w:lang w:bidi="ar"/>
              </w:rPr>
              <w:t>)</w:t>
            </w:r>
          </w:p>
        </w:tc>
        <w:tc>
          <w:tcPr>
            <w:tcW w:w="593" w:type="dxa"/>
            <w:tcBorders>
              <w:tl2br w:val="nil"/>
              <w:tr2bl w:val="nil"/>
            </w:tcBorders>
            <w:shd w:val="clear" w:color="auto" w:fill="auto"/>
            <w:tcMar>
              <w:top w:w="0" w:type="dxa"/>
              <w:left w:w="0" w:type="dxa"/>
              <w:bottom w:w="0" w:type="dxa"/>
              <w:right w:w="0" w:type="dxa"/>
            </w:tcMar>
            <w:vAlign w:val="center"/>
          </w:tcPr>
          <w:p w14:paraId="4714F5A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(m</w:t>
            </w:r>
            <w:r>
              <w:rPr>
                <w:rFonts w:hint="default" w:ascii="Times New Roman" w:hAnsi="Times New Roman" w:cs="Times New Roman"/>
                <w:kern w:val="0"/>
                <w:sz w:val="21"/>
                <w:szCs w:val="21"/>
                <w:vertAlign w:val="superscript"/>
                <w:lang w:bidi="ar"/>
              </w:rPr>
              <w:t>3</w:t>
            </w:r>
            <w:r>
              <w:rPr>
                <w:rFonts w:hint="default" w:ascii="Times New Roman" w:hAnsi="Times New Roman" w:cs="Times New Roman"/>
                <w:kern w:val="0"/>
                <w:sz w:val="21"/>
                <w:szCs w:val="21"/>
                <w:lang w:bidi="ar"/>
              </w:rPr>
              <w:t>)</w:t>
            </w:r>
          </w:p>
        </w:tc>
      </w:tr>
      <w:tr w14:paraId="0DBF96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tcBorders>
              <w:tl2br w:val="nil"/>
              <w:tr2bl w:val="nil"/>
            </w:tcBorders>
            <w:shd w:val="clear" w:color="auto" w:fill="auto"/>
            <w:tcMar>
              <w:top w:w="0" w:type="dxa"/>
              <w:left w:w="0" w:type="dxa"/>
              <w:bottom w:w="0" w:type="dxa"/>
              <w:right w:w="0" w:type="dxa"/>
            </w:tcMar>
            <w:vAlign w:val="center"/>
          </w:tcPr>
          <w:p w14:paraId="64AC013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2002</w:t>
            </w:r>
          </w:p>
        </w:tc>
        <w:tc>
          <w:tcPr>
            <w:tcW w:w="1270" w:type="dxa"/>
            <w:tcBorders>
              <w:tl2br w:val="nil"/>
              <w:tr2bl w:val="nil"/>
            </w:tcBorders>
            <w:shd w:val="clear" w:color="auto" w:fill="auto"/>
            <w:tcMar>
              <w:top w:w="0" w:type="dxa"/>
              <w:left w:w="0" w:type="dxa"/>
              <w:bottom w:w="0" w:type="dxa"/>
              <w:right w:w="0" w:type="dxa"/>
            </w:tcMar>
            <w:vAlign w:val="center"/>
          </w:tcPr>
          <w:p w14:paraId="3976F0D8">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混凝土搅拌机出料0.40m</w:t>
            </w:r>
            <w:r>
              <w:rPr>
                <w:rFonts w:hint="default" w:ascii="Times New Roman" w:hAnsi="Times New Roman" w:cs="Times New Roman"/>
                <w:kern w:val="0"/>
                <w:sz w:val="21"/>
                <w:szCs w:val="21"/>
                <w:vertAlign w:val="superscript"/>
                <w:lang w:bidi="ar"/>
              </w:rPr>
              <w:t>3</w:t>
            </w:r>
          </w:p>
        </w:tc>
        <w:tc>
          <w:tcPr>
            <w:tcW w:w="588" w:type="dxa"/>
            <w:tcBorders>
              <w:tl2br w:val="nil"/>
              <w:tr2bl w:val="nil"/>
            </w:tcBorders>
            <w:shd w:val="clear" w:color="auto" w:fill="auto"/>
            <w:tcMar>
              <w:top w:w="0" w:type="dxa"/>
              <w:left w:w="0" w:type="dxa"/>
              <w:bottom w:w="0" w:type="dxa"/>
              <w:right w:w="0" w:type="dxa"/>
            </w:tcMar>
            <w:vAlign w:val="center"/>
          </w:tcPr>
          <w:p w14:paraId="5DA4495F">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25.98</w:t>
            </w:r>
          </w:p>
        </w:tc>
        <w:tc>
          <w:tcPr>
            <w:tcW w:w="576" w:type="dxa"/>
            <w:tcBorders>
              <w:tl2br w:val="nil"/>
              <w:tr2bl w:val="nil"/>
            </w:tcBorders>
            <w:shd w:val="clear" w:color="auto" w:fill="auto"/>
            <w:tcMar>
              <w:top w:w="0" w:type="dxa"/>
              <w:left w:w="0" w:type="dxa"/>
              <w:bottom w:w="0" w:type="dxa"/>
              <w:right w:w="0" w:type="dxa"/>
            </w:tcMar>
            <w:vAlign w:val="center"/>
          </w:tcPr>
          <w:p w14:paraId="2FBF1299">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8.88</w:t>
            </w:r>
          </w:p>
        </w:tc>
        <w:tc>
          <w:tcPr>
            <w:tcW w:w="699" w:type="dxa"/>
            <w:tcBorders>
              <w:tl2br w:val="nil"/>
              <w:tr2bl w:val="nil"/>
            </w:tcBorders>
            <w:shd w:val="clear" w:color="auto" w:fill="auto"/>
            <w:tcMar>
              <w:top w:w="0" w:type="dxa"/>
              <w:left w:w="0" w:type="dxa"/>
              <w:bottom w:w="0" w:type="dxa"/>
              <w:right w:w="0" w:type="dxa"/>
            </w:tcMar>
            <w:vAlign w:val="center"/>
          </w:tcPr>
          <w:p w14:paraId="35ADA32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2.91</w:t>
            </w:r>
          </w:p>
        </w:tc>
        <w:tc>
          <w:tcPr>
            <w:tcW w:w="700" w:type="dxa"/>
            <w:tcBorders>
              <w:tl2br w:val="nil"/>
              <w:tr2bl w:val="nil"/>
            </w:tcBorders>
            <w:shd w:val="clear" w:color="auto" w:fill="auto"/>
            <w:tcMar>
              <w:top w:w="0" w:type="dxa"/>
              <w:left w:w="0" w:type="dxa"/>
              <w:bottom w:w="0" w:type="dxa"/>
              <w:right w:w="0" w:type="dxa"/>
            </w:tcMar>
            <w:vAlign w:val="center"/>
          </w:tcPr>
          <w:p w14:paraId="634A72B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4.90</w:t>
            </w:r>
          </w:p>
        </w:tc>
        <w:tc>
          <w:tcPr>
            <w:tcW w:w="583" w:type="dxa"/>
            <w:tcBorders>
              <w:tl2br w:val="nil"/>
              <w:tr2bl w:val="nil"/>
            </w:tcBorders>
            <w:shd w:val="clear" w:color="auto" w:fill="auto"/>
            <w:tcMar>
              <w:top w:w="0" w:type="dxa"/>
              <w:left w:w="0" w:type="dxa"/>
              <w:bottom w:w="0" w:type="dxa"/>
              <w:right w:w="0" w:type="dxa"/>
            </w:tcMar>
            <w:vAlign w:val="center"/>
          </w:tcPr>
          <w:p w14:paraId="194E9E2B">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1.07</w:t>
            </w:r>
          </w:p>
        </w:tc>
        <w:tc>
          <w:tcPr>
            <w:tcW w:w="588" w:type="dxa"/>
            <w:tcBorders>
              <w:tl2br w:val="nil"/>
              <w:tr2bl w:val="nil"/>
            </w:tcBorders>
            <w:shd w:val="clear" w:color="auto" w:fill="auto"/>
            <w:tcMar>
              <w:top w:w="0" w:type="dxa"/>
              <w:left w:w="0" w:type="dxa"/>
              <w:bottom w:w="0" w:type="dxa"/>
              <w:right w:w="0" w:type="dxa"/>
            </w:tcMar>
            <w:vAlign w:val="center"/>
          </w:tcPr>
          <w:p w14:paraId="25B7F85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17.10</w:t>
            </w:r>
          </w:p>
        </w:tc>
        <w:tc>
          <w:tcPr>
            <w:tcW w:w="565" w:type="dxa"/>
            <w:tcBorders>
              <w:tl2br w:val="nil"/>
              <w:tr2bl w:val="nil"/>
            </w:tcBorders>
            <w:shd w:val="clear" w:color="auto" w:fill="auto"/>
            <w:tcMar>
              <w:top w:w="0" w:type="dxa"/>
              <w:left w:w="0" w:type="dxa"/>
              <w:bottom w:w="0" w:type="dxa"/>
              <w:right w:w="0" w:type="dxa"/>
            </w:tcMar>
            <w:vAlign w:val="center"/>
          </w:tcPr>
          <w:p w14:paraId="60D1EB02">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1.3</w:t>
            </w:r>
          </w:p>
        </w:tc>
        <w:tc>
          <w:tcPr>
            <w:tcW w:w="574" w:type="dxa"/>
            <w:tcBorders>
              <w:tl2br w:val="nil"/>
              <w:tr2bl w:val="nil"/>
            </w:tcBorders>
            <w:shd w:val="clear" w:color="auto" w:fill="auto"/>
            <w:tcMar>
              <w:top w:w="0" w:type="dxa"/>
              <w:left w:w="0" w:type="dxa"/>
              <w:bottom w:w="0" w:type="dxa"/>
              <w:right w:w="0" w:type="dxa"/>
            </w:tcMar>
            <w:vAlign w:val="center"/>
          </w:tcPr>
          <w:p w14:paraId="304CAC0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98" w:type="dxa"/>
            <w:tcBorders>
              <w:tl2br w:val="nil"/>
              <w:tr2bl w:val="nil"/>
            </w:tcBorders>
            <w:shd w:val="clear" w:color="auto" w:fill="auto"/>
            <w:tcMar>
              <w:top w:w="0" w:type="dxa"/>
              <w:left w:w="0" w:type="dxa"/>
              <w:bottom w:w="0" w:type="dxa"/>
              <w:right w:w="0" w:type="dxa"/>
            </w:tcMar>
            <w:vAlign w:val="center"/>
          </w:tcPr>
          <w:p w14:paraId="5E47952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51" w:type="dxa"/>
            <w:tcBorders>
              <w:tl2br w:val="nil"/>
              <w:tr2bl w:val="nil"/>
            </w:tcBorders>
            <w:shd w:val="clear" w:color="auto" w:fill="auto"/>
            <w:tcMar>
              <w:top w:w="0" w:type="dxa"/>
              <w:left w:w="0" w:type="dxa"/>
              <w:bottom w:w="0" w:type="dxa"/>
              <w:right w:w="0" w:type="dxa"/>
            </w:tcMar>
            <w:vAlign w:val="center"/>
          </w:tcPr>
          <w:p w14:paraId="2D646B01">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8.6</w:t>
            </w:r>
          </w:p>
        </w:tc>
        <w:tc>
          <w:tcPr>
            <w:tcW w:w="577" w:type="dxa"/>
            <w:tcBorders>
              <w:tl2br w:val="nil"/>
              <w:tr2bl w:val="nil"/>
            </w:tcBorders>
            <w:shd w:val="clear" w:color="auto" w:fill="auto"/>
            <w:tcMar>
              <w:top w:w="0" w:type="dxa"/>
              <w:left w:w="0" w:type="dxa"/>
              <w:bottom w:w="0" w:type="dxa"/>
              <w:right w:w="0" w:type="dxa"/>
            </w:tcMar>
            <w:vAlign w:val="center"/>
          </w:tcPr>
          <w:p w14:paraId="7749A864">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93" w:type="dxa"/>
            <w:tcBorders>
              <w:tl2br w:val="nil"/>
              <w:tr2bl w:val="nil"/>
            </w:tcBorders>
            <w:shd w:val="clear" w:color="auto" w:fill="auto"/>
            <w:tcMar>
              <w:top w:w="0" w:type="dxa"/>
              <w:left w:w="0" w:type="dxa"/>
              <w:bottom w:w="0" w:type="dxa"/>
              <w:right w:w="0" w:type="dxa"/>
            </w:tcMar>
            <w:vAlign w:val="center"/>
          </w:tcPr>
          <w:p w14:paraId="4116F9A6">
            <w:pPr>
              <w:spacing w:line="240" w:lineRule="auto"/>
              <w:ind w:firstLine="0" w:firstLineChars="0"/>
              <w:jc w:val="center"/>
              <w:textAlignment w:val="center"/>
              <w:rPr>
                <w:rFonts w:hint="default" w:ascii="Times New Roman" w:hAnsi="Times New Roman" w:cs="Times New Roman"/>
                <w:kern w:val="0"/>
                <w:sz w:val="21"/>
                <w:szCs w:val="21"/>
                <w:lang w:bidi="ar"/>
              </w:rPr>
            </w:pPr>
          </w:p>
        </w:tc>
      </w:tr>
      <w:tr w14:paraId="5BFBF1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tcBorders>
              <w:tl2br w:val="nil"/>
              <w:tr2bl w:val="nil"/>
            </w:tcBorders>
            <w:shd w:val="clear" w:color="auto" w:fill="auto"/>
            <w:tcMar>
              <w:top w:w="0" w:type="dxa"/>
              <w:left w:w="0" w:type="dxa"/>
              <w:bottom w:w="0" w:type="dxa"/>
              <w:right w:w="0" w:type="dxa"/>
            </w:tcMar>
            <w:vAlign w:val="center"/>
          </w:tcPr>
          <w:p w14:paraId="2C129172">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3059</w:t>
            </w:r>
          </w:p>
        </w:tc>
        <w:tc>
          <w:tcPr>
            <w:tcW w:w="1270" w:type="dxa"/>
            <w:tcBorders>
              <w:tl2br w:val="nil"/>
              <w:tr2bl w:val="nil"/>
            </w:tcBorders>
            <w:shd w:val="clear" w:color="auto" w:fill="auto"/>
            <w:tcMar>
              <w:top w:w="0" w:type="dxa"/>
              <w:left w:w="0" w:type="dxa"/>
              <w:bottom w:w="0" w:type="dxa"/>
              <w:right w:w="0" w:type="dxa"/>
            </w:tcMar>
            <w:vAlign w:val="center"/>
          </w:tcPr>
          <w:p w14:paraId="152B04A8">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胶轮车</w:t>
            </w:r>
          </w:p>
        </w:tc>
        <w:tc>
          <w:tcPr>
            <w:tcW w:w="588" w:type="dxa"/>
            <w:tcBorders>
              <w:tl2br w:val="nil"/>
              <w:tr2bl w:val="nil"/>
            </w:tcBorders>
            <w:shd w:val="clear" w:color="auto" w:fill="auto"/>
            <w:tcMar>
              <w:top w:w="0" w:type="dxa"/>
              <w:left w:w="0" w:type="dxa"/>
              <w:bottom w:w="0" w:type="dxa"/>
              <w:right w:w="0" w:type="dxa"/>
            </w:tcMar>
            <w:vAlign w:val="center"/>
          </w:tcPr>
          <w:p w14:paraId="408F803B">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0.82</w:t>
            </w:r>
          </w:p>
        </w:tc>
        <w:tc>
          <w:tcPr>
            <w:tcW w:w="576" w:type="dxa"/>
            <w:tcBorders>
              <w:tl2br w:val="nil"/>
              <w:tr2bl w:val="nil"/>
            </w:tcBorders>
            <w:shd w:val="clear" w:color="auto" w:fill="auto"/>
            <w:tcMar>
              <w:top w:w="0" w:type="dxa"/>
              <w:left w:w="0" w:type="dxa"/>
              <w:bottom w:w="0" w:type="dxa"/>
              <w:right w:w="0" w:type="dxa"/>
            </w:tcMar>
            <w:vAlign w:val="center"/>
          </w:tcPr>
          <w:p w14:paraId="1DBCCDA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0.82</w:t>
            </w:r>
          </w:p>
        </w:tc>
        <w:tc>
          <w:tcPr>
            <w:tcW w:w="699" w:type="dxa"/>
            <w:tcBorders>
              <w:tl2br w:val="nil"/>
              <w:tr2bl w:val="nil"/>
            </w:tcBorders>
            <w:shd w:val="clear" w:color="auto" w:fill="auto"/>
            <w:tcMar>
              <w:top w:w="0" w:type="dxa"/>
              <w:left w:w="0" w:type="dxa"/>
              <w:bottom w:w="0" w:type="dxa"/>
              <w:right w:w="0" w:type="dxa"/>
            </w:tcMar>
            <w:vAlign w:val="center"/>
          </w:tcPr>
          <w:p w14:paraId="2F7610AD">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0.23</w:t>
            </w:r>
          </w:p>
        </w:tc>
        <w:tc>
          <w:tcPr>
            <w:tcW w:w="700" w:type="dxa"/>
            <w:tcBorders>
              <w:tl2br w:val="nil"/>
              <w:tr2bl w:val="nil"/>
            </w:tcBorders>
            <w:shd w:val="clear" w:color="auto" w:fill="auto"/>
            <w:tcMar>
              <w:top w:w="0" w:type="dxa"/>
              <w:left w:w="0" w:type="dxa"/>
              <w:bottom w:w="0" w:type="dxa"/>
              <w:right w:w="0" w:type="dxa"/>
            </w:tcMar>
            <w:vAlign w:val="center"/>
          </w:tcPr>
          <w:p w14:paraId="3F6ED012">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0.59</w:t>
            </w:r>
          </w:p>
        </w:tc>
        <w:tc>
          <w:tcPr>
            <w:tcW w:w="583" w:type="dxa"/>
            <w:tcBorders>
              <w:tl2br w:val="nil"/>
              <w:tr2bl w:val="nil"/>
            </w:tcBorders>
            <w:shd w:val="clear" w:color="auto" w:fill="auto"/>
            <w:tcMar>
              <w:top w:w="0" w:type="dxa"/>
              <w:left w:w="0" w:type="dxa"/>
              <w:bottom w:w="0" w:type="dxa"/>
              <w:right w:w="0" w:type="dxa"/>
            </w:tcMar>
            <w:vAlign w:val="center"/>
          </w:tcPr>
          <w:p w14:paraId="680A5AA7">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tcBorders>
              <w:tl2br w:val="nil"/>
              <w:tr2bl w:val="nil"/>
            </w:tcBorders>
            <w:shd w:val="clear" w:color="auto" w:fill="auto"/>
            <w:tcMar>
              <w:top w:w="0" w:type="dxa"/>
              <w:left w:w="0" w:type="dxa"/>
              <w:bottom w:w="0" w:type="dxa"/>
              <w:right w:w="0" w:type="dxa"/>
            </w:tcMar>
            <w:vAlign w:val="center"/>
          </w:tcPr>
          <w:p w14:paraId="1BABAEFD">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65" w:type="dxa"/>
            <w:tcBorders>
              <w:tl2br w:val="nil"/>
              <w:tr2bl w:val="nil"/>
            </w:tcBorders>
            <w:shd w:val="clear" w:color="auto" w:fill="auto"/>
            <w:tcMar>
              <w:top w:w="0" w:type="dxa"/>
              <w:left w:w="0" w:type="dxa"/>
              <w:bottom w:w="0" w:type="dxa"/>
              <w:right w:w="0" w:type="dxa"/>
            </w:tcMar>
            <w:vAlign w:val="center"/>
          </w:tcPr>
          <w:p w14:paraId="103E854C">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4" w:type="dxa"/>
            <w:tcBorders>
              <w:tl2br w:val="nil"/>
              <w:tr2bl w:val="nil"/>
            </w:tcBorders>
            <w:shd w:val="clear" w:color="auto" w:fill="auto"/>
            <w:tcMar>
              <w:top w:w="0" w:type="dxa"/>
              <w:left w:w="0" w:type="dxa"/>
              <w:bottom w:w="0" w:type="dxa"/>
              <w:right w:w="0" w:type="dxa"/>
            </w:tcMar>
            <w:vAlign w:val="center"/>
          </w:tcPr>
          <w:p w14:paraId="1DB6B7B5">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98" w:type="dxa"/>
            <w:tcBorders>
              <w:tl2br w:val="nil"/>
              <w:tr2bl w:val="nil"/>
            </w:tcBorders>
            <w:shd w:val="clear" w:color="auto" w:fill="auto"/>
            <w:tcMar>
              <w:top w:w="0" w:type="dxa"/>
              <w:left w:w="0" w:type="dxa"/>
              <w:bottom w:w="0" w:type="dxa"/>
              <w:right w:w="0" w:type="dxa"/>
            </w:tcMar>
            <w:vAlign w:val="center"/>
          </w:tcPr>
          <w:p w14:paraId="34D7D13B">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51" w:type="dxa"/>
            <w:tcBorders>
              <w:tl2br w:val="nil"/>
              <w:tr2bl w:val="nil"/>
            </w:tcBorders>
            <w:shd w:val="clear" w:color="auto" w:fill="auto"/>
            <w:tcMar>
              <w:top w:w="0" w:type="dxa"/>
              <w:left w:w="0" w:type="dxa"/>
              <w:bottom w:w="0" w:type="dxa"/>
              <w:right w:w="0" w:type="dxa"/>
            </w:tcMar>
            <w:vAlign w:val="center"/>
          </w:tcPr>
          <w:p w14:paraId="13D04C77">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7" w:type="dxa"/>
            <w:tcBorders>
              <w:tl2br w:val="nil"/>
              <w:tr2bl w:val="nil"/>
            </w:tcBorders>
            <w:shd w:val="clear" w:color="auto" w:fill="auto"/>
            <w:tcMar>
              <w:top w:w="0" w:type="dxa"/>
              <w:left w:w="0" w:type="dxa"/>
              <w:bottom w:w="0" w:type="dxa"/>
              <w:right w:w="0" w:type="dxa"/>
            </w:tcMar>
            <w:vAlign w:val="center"/>
          </w:tcPr>
          <w:p w14:paraId="079B93E8">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93" w:type="dxa"/>
            <w:tcBorders>
              <w:tl2br w:val="nil"/>
              <w:tr2bl w:val="nil"/>
            </w:tcBorders>
            <w:shd w:val="clear" w:color="auto" w:fill="auto"/>
            <w:tcMar>
              <w:top w:w="0" w:type="dxa"/>
              <w:left w:w="0" w:type="dxa"/>
              <w:bottom w:w="0" w:type="dxa"/>
              <w:right w:w="0" w:type="dxa"/>
            </w:tcMar>
            <w:vAlign w:val="center"/>
          </w:tcPr>
          <w:p w14:paraId="2EA428AC">
            <w:pPr>
              <w:spacing w:line="240" w:lineRule="auto"/>
              <w:ind w:firstLine="0" w:firstLineChars="0"/>
              <w:jc w:val="center"/>
              <w:textAlignment w:val="center"/>
              <w:rPr>
                <w:rFonts w:hint="default" w:ascii="Times New Roman" w:hAnsi="Times New Roman" w:cs="Times New Roman"/>
                <w:kern w:val="0"/>
                <w:sz w:val="21"/>
                <w:szCs w:val="21"/>
                <w:lang w:bidi="ar"/>
              </w:rPr>
            </w:pPr>
          </w:p>
        </w:tc>
      </w:tr>
      <w:tr w14:paraId="0A8EEB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tcBorders>
              <w:tl2br w:val="nil"/>
              <w:tr2bl w:val="nil"/>
            </w:tcBorders>
            <w:shd w:val="clear" w:color="auto" w:fill="auto"/>
            <w:tcMar>
              <w:top w:w="0" w:type="dxa"/>
              <w:left w:w="0" w:type="dxa"/>
              <w:bottom w:w="0" w:type="dxa"/>
              <w:right w:w="0" w:type="dxa"/>
            </w:tcMar>
            <w:vAlign w:val="center"/>
          </w:tcPr>
          <w:p w14:paraId="7B59103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2030</w:t>
            </w:r>
          </w:p>
        </w:tc>
        <w:tc>
          <w:tcPr>
            <w:tcW w:w="1270" w:type="dxa"/>
            <w:tcBorders>
              <w:tl2br w:val="nil"/>
              <w:tr2bl w:val="nil"/>
            </w:tcBorders>
            <w:shd w:val="clear" w:color="auto" w:fill="auto"/>
            <w:tcMar>
              <w:top w:w="0" w:type="dxa"/>
              <w:left w:w="0" w:type="dxa"/>
              <w:bottom w:w="0" w:type="dxa"/>
              <w:right w:w="0" w:type="dxa"/>
            </w:tcMar>
            <w:vAlign w:val="center"/>
          </w:tcPr>
          <w:p w14:paraId="2C12631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插入式振动器1.1KW</w:t>
            </w:r>
          </w:p>
        </w:tc>
        <w:tc>
          <w:tcPr>
            <w:tcW w:w="588" w:type="dxa"/>
            <w:tcBorders>
              <w:tl2br w:val="nil"/>
              <w:tr2bl w:val="nil"/>
            </w:tcBorders>
            <w:shd w:val="clear" w:color="auto" w:fill="auto"/>
            <w:tcMar>
              <w:top w:w="0" w:type="dxa"/>
              <w:left w:w="0" w:type="dxa"/>
              <w:bottom w:w="0" w:type="dxa"/>
              <w:right w:w="0" w:type="dxa"/>
            </w:tcMar>
            <w:vAlign w:val="center"/>
          </w:tcPr>
          <w:p w14:paraId="42C0CD1F">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2.02</w:t>
            </w:r>
          </w:p>
        </w:tc>
        <w:tc>
          <w:tcPr>
            <w:tcW w:w="576" w:type="dxa"/>
            <w:tcBorders>
              <w:tl2br w:val="nil"/>
              <w:tr2bl w:val="nil"/>
            </w:tcBorders>
            <w:shd w:val="clear" w:color="auto" w:fill="auto"/>
            <w:tcMar>
              <w:top w:w="0" w:type="dxa"/>
              <w:left w:w="0" w:type="dxa"/>
              <w:bottom w:w="0" w:type="dxa"/>
              <w:right w:w="0" w:type="dxa"/>
            </w:tcMar>
            <w:vAlign w:val="center"/>
          </w:tcPr>
          <w:p w14:paraId="69D59FAE">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1.40</w:t>
            </w:r>
          </w:p>
        </w:tc>
        <w:tc>
          <w:tcPr>
            <w:tcW w:w="699" w:type="dxa"/>
            <w:tcBorders>
              <w:tl2br w:val="nil"/>
              <w:tr2bl w:val="nil"/>
            </w:tcBorders>
            <w:shd w:val="clear" w:color="auto" w:fill="auto"/>
            <w:tcMar>
              <w:top w:w="0" w:type="dxa"/>
              <w:left w:w="0" w:type="dxa"/>
              <w:bottom w:w="0" w:type="dxa"/>
              <w:right w:w="0" w:type="dxa"/>
            </w:tcMar>
            <w:vAlign w:val="center"/>
          </w:tcPr>
          <w:p w14:paraId="05B8E38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0.28</w:t>
            </w:r>
          </w:p>
        </w:tc>
        <w:tc>
          <w:tcPr>
            <w:tcW w:w="700" w:type="dxa"/>
            <w:tcBorders>
              <w:tl2br w:val="nil"/>
              <w:tr2bl w:val="nil"/>
            </w:tcBorders>
            <w:shd w:val="clear" w:color="auto" w:fill="auto"/>
            <w:tcMar>
              <w:top w:w="0" w:type="dxa"/>
              <w:left w:w="0" w:type="dxa"/>
              <w:bottom w:w="0" w:type="dxa"/>
              <w:right w:w="0" w:type="dxa"/>
            </w:tcMar>
            <w:vAlign w:val="center"/>
          </w:tcPr>
          <w:p w14:paraId="4FD140D3">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1.12</w:t>
            </w:r>
          </w:p>
        </w:tc>
        <w:tc>
          <w:tcPr>
            <w:tcW w:w="583" w:type="dxa"/>
            <w:tcBorders>
              <w:tl2br w:val="nil"/>
              <w:tr2bl w:val="nil"/>
            </w:tcBorders>
            <w:shd w:val="clear" w:color="auto" w:fill="auto"/>
            <w:tcMar>
              <w:top w:w="0" w:type="dxa"/>
              <w:left w:w="0" w:type="dxa"/>
              <w:bottom w:w="0" w:type="dxa"/>
              <w:right w:w="0" w:type="dxa"/>
            </w:tcMar>
            <w:vAlign w:val="center"/>
          </w:tcPr>
          <w:p w14:paraId="07D8EE0F">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tcBorders>
              <w:tl2br w:val="nil"/>
              <w:tr2bl w:val="nil"/>
            </w:tcBorders>
            <w:shd w:val="clear" w:color="auto" w:fill="auto"/>
            <w:tcMar>
              <w:top w:w="0" w:type="dxa"/>
              <w:left w:w="0" w:type="dxa"/>
              <w:bottom w:w="0" w:type="dxa"/>
              <w:right w:w="0" w:type="dxa"/>
            </w:tcMar>
            <w:vAlign w:val="center"/>
          </w:tcPr>
          <w:p w14:paraId="055AC5A3">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0.62</w:t>
            </w:r>
          </w:p>
        </w:tc>
        <w:tc>
          <w:tcPr>
            <w:tcW w:w="565" w:type="dxa"/>
            <w:tcBorders>
              <w:tl2br w:val="nil"/>
              <w:tr2bl w:val="nil"/>
            </w:tcBorders>
            <w:shd w:val="clear" w:color="auto" w:fill="auto"/>
            <w:tcMar>
              <w:top w:w="0" w:type="dxa"/>
              <w:left w:w="0" w:type="dxa"/>
              <w:bottom w:w="0" w:type="dxa"/>
              <w:right w:w="0" w:type="dxa"/>
            </w:tcMar>
            <w:vAlign w:val="center"/>
          </w:tcPr>
          <w:p w14:paraId="2B5A2CA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4" w:type="dxa"/>
            <w:tcBorders>
              <w:tl2br w:val="nil"/>
              <w:tr2bl w:val="nil"/>
            </w:tcBorders>
            <w:shd w:val="clear" w:color="auto" w:fill="auto"/>
            <w:tcMar>
              <w:top w:w="0" w:type="dxa"/>
              <w:left w:w="0" w:type="dxa"/>
              <w:bottom w:w="0" w:type="dxa"/>
              <w:right w:w="0" w:type="dxa"/>
            </w:tcMar>
            <w:vAlign w:val="center"/>
          </w:tcPr>
          <w:p w14:paraId="422171F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98" w:type="dxa"/>
            <w:tcBorders>
              <w:tl2br w:val="nil"/>
              <w:tr2bl w:val="nil"/>
            </w:tcBorders>
            <w:shd w:val="clear" w:color="auto" w:fill="auto"/>
            <w:tcMar>
              <w:top w:w="0" w:type="dxa"/>
              <w:left w:w="0" w:type="dxa"/>
              <w:bottom w:w="0" w:type="dxa"/>
              <w:right w:w="0" w:type="dxa"/>
            </w:tcMar>
            <w:vAlign w:val="center"/>
          </w:tcPr>
          <w:p w14:paraId="25DF6AB9">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51" w:type="dxa"/>
            <w:tcBorders>
              <w:tl2br w:val="nil"/>
              <w:tr2bl w:val="nil"/>
            </w:tcBorders>
            <w:shd w:val="clear" w:color="auto" w:fill="auto"/>
            <w:tcMar>
              <w:top w:w="0" w:type="dxa"/>
              <w:left w:w="0" w:type="dxa"/>
              <w:bottom w:w="0" w:type="dxa"/>
              <w:right w:w="0" w:type="dxa"/>
            </w:tcMar>
            <w:vAlign w:val="center"/>
          </w:tcPr>
          <w:p w14:paraId="15DC6C1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0.8</w:t>
            </w:r>
          </w:p>
        </w:tc>
        <w:tc>
          <w:tcPr>
            <w:tcW w:w="577" w:type="dxa"/>
            <w:tcBorders>
              <w:tl2br w:val="nil"/>
              <w:tr2bl w:val="nil"/>
            </w:tcBorders>
            <w:shd w:val="clear" w:color="auto" w:fill="auto"/>
            <w:tcMar>
              <w:top w:w="0" w:type="dxa"/>
              <w:left w:w="0" w:type="dxa"/>
              <w:bottom w:w="0" w:type="dxa"/>
              <w:right w:w="0" w:type="dxa"/>
            </w:tcMar>
            <w:vAlign w:val="center"/>
          </w:tcPr>
          <w:p w14:paraId="69D02666">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93" w:type="dxa"/>
            <w:tcBorders>
              <w:tl2br w:val="nil"/>
              <w:tr2bl w:val="nil"/>
            </w:tcBorders>
            <w:shd w:val="clear" w:color="auto" w:fill="auto"/>
            <w:tcMar>
              <w:top w:w="0" w:type="dxa"/>
              <w:left w:w="0" w:type="dxa"/>
              <w:bottom w:w="0" w:type="dxa"/>
              <w:right w:w="0" w:type="dxa"/>
            </w:tcMar>
            <w:vAlign w:val="center"/>
          </w:tcPr>
          <w:p w14:paraId="05DE1AA3">
            <w:pPr>
              <w:spacing w:line="240" w:lineRule="auto"/>
              <w:ind w:firstLine="0" w:firstLineChars="0"/>
              <w:jc w:val="center"/>
              <w:textAlignment w:val="center"/>
              <w:rPr>
                <w:rFonts w:hint="default" w:ascii="Times New Roman" w:hAnsi="Times New Roman" w:cs="Times New Roman"/>
                <w:kern w:val="0"/>
                <w:sz w:val="21"/>
                <w:szCs w:val="21"/>
                <w:lang w:bidi="ar"/>
              </w:rPr>
            </w:pPr>
          </w:p>
        </w:tc>
      </w:tr>
      <w:tr w14:paraId="6C0B01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tcBorders>
              <w:tl2br w:val="nil"/>
              <w:tr2bl w:val="nil"/>
            </w:tcBorders>
            <w:shd w:val="clear" w:color="auto" w:fill="auto"/>
            <w:tcMar>
              <w:top w:w="0" w:type="dxa"/>
              <w:left w:w="0" w:type="dxa"/>
              <w:bottom w:w="0" w:type="dxa"/>
              <w:right w:w="0" w:type="dxa"/>
            </w:tcMar>
            <w:vAlign w:val="center"/>
          </w:tcPr>
          <w:p w14:paraId="2BB1D929">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2050</w:t>
            </w:r>
          </w:p>
        </w:tc>
        <w:tc>
          <w:tcPr>
            <w:tcW w:w="1270" w:type="dxa"/>
            <w:tcBorders>
              <w:tl2br w:val="nil"/>
              <w:tr2bl w:val="nil"/>
            </w:tcBorders>
            <w:shd w:val="clear" w:color="auto" w:fill="auto"/>
            <w:noWrap/>
            <w:tcMar>
              <w:top w:w="0" w:type="dxa"/>
              <w:left w:w="0" w:type="dxa"/>
              <w:bottom w:w="0" w:type="dxa"/>
              <w:right w:w="0" w:type="dxa"/>
            </w:tcMar>
            <w:vAlign w:val="center"/>
          </w:tcPr>
          <w:p w14:paraId="0FDF967F">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风水（砂）枪</w:t>
            </w:r>
          </w:p>
        </w:tc>
        <w:tc>
          <w:tcPr>
            <w:tcW w:w="588" w:type="dxa"/>
            <w:tcBorders>
              <w:tl2br w:val="nil"/>
              <w:tr2bl w:val="nil"/>
            </w:tcBorders>
            <w:shd w:val="clear" w:color="auto" w:fill="auto"/>
            <w:tcMar>
              <w:top w:w="0" w:type="dxa"/>
              <w:left w:w="0" w:type="dxa"/>
              <w:bottom w:w="0" w:type="dxa"/>
              <w:right w:w="0" w:type="dxa"/>
            </w:tcMar>
            <w:vAlign w:val="center"/>
          </w:tcPr>
          <w:p w14:paraId="4F92299C">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27.15</w:t>
            </w:r>
          </w:p>
        </w:tc>
        <w:tc>
          <w:tcPr>
            <w:tcW w:w="576" w:type="dxa"/>
            <w:tcBorders>
              <w:tl2br w:val="nil"/>
              <w:tr2bl w:val="nil"/>
            </w:tcBorders>
            <w:shd w:val="clear" w:color="auto" w:fill="auto"/>
            <w:tcMar>
              <w:top w:w="0" w:type="dxa"/>
              <w:left w:w="0" w:type="dxa"/>
              <w:bottom w:w="0" w:type="dxa"/>
              <w:right w:w="0" w:type="dxa"/>
            </w:tcMar>
            <w:vAlign w:val="center"/>
          </w:tcPr>
          <w:p w14:paraId="00A0C0AD">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0.60</w:t>
            </w:r>
          </w:p>
        </w:tc>
        <w:tc>
          <w:tcPr>
            <w:tcW w:w="699" w:type="dxa"/>
            <w:tcBorders>
              <w:tl2br w:val="nil"/>
              <w:tr2bl w:val="nil"/>
            </w:tcBorders>
            <w:shd w:val="clear" w:color="auto" w:fill="auto"/>
            <w:tcMar>
              <w:top w:w="0" w:type="dxa"/>
              <w:left w:w="0" w:type="dxa"/>
              <w:bottom w:w="0" w:type="dxa"/>
              <w:right w:w="0" w:type="dxa"/>
            </w:tcMar>
            <w:vAlign w:val="center"/>
          </w:tcPr>
          <w:p w14:paraId="2EBAC5C8">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0.21</w:t>
            </w:r>
          </w:p>
        </w:tc>
        <w:tc>
          <w:tcPr>
            <w:tcW w:w="700" w:type="dxa"/>
            <w:tcBorders>
              <w:tl2br w:val="nil"/>
              <w:tr2bl w:val="nil"/>
            </w:tcBorders>
            <w:shd w:val="clear" w:color="auto" w:fill="auto"/>
            <w:tcMar>
              <w:top w:w="0" w:type="dxa"/>
              <w:left w:w="0" w:type="dxa"/>
              <w:bottom w:w="0" w:type="dxa"/>
              <w:right w:w="0" w:type="dxa"/>
            </w:tcMar>
            <w:vAlign w:val="center"/>
          </w:tcPr>
          <w:p w14:paraId="6C3B8B31">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0.39</w:t>
            </w:r>
          </w:p>
        </w:tc>
        <w:tc>
          <w:tcPr>
            <w:tcW w:w="583" w:type="dxa"/>
            <w:tcBorders>
              <w:tl2br w:val="nil"/>
              <w:tr2bl w:val="nil"/>
            </w:tcBorders>
            <w:shd w:val="clear" w:color="auto" w:fill="auto"/>
            <w:tcMar>
              <w:top w:w="0" w:type="dxa"/>
              <w:left w:w="0" w:type="dxa"/>
              <w:bottom w:w="0" w:type="dxa"/>
              <w:right w:w="0" w:type="dxa"/>
            </w:tcMar>
            <w:vAlign w:val="center"/>
          </w:tcPr>
          <w:p w14:paraId="0489FE6D">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tcBorders>
              <w:tl2br w:val="nil"/>
              <w:tr2bl w:val="nil"/>
            </w:tcBorders>
            <w:shd w:val="clear" w:color="auto" w:fill="auto"/>
            <w:tcMar>
              <w:top w:w="0" w:type="dxa"/>
              <w:left w:w="0" w:type="dxa"/>
              <w:bottom w:w="0" w:type="dxa"/>
              <w:right w:w="0" w:type="dxa"/>
            </w:tcMar>
            <w:vAlign w:val="center"/>
          </w:tcPr>
          <w:p w14:paraId="560A9FB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26.55</w:t>
            </w:r>
          </w:p>
        </w:tc>
        <w:tc>
          <w:tcPr>
            <w:tcW w:w="565" w:type="dxa"/>
            <w:tcBorders>
              <w:tl2br w:val="nil"/>
              <w:tr2bl w:val="nil"/>
            </w:tcBorders>
            <w:shd w:val="clear" w:color="auto" w:fill="auto"/>
            <w:tcMar>
              <w:top w:w="0" w:type="dxa"/>
              <w:left w:w="0" w:type="dxa"/>
              <w:bottom w:w="0" w:type="dxa"/>
              <w:right w:w="0" w:type="dxa"/>
            </w:tcMar>
            <w:vAlign w:val="center"/>
          </w:tcPr>
          <w:p w14:paraId="683FEA4B">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4" w:type="dxa"/>
            <w:tcBorders>
              <w:tl2br w:val="nil"/>
              <w:tr2bl w:val="nil"/>
            </w:tcBorders>
            <w:shd w:val="clear" w:color="auto" w:fill="auto"/>
            <w:tcMar>
              <w:top w:w="0" w:type="dxa"/>
              <w:left w:w="0" w:type="dxa"/>
              <w:bottom w:w="0" w:type="dxa"/>
              <w:right w:w="0" w:type="dxa"/>
            </w:tcMar>
            <w:vAlign w:val="center"/>
          </w:tcPr>
          <w:p w14:paraId="32D129D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98" w:type="dxa"/>
            <w:tcBorders>
              <w:tl2br w:val="nil"/>
              <w:tr2bl w:val="nil"/>
            </w:tcBorders>
            <w:shd w:val="clear" w:color="auto" w:fill="auto"/>
            <w:tcMar>
              <w:top w:w="0" w:type="dxa"/>
              <w:left w:w="0" w:type="dxa"/>
              <w:bottom w:w="0" w:type="dxa"/>
              <w:right w:w="0" w:type="dxa"/>
            </w:tcMar>
            <w:vAlign w:val="center"/>
          </w:tcPr>
          <w:p w14:paraId="40C15B6A">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51" w:type="dxa"/>
            <w:tcBorders>
              <w:tl2br w:val="nil"/>
              <w:tr2bl w:val="nil"/>
            </w:tcBorders>
            <w:shd w:val="clear" w:color="auto" w:fill="auto"/>
            <w:tcMar>
              <w:top w:w="0" w:type="dxa"/>
              <w:left w:w="0" w:type="dxa"/>
              <w:bottom w:w="0" w:type="dxa"/>
              <w:right w:w="0" w:type="dxa"/>
            </w:tcMar>
            <w:vAlign w:val="center"/>
          </w:tcPr>
          <w:p w14:paraId="7F3CEF16">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7" w:type="dxa"/>
            <w:tcBorders>
              <w:tl2br w:val="nil"/>
              <w:tr2bl w:val="nil"/>
            </w:tcBorders>
            <w:shd w:val="clear" w:color="auto" w:fill="auto"/>
            <w:tcMar>
              <w:top w:w="0" w:type="dxa"/>
              <w:left w:w="0" w:type="dxa"/>
              <w:bottom w:w="0" w:type="dxa"/>
              <w:right w:w="0" w:type="dxa"/>
            </w:tcMar>
            <w:vAlign w:val="center"/>
          </w:tcPr>
          <w:p w14:paraId="715350A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202.5</w:t>
            </w:r>
          </w:p>
        </w:tc>
        <w:tc>
          <w:tcPr>
            <w:tcW w:w="593" w:type="dxa"/>
            <w:tcBorders>
              <w:tl2br w:val="nil"/>
              <w:tr2bl w:val="nil"/>
            </w:tcBorders>
            <w:shd w:val="clear" w:color="auto" w:fill="auto"/>
            <w:tcMar>
              <w:top w:w="0" w:type="dxa"/>
              <w:left w:w="0" w:type="dxa"/>
              <w:bottom w:w="0" w:type="dxa"/>
              <w:right w:w="0" w:type="dxa"/>
            </w:tcMar>
            <w:vAlign w:val="center"/>
          </w:tcPr>
          <w:p w14:paraId="110DE09B">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1.5</w:t>
            </w:r>
          </w:p>
        </w:tc>
      </w:tr>
      <w:tr w14:paraId="590E48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tcBorders>
              <w:tl2br w:val="nil"/>
              <w:tr2bl w:val="nil"/>
            </w:tcBorders>
            <w:shd w:val="clear" w:color="auto" w:fill="auto"/>
            <w:tcMar>
              <w:top w:w="0" w:type="dxa"/>
              <w:left w:w="0" w:type="dxa"/>
              <w:bottom w:w="0" w:type="dxa"/>
              <w:right w:w="0" w:type="dxa"/>
            </w:tcMar>
            <w:vAlign w:val="center"/>
          </w:tcPr>
          <w:p w14:paraId="736D489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1031</w:t>
            </w:r>
          </w:p>
        </w:tc>
        <w:tc>
          <w:tcPr>
            <w:tcW w:w="1270" w:type="dxa"/>
            <w:tcBorders>
              <w:tl2br w:val="nil"/>
              <w:tr2bl w:val="nil"/>
            </w:tcBorders>
            <w:shd w:val="clear" w:color="auto" w:fill="auto"/>
            <w:tcMar>
              <w:top w:w="0" w:type="dxa"/>
              <w:left w:w="0" w:type="dxa"/>
              <w:bottom w:w="0" w:type="dxa"/>
              <w:right w:w="0" w:type="dxa"/>
            </w:tcMar>
            <w:vAlign w:val="center"/>
          </w:tcPr>
          <w:p w14:paraId="52C438D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74KW推土机</w:t>
            </w:r>
          </w:p>
        </w:tc>
        <w:tc>
          <w:tcPr>
            <w:tcW w:w="588" w:type="dxa"/>
            <w:tcBorders>
              <w:tl2br w:val="nil"/>
              <w:tr2bl w:val="nil"/>
            </w:tcBorders>
            <w:shd w:val="clear" w:color="auto" w:fill="auto"/>
            <w:tcMar>
              <w:top w:w="0" w:type="dxa"/>
              <w:left w:w="0" w:type="dxa"/>
              <w:bottom w:w="0" w:type="dxa"/>
              <w:right w:w="0" w:type="dxa"/>
            </w:tcMar>
            <w:vAlign w:val="center"/>
          </w:tcPr>
          <w:p w14:paraId="0DBF27A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 xml:space="preserve">162.93 </w:t>
            </w:r>
          </w:p>
        </w:tc>
        <w:tc>
          <w:tcPr>
            <w:tcW w:w="576" w:type="dxa"/>
            <w:tcBorders>
              <w:tl2br w:val="nil"/>
              <w:tr2bl w:val="nil"/>
            </w:tcBorders>
            <w:shd w:val="clear" w:color="auto" w:fill="auto"/>
            <w:noWrap/>
            <w:tcMar>
              <w:top w:w="0" w:type="dxa"/>
              <w:left w:w="0" w:type="dxa"/>
              <w:bottom w:w="0" w:type="dxa"/>
              <w:right w:w="0" w:type="dxa"/>
            </w:tcMar>
            <w:vAlign w:val="center"/>
          </w:tcPr>
          <w:p w14:paraId="38BF92DB">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38.60</w:t>
            </w:r>
          </w:p>
        </w:tc>
        <w:tc>
          <w:tcPr>
            <w:tcW w:w="699" w:type="dxa"/>
            <w:tcBorders>
              <w:tl2br w:val="nil"/>
              <w:tr2bl w:val="nil"/>
            </w:tcBorders>
            <w:shd w:val="clear" w:color="auto" w:fill="auto"/>
            <w:tcMar>
              <w:top w:w="0" w:type="dxa"/>
              <w:left w:w="0" w:type="dxa"/>
              <w:bottom w:w="0" w:type="dxa"/>
              <w:right w:w="0" w:type="dxa"/>
            </w:tcMar>
            <w:vAlign w:val="center"/>
          </w:tcPr>
          <w:p w14:paraId="4063DC5E">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16.81</w:t>
            </w:r>
          </w:p>
        </w:tc>
        <w:tc>
          <w:tcPr>
            <w:tcW w:w="700" w:type="dxa"/>
            <w:tcBorders>
              <w:tl2br w:val="nil"/>
              <w:tr2bl w:val="nil"/>
            </w:tcBorders>
            <w:shd w:val="clear" w:color="auto" w:fill="auto"/>
            <w:tcMar>
              <w:top w:w="0" w:type="dxa"/>
              <w:left w:w="0" w:type="dxa"/>
              <w:bottom w:w="0" w:type="dxa"/>
              <w:right w:w="0" w:type="dxa"/>
            </w:tcMar>
            <w:vAlign w:val="center"/>
          </w:tcPr>
          <w:p w14:paraId="344C581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20.93</w:t>
            </w:r>
          </w:p>
        </w:tc>
        <w:tc>
          <w:tcPr>
            <w:tcW w:w="583" w:type="dxa"/>
            <w:tcBorders>
              <w:tl2br w:val="nil"/>
              <w:tr2bl w:val="nil"/>
            </w:tcBorders>
            <w:shd w:val="clear" w:color="auto" w:fill="auto"/>
            <w:tcMar>
              <w:top w:w="0" w:type="dxa"/>
              <w:left w:w="0" w:type="dxa"/>
              <w:bottom w:w="0" w:type="dxa"/>
              <w:right w:w="0" w:type="dxa"/>
            </w:tcMar>
            <w:vAlign w:val="center"/>
          </w:tcPr>
          <w:p w14:paraId="249681A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0.86</w:t>
            </w:r>
          </w:p>
        </w:tc>
        <w:tc>
          <w:tcPr>
            <w:tcW w:w="588" w:type="dxa"/>
            <w:tcBorders>
              <w:tl2br w:val="nil"/>
              <w:tr2bl w:val="nil"/>
            </w:tcBorders>
            <w:shd w:val="clear" w:color="auto" w:fill="auto"/>
            <w:noWrap/>
            <w:tcMar>
              <w:top w:w="0" w:type="dxa"/>
              <w:left w:w="0" w:type="dxa"/>
              <w:bottom w:w="0" w:type="dxa"/>
              <w:right w:w="0" w:type="dxa"/>
            </w:tcMar>
            <w:vAlign w:val="center"/>
          </w:tcPr>
          <w:p w14:paraId="5543C015">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124.33</w:t>
            </w:r>
          </w:p>
        </w:tc>
        <w:tc>
          <w:tcPr>
            <w:tcW w:w="565" w:type="dxa"/>
            <w:tcBorders>
              <w:tl2br w:val="nil"/>
              <w:tr2bl w:val="nil"/>
            </w:tcBorders>
            <w:shd w:val="clear" w:color="auto" w:fill="auto"/>
            <w:noWrap/>
            <w:tcMar>
              <w:top w:w="0" w:type="dxa"/>
              <w:left w:w="0" w:type="dxa"/>
              <w:bottom w:w="0" w:type="dxa"/>
              <w:right w:w="0" w:type="dxa"/>
            </w:tcMar>
            <w:vAlign w:val="center"/>
          </w:tcPr>
          <w:p w14:paraId="65A6F66B">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2.4</w:t>
            </w:r>
          </w:p>
        </w:tc>
        <w:tc>
          <w:tcPr>
            <w:tcW w:w="574" w:type="dxa"/>
            <w:tcBorders>
              <w:tl2br w:val="nil"/>
              <w:tr2bl w:val="nil"/>
            </w:tcBorders>
            <w:shd w:val="clear" w:color="auto" w:fill="auto"/>
            <w:noWrap/>
            <w:tcMar>
              <w:top w:w="0" w:type="dxa"/>
              <w:left w:w="0" w:type="dxa"/>
              <w:bottom w:w="0" w:type="dxa"/>
              <w:right w:w="0" w:type="dxa"/>
            </w:tcMar>
            <w:vAlign w:val="center"/>
          </w:tcPr>
          <w:p w14:paraId="3028C083">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98" w:type="dxa"/>
            <w:tcBorders>
              <w:tl2br w:val="nil"/>
              <w:tr2bl w:val="nil"/>
            </w:tcBorders>
            <w:shd w:val="clear" w:color="auto" w:fill="auto"/>
            <w:noWrap/>
            <w:tcMar>
              <w:top w:w="0" w:type="dxa"/>
              <w:left w:w="0" w:type="dxa"/>
              <w:bottom w:w="0" w:type="dxa"/>
              <w:right w:w="0" w:type="dxa"/>
            </w:tcMar>
            <w:vAlign w:val="center"/>
          </w:tcPr>
          <w:p w14:paraId="392BBC0C">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10.6</w:t>
            </w:r>
          </w:p>
        </w:tc>
        <w:tc>
          <w:tcPr>
            <w:tcW w:w="751" w:type="dxa"/>
            <w:tcBorders>
              <w:tl2br w:val="nil"/>
              <w:tr2bl w:val="nil"/>
            </w:tcBorders>
            <w:shd w:val="clear" w:color="auto" w:fill="auto"/>
            <w:noWrap/>
            <w:tcMar>
              <w:top w:w="0" w:type="dxa"/>
              <w:left w:w="0" w:type="dxa"/>
              <w:bottom w:w="0" w:type="dxa"/>
              <w:right w:w="0" w:type="dxa"/>
            </w:tcMar>
            <w:vAlign w:val="center"/>
          </w:tcPr>
          <w:p w14:paraId="27F58A24">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7" w:type="dxa"/>
            <w:tcBorders>
              <w:tl2br w:val="nil"/>
              <w:tr2bl w:val="nil"/>
            </w:tcBorders>
            <w:shd w:val="clear" w:color="auto" w:fill="auto"/>
            <w:noWrap/>
            <w:tcMar>
              <w:top w:w="0" w:type="dxa"/>
              <w:left w:w="0" w:type="dxa"/>
              <w:bottom w:w="0" w:type="dxa"/>
              <w:right w:w="0" w:type="dxa"/>
            </w:tcMar>
            <w:vAlign w:val="center"/>
          </w:tcPr>
          <w:p w14:paraId="00DBA9A4">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93" w:type="dxa"/>
            <w:tcBorders>
              <w:tl2br w:val="nil"/>
              <w:tr2bl w:val="nil"/>
            </w:tcBorders>
            <w:shd w:val="clear" w:color="auto" w:fill="auto"/>
            <w:noWrap/>
            <w:tcMar>
              <w:top w:w="0" w:type="dxa"/>
              <w:left w:w="0" w:type="dxa"/>
              <w:bottom w:w="0" w:type="dxa"/>
              <w:right w:w="0" w:type="dxa"/>
            </w:tcMar>
            <w:vAlign w:val="center"/>
          </w:tcPr>
          <w:p w14:paraId="6BC43A1E">
            <w:pPr>
              <w:spacing w:line="240" w:lineRule="auto"/>
              <w:ind w:firstLine="0" w:firstLineChars="0"/>
              <w:jc w:val="center"/>
              <w:textAlignment w:val="center"/>
              <w:rPr>
                <w:rFonts w:hint="default" w:ascii="Times New Roman" w:hAnsi="Times New Roman" w:cs="Times New Roman"/>
                <w:kern w:val="0"/>
                <w:sz w:val="21"/>
                <w:szCs w:val="21"/>
                <w:lang w:bidi="ar"/>
              </w:rPr>
            </w:pPr>
          </w:p>
        </w:tc>
      </w:tr>
      <w:tr w14:paraId="486EC6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5" w:type="dxa"/>
            <w:tcBorders>
              <w:tl2br w:val="nil"/>
              <w:tr2bl w:val="nil"/>
            </w:tcBorders>
            <w:shd w:val="clear" w:color="auto" w:fill="auto"/>
            <w:noWrap/>
            <w:tcMar>
              <w:top w:w="0" w:type="dxa"/>
              <w:left w:w="0" w:type="dxa"/>
              <w:bottom w:w="0" w:type="dxa"/>
              <w:right w:w="0" w:type="dxa"/>
            </w:tcMar>
            <w:vAlign w:val="center"/>
          </w:tcPr>
          <w:p w14:paraId="604638E3">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3060</w:t>
            </w:r>
          </w:p>
        </w:tc>
        <w:tc>
          <w:tcPr>
            <w:tcW w:w="1270" w:type="dxa"/>
            <w:tcBorders>
              <w:tl2br w:val="nil"/>
              <w:tr2bl w:val="nil"/>
            </w:tcBorders>
            <w:shd w:val="clear" w:color="auto" w:fill="auto"/>
            <w:tcMar>
              <w:top w:w="0" w:type="dxa"/>
              <w:left w:w="0" w:type="dxa"/>
              <w:bottom w:w="0" w:type="dxa"/>
              <w:right w:w="0" w:type="dxa"/>
            </w:tcMar>
            <w:vAlign w:val="center"/>
          </w:tcPr>
          <w:p w14:paraId="62F6027A">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机动翻斗车</w:t>
            </w:r>
          </w:p>
        </w:tc>
        <w:tc>
          <w:tcPr>
            <w:tcW w:w="588" w:type="dxa"/>
            <w:tcBorders>
              <w:tl2br w:val="nil"/>
              <w:tr2bl w:val="nil"/>
            </w:tcBorders>
            <w:shd w:val="clear" w:color="auto" w:fill="auto"/>
            <w:tcMar>
              <w:top w:w="0" w:type="dxa"/>
              <w:left w:w="0" w:type="dxa"/>
              <w:bottom w:w="0" w:type="dxa"/>
              <w:right w:w="0" w:type="dxa"/>
            </w:tcMar>
            <w:vAlign w:val="center"/>
          </w:tcPr>
          <w:p w14:paraId="6062C599">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 xml:space="preserve">27.47 </w:t>
            </w:r>
          </w:p>
        </w:tc>
        <w:tc>
          <w:tcPr>
            <w:tcW w:w="576" w:type="dxa"/>
            <w:tcBorders>
              <w:tl2br w:val="nil"/>
              <w:tr2bl w:val="nil"/>
            </w:tcBorders>
            <w:shd w:val="clear" w:color="auto" w:fill="auto"/>
            <w:noWrap/>
            <w:tcMar>
              <w:top w:w="0" w:type="dxa"/>
              <w:left w:w="0" w:type="dxa"/>
              <w:bottom w:w="0" w:type="dxa"/>
              <w:right w:w="0" w:type="dxa"/>
            </w:tcMar>
            <w:vAlign w:val="center"/>
          </w:tcPr>
          <w:p w14:paraId="509FB884">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2.20</w:t>
            </w:r>
          </w:p>
        </w:tc>
        <w:tc>
          <w:tcPr>
            <w:tcW w:w="699" w:type="dxa"/>
            <w:tcBorders>
              <w:tl2br w:val="nil"/>
              <w:tr2bl w:val="nil"/>
            </w:tcBorders>
            <w:shd w:val="clear" w:color="auto" w:fill="auto"/>
            <w:noWrap/>
            <w:tcMar>
              <w:top w:w="0" w:type="dxa"/>
              <w:left w:w="0" w:type="dxa"/>
              <w:bottom w:w="0" w:type="dxa"/>
              <w:right w:w="0" w:type="dxa"/>
            </w:tcMar>
            <w:vAlign w:val="center"/>
          </w:tcPr>
          <w:p w14:paraId="08FFF56C">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 xml:space="preserve">1.08 </w:t>
            </w:r>
          </w:p>
        </w:tc>
        <w:tc>
          <w:tcPr>
            <w:tcW w:w="700" w:type="dxa"/>
            <w:tcBorders>
              <w:tl2br w:val="nil"/>
              <w:tr2bl w:val="nil"/>
            </w:tcBorders>
            <w:shd w:val="clear" w:color="auto" w:fill="auto"/>
            <w:noWrap/>
            <w:tcMar>
              <w:top w:w="0" w:type="dxa"/>
              <w:left w:w="0" w:type="dxa"/>
              <w:bottom w:w="0" w:type="dxa"/>
              <w:right w:w="0" w:type="dxa"/>
            </w:tcMar>
            <w:vAlign w:val="center"/>
          </w:tcPr>
          <w:p w14:paraId="354DEF47">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 xml:space="preserve">1.12 </w:t>
            </w:r>
          </w:p>
        </w:tc>
        <w:tc>
          <w:tcPr>
            <w:tcW w:w="583" w:type="dxa"/>
            <w:tcBorders>
              <w:tl2br w:val="nil"/>
              <w:tr2bl w:val="nil"/>
            </w:tcBorders>
            <w:shd w:val="clear" w:color="auto" w:fill="auto"/>
            <w:noWrap/>
            <w:tcMar>
              <w:top w:w="0" w:type="dxa"/>
              <w:left w:w="0" w:type="dxa"/>
              <w:bottom w:w="0" w:type="dxa"/>
              <w:right w:w="0" w:type="dxa"/>
            </w:tcMar>
            <w:vAlign w:val="center"/>
          </w:tcPr>
          <w:p w14:paraId="19D9BC3C">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88" w:type="dxa"/>
            <w:tcBorders>
              <w:tl2br w:val="nil"/>
              <w:tr2bl w:val="nil"/>
            </w:tcBorders>
            <w:shd w:val="clear" w:color="auto" w:fill="auto"/>
            <w:noWrap/>
            <w:tcMar>
              <w:top w:w="0" w:type="dxa"/>
              <w:left w:w="0" w:type="dxa"/>
              <w:bottom w:w="0" w:type="dxa"/>
              <w:right w:w="0" w:type="dxa"/>
            </w:tcMar>
            <w:vAlign w:val="center"/>
          </w:tcPr>
          <w:p w14:paraId="51162DA0">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 xml:space="preserve">25.27 </w:t>
            </w:r>
          </w:p>
        </w:tc>
        <w:tc>
          <w:tcPr>
            <w:tcW w:w="565" w:type="dxa"/>
            <w:tcBorders>
              <w:tl2br w:val="nil"/>
              <w:tr2bl w:val="nil"/>
            </w:tcBorders>
            <w:shd w:val="clear" w:color="auto" w:fill="auto"/>
            <w:noWrap/>
            <w:tcMar>
              <w:top w:w="0" w:type="dxa"/>
              <w:left w:w="0" w:type="dxa"/>
              <w:bottom w:w="0" w:type="dxa"/>
              <w:right w:w="0" w:type="dxa"/>
            </w:tcMar>
            <w:vAlign w:val="center"/>
          </w:tcPr>
          <w:p w14:paraId="2C5340A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1.3</w:t>
            </w:r>
          </w:p>
        </w:tc>
        <w:tc>
          <w:tcPr>
            <w:tcW w:w="574" w:type="dxa"/>
            <w:tcBorders>
              <w:tl2br w:val="nil"/>
              <w:tr2bl w:val="nil"/>
            </w:tcBorders>
            <w:shd w:val="clear" w:color="auto" w:fill="auto"/>
            <w:noWrap/>
            <w:tcMar>
              <w:top w:w="0" w:type="dxa"/>
              <w:left w:w="0" w:type="dxa"/>
              <w:bottom w:w="0" w:type="dxa"/>
              <w:right w:w="0" w:type="dxa"/>
            </w:tcMar>
            <w:vAlign w:val="center"/>
          </w:tcPr>
          <w:p w14:paraId="55F4E5C0">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798" w:type="dxa"/>
            <w:tcBorders>
              <w:tl2br w:val="nil"/>
              <w:tr2bl w:val="nil"/>
            </w:tcBorders>
            <w:shd w:val="clear" w:color="auto" w:fill="auto"/>
            <w:noWrap/>
            <w:tcMar>
              <w:top w:w="0" w:type="dxa"/>
              <w:left w:w="0" w:type="dxa"/>
              <w:bottom w:w="0" w:type="dxa"/>
              <w:right w:w="0" w:type="dxa"/>
            </w:tcMar>
            <w:vAlign w:val="center"/>
          </w:tcPr>
          <w:p w14:paraId="2E38D216">
            <w:pPr>
              <w:spacing w:line="240" w:lineRule="auto"/>
              <w:ind w:firstLine="0" w:firstLineChars="0"/>
              <w:jc w:val="center"/>
              <w:textAlignment w:val="center"/>
              <w:rPr>
                <w:rFonts w:hint="default" w:ascii="Times New Roman" w:hAnsi="Times New Roman" w:cs="Times New Roman"/>
                <w:kern w:val="0"/>
                <w:sz w:val="21"/>
                <w:szCs w:val="21"/>
                <w:lang w:bidi="ar"/>
              </w:rPr>
            </w:pPr>
            <w:r>
              <w:rPr>
                <w:rFonts w:hint="default" w:ascii="Times New Roman" w:hAnsi="Times New Roman" w:cs="Times New Roman"/>
                <w:kern w:val="0"/>
                <w:sz w:val="21"/>
                <w:szCs w:val="21"/>
                <w:lang w:bidi="ar"/>
              </w:rPr>
              <w:t>1.5</w:t>
            </w:r>
          </w:p>
        </w:tc>
        <w:tc>
          <w:tcPr>
            <w:tcW w:w="751" w:type="dxa"/>
            <w:tcBorders>
              <w:tl2br w:val="nil"/>
              <w:tr2bl w:val="nil"/>
            </w:tcBorders>
            <w:shd w:val="clear" w:color="auto" w:fill="auto"/>
            <w:noWrap/>
            <w:tcMar>
              <w:top w:w="0" w:type="dxa"/>
              <w:left w:w="0" w:type="dxa"/>
              <w:bottom w:w="0" w:type="dxa"/>
              <w:right w:w="0" w:type="dxa"/>
            </w:tcMar>
            <w:vAlign w:val="center"/>
          </w:tcPr>
          <w:p w14:paraId="6E6FF9E6">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77" w:type="dxa"/>
            <w:tcBorders>
              <w:tl2br w:val="nil"/>
              <w:tr2bl w:val="nil"/>
            </w:tcBorders>
            <w:shd w:val="clear" w:color="auto" w:fill="auto"/>
            <w:noWrap/>
            <w:tcMar>
              <w:top w:w="0" w:type="dxa"/>
              <w:left w:w="0" w:type="dxa"/>
              <w:bottom w:w="0" w:type="dxa"/>
              <w:right w:w="0" w:type="dxa"/>
            </w:tcMar>
            <w:vAlign w:val="center"/>
          </w:tcPr>
          <w:p w14:paraId="2C4E977B">
            <w:pPr>
              <w:spacing w:line="240" w:lineRule="auto"/>
              <w:ind w:firstLine="0" w:firstLineChars="0"/>
              <w:jc w:val="center"/>
              <w:textAlignment w:val="center"/>
              <w:rPr>
                <w:rFonts w:hint="default" w:ascii="Times New Roman" w:hAnsi="Times New Roman" w:cs="Times New Roman"/>
                <w:kern w:val="0"/>
                <w:sz w:val="21"/>
                <w:szCs w:val="21"/>
                <w:lang w:bidi="ar"/>
              </w:rPr>
            </w:pPr>
          </w:p>
        </w:tc>
        <w:tc>
          <w:tcPr>
            <w:tcW w:w="593" w:type="dxa"/>
            <w:tcBorders>
              <w:tl2br w:val="nil"/>
              <w:tr2bl w:val="nil"/>
            </w:tcBorders>
            <w:shd w:val="clear" w:color="auto" w:fill="auto"/>
            <w:noWrap/>
            <w:tcMar>
              <w:top w:w="0" w:type="dxa"/>
              <w:left w:w="0" w:type="dxa"/>
              <w:bottom w:w="0" w:type="dxa"/>
              <w:right w:w="0" w:type="dxa"/>
            </w:tcMar>
            <w:vAlign w:val="center"/>
          </w:tcPr>
          <w:p w14:paraId="3D506FB6">
            <w:pPr>
              <w:spacing w:line="240" w:lineRule="auto"/>
              <w:ind w:firstLine="0" w:firstLineChars="0"/>
              <w:jc w:val="center"/>
              <w:textAlignment w:val="center"/>
              <w:rPr>
                <w:rFonts w:hint="default" w:ascii="Times New Roman" w:hAnsi="Times New Roman" w:cs="Times New Roman"/>
                <w:kern w:val="0"/>
                <w:sz w:val="21"/>
                <w:szCs w:val="21"/>
                <w:lang w:bidi="ar"/>
              </w:rPr>
            </w:pPr>
          </w:p>
        </w:tc>
      </w:tr>
    </w:tbl>
    <w:p w14:paraId="51A06766">
      <w:pPr>
        <w:pStyle w:val="42"/>
        <w:ind w:firstLine="420"/>
        <w:jc w:val="left"/>
        <w:rPr>
          <w:rFonts w:hint="default" w:ascii="Times New Roman" w:hAnsi="Times New Roman" w:cs="Times New Roman"/>
          <w:sz w:val="21"/>
          <w:szCs w:val="21"/>
        </w:rPr>
      </w:pPr>
      <w:r>
        <w:rPr>
          <w:rFonts w:hint="default" w:ascii="Times New Roman" w:hAnsi="Times New Roman" w:cs="Times New Roman"/>
          <w:sz w:val="21"/>
          <w:szCs w:val="21"/>
        </w:rPr>
        <w:t>注：根据办财务函〔2019〕448号，折旧费和修理及替换设备费进行了调整，其中折旧费除以1.13的调整系数，修理及替换设备费除以1.09的调整系数。</w:t>
      </w:r>
    </w:p>
    <w:p w14:paraId="4F752466">
      <w:pPr>
        <w:pStyle w:val="5"/>
        <w:rPr>
          <w:rFonts w:hint="default" w:ascii="Times New Roman" w:hAnsi="Times New Roman" w:cs="Times New Roman"/>
        </w:rPr>
      </w:pPr>
      <w:r>
        <w:rPr>
          <w:rFonts w:hint="default" w:ascii="Times New Roman" w:hAnsi="Times New Roman" w:cs="Times New Roman"/>
        </w:rPr>
        <w:t>编制方法</w:t>
      </w:r>
    </w:p>
    <w:p w14:paraId="2CD871B2">
      <w:pPr>
        <w:ind w:firstLine="480"/>
        <w:rPr>
          <w:rFonts w:hint="default" w:ascii="Times New Roman" w:hAnsi="Times New Roman" w:cs="Times New Roman"/>
        </w:rPr>
      </w:pPr>
      <w:r>
        <w:rPr>
          <w:rFonts w:hint="default" w:ascii="Times New Roman" w:hAnsi="Times New Roman" w:cs="Times New Roman"/>
        </w:rPr>
        <w:t>（1）工程措施投资</w:t>
      </w:r>
    </w:p>
    <w:p w14:paraId="6D4FC6AE">
      <w:pPr>
        <w:ind w:firstLine="480"/>
        <w:rPr>
          <w:rFonts w:hint="default" w:ascii="Times New Roman" w:hAnsi="Times New Roman" w:cs="Times New Roman"/>
        </w:rPr>
      </w:pPr>
      <w:r>
        <w:rPr>
          <w:rFonts w:hint="default" w:ascii="Times New Roman" w:hAnsi="Times New Roman" w:cs="Times New Roman"/>
        </w:rPr>
        <w:t>工程措施概算按设计工程量乘以工程单价进行编制。</w:t>
      </w:r>
    </w:p>
    <w:p w14:paraId="3062EE4E">
      <w:pPr>
        <w:ind w:firstLine="480"/>
        <w:rPr>
          <w:rFonts w:hint="default" w:ascii="Times New Roman" w:hAnsi="Times New Roman" w:cs="Times New Roman"/>
        </w:rPr>
      </w:pPr>
      <w:r>
        <w:rPr>
          <w:rFonts w:hint="default" w:ascii="Times New Roman" w:hAnsi="Times New Roman" w:cs="Times New Roman"/>
        </w:rPr>
        <w:t>（2）植物措施投资</w:t>
      </w:r>
    </w:p>
    <w:p w14:paraId="3CB3EE95">
      <w:pPr>
        <w:ind w:firstLine="480"/>
        <w:rPr>
          <w:rFonts w:hint="default" w:ascii="Times New Roman" w:hAnsi="Times New Roman" w:cs="Times New Roman"/>
        </w:rPr>
      </w:pPr>
      <w:r>
        <w:rPr>
          <w:rFonts w:hint="default" w:ascii="Times New Roman" w:hAnsi="Times New Roman" w:cs="Times New Roman"/>
        </w:rPr>
        <w:t>植物措施费由苗木、草、种子等材料费及种植费组成。植物措施材料费由苗木、草、种子的概算价格乘以数量进行编制；种植费按种植工程量乘以种植工作单价计算。</w:t>
      </w:r>
    </w:p>
    <w:p w14:paraId="02F7E662">
      <w:pPr>
        <w:ind w:firstLine="480"/>
        <w:rPr>
          <w:rFonts w:hint="default" w:ascii="Times New Roman" w:hAnsi="Times New Roman" w:cs="Times New Roman"/>
        </w:rPr>
      </w:pPr>
      <w:r>
        <w:rPr>
          <w:rFonts w:hint="default" w:ascii="Times New Roman" w:hAnsi="Times New Roman" w:cs="Times New Roman"/>
        </w:rPr>
        <w:t>（3）临时工程投资</w:t>
      </w:r>
    </w:p>
    <w:p w14:paraId="253265FB">
      <w:pPr>
        <w:ind w:firstLine="480"/>
        <w:rPr>
          <w:rFonts w:hint="default" w:ascii="Times New Roman" w:hAnsi="Times New Roman" w:cs="Times New Roman"/>
        </w:rPr>
      </w:pPr>
      <w:r>
        <w:rPr>
          <w:rFonts w:hint="default" w:ascii="Times New Roman" w:hAnsi="Times New Roman" w:cs="Times New Roman"/>
        </w:rPr>
        <w:t>临时防护措施投资按设计工程量乘以工程单价编制；其它临时工程投资按工程措施和植物措施之和的2%计。</w:t>
      </w:r>
    </w:p>
    <w:p w14:paraId="462C6A55">
      <w:pPr>
        <w:ind w:firstLine="480"/>
        <w:rPr>
          <w:rFonts w:hint="default" w:ascii="Times New Roman" w:hAnsi="Times New Roman" w:cs="Times New Roman"/>
        </w:rPr>
      </w:pPr>
      <w:r>
        <w:rPr>
          <w:rFonts w:hint="default" w:ascii="Times New Roman" w:hAnsi="Times New Roman" w:cs="Times New Roman"/>
        </w:rPr>
        <w:t>（4）独立费用投资</w:t>
      </w:r>
    </w:p>
    <w:p w14:paraId="3B75EE3D">
      <w:pPr>
        <w:ind w:firstLine="480"/>
        <w:rPr>
          <w:rFonts w:hint="default" w:ascii="Times New Roman" w:hAnsi="Times New Roman" w:cs="Times New Roman"/>
        </w:rPr>
      </w:pPr>
      <w:r>
        <w:rPr>
          <w:rFonts w:hint="default" w:ascii="Times New Roman" w:hAnsi="Times New Roman" w:cs="Times New Roman"/>
        </w:rPr>
        <w:t>独立费用主要包括建设管理费、工程监理费、科研勘测设计费、水土保持监理费和水土保持设施验收报告编制费。</w:t>
      </w:r>
    </w:p>
    <w:p w14:paraId="679B242C">
      <w:pPr>
        <w:pStyle w:val="93"/>
        <w:rPr>
          <w:rFonts w:hint="default" w:ascii="Times New Roman" w:hAnsi="Times New Roman" w:cs="Times New Roman"/>
        </w:rPr>
      </w:pPr>
      <w:r>
        <w:rPr>
          <w:rFonts w:hint="default" w:ascii="Times New Roman" w:hAnsi="Times New Roman" w:cs="Times New Roman"/>
        </w:rPr>
        <w:t>①建设管理费：按水土保持工程措施、植物措施和临时防护措施费用之和的2%计。</w:t>
      </w:r>
    </w:p>
    <w:p w14:paraId="3DE3F1D2">
      <w:pPr>
        <w:pStyle w:val="93"/>
        <w:rPr>
          <w:rFonts w:hint="default" w:ascii="Times New Roman" w:hAnsi="Times New Roman" w:cs="Times New Roman"/>
        </w:rPr>
      </w:pPr>
      <w:r>
        <w:rPr>
          <w:rFonts w:hint="default" w:ascii="Times New Roman" w:hAnsi="Times New Roman" w:cs="Times New Roman"/>
        </w:rPr>
        <w:t>②水土保持工程监理费：主体工程监理代为水保监理，参考《建设工程监理及相关服务收费管理规定》（发改价格〔2007〕670号文）计取，并结合工程实际情况取4.00万元；</w:t>
      </w:r>
    </w:p>
    <w:p w14:paraId="6EA5570C">
      <w:pPr>
        <w:pStyle w:val="93"/>
        <w:rPr>
          <w:rFonts w:hint="default" w:ascii="Times New Roman" w:hAnsi="Times New Roman" w:cs="Times New Roman"/>
        </w:rPr>
      </w:pPr>
      <w:r>
        <w:rPr>
          <w:rFonts w:hint="default" w:ascii="Times New Roman" w:hAnsi="Times New Roman" w:cs="Times New Roman"/>
        </w:rPr>
        <w:t>③水土保持方案编制费：根据项目实际情况，结合类似项目市场价格，水土保持方案编制费取</w:t>
      </w:r>
      <w:r>
        <w:rPr>
          <w:rFonts w:hint="eastAsia" w:cs="Times New Roman"/>
          <w:lang w:val="en-US" w:eastAsia="zh-CN"/>
        </w:rPr>
        <w:t>2</w:t>
      </w:r>
      <w:r>
        <w:rPr>
          <w:rFonts w:hint="default" w:ascii="Times New Roman" w:hAnsi="Times New Roman" w:cs="Times New Roman"/>
        </w:rPr>
        <w:t>.00万元；</w:t>
      </w:r>
    </w:p>
    <w:p w14:paraId="38088785">
      <w:pPr>
        <w:pStyle w:val="93"/>
        <w:rPr>
          <w:rFonts w:hint="default" w:ascii="Times New Roman" w:hAnsi="Times New Roman" w:cs="Times New Roman"/>
        </w:rPr>
      </w:pPr>
      <w:r>
        <w:rPr>
          <w:rFonts w:hint="default" w:ascii="Times New Roman" w:hAnsi="Times New Roman" w:cs="Times New Roman"/>
        </w:rPr>
        <w:t>④监测费用：根据云水保监字〔2010〕7号规定，参照同类工程，水土保持设施验收时监测资料整编，取2万元。</w:t>
      </w:r>
    </w:p>
    <w:p w14:paraId="7D2D388D">
      <w:pPr>
        <w:ind w:firstLine="480"/>
        <w:rPr>
          <w:rFonts w:hint="default" w:ascii="Times New Roman" w:hAnsi="Times New Roman" w:cs="Times New Roman"/>
        </w:rPr>
      </w:pPr>
      <w:r>
        <w:rPr>
          <w:rFonts w:hint="default" w:ascii="Times New Roman" w:hAnsi="Times New Roman" w:cs="Times New Roman"/>
        </w:rPr>
        <w:t>⑤水土保持设施验收报告编制费：根据项目的实际情况，水土保持设施验收报告编制费按</w:t>
      </w:r>
      <w:r>
        <w:rPr>
          <w:rFonts w:hint="default" w:ascii="Times New Roman" w:hAnsi="Times New Roman" w:cs="Times New Roman"/>
          <w:lang w:val="en-US" w:eastAsia="zh-CN"/>
        </w:rPr>
        <w:t>4</w:t>
      </w:r>
      <w:r>
        <w:rPr>
          <w:rFonts w:hint="default" w:ascii="Times New Roman" w:hAnsi="Times New Roman" w:cs="Times New Roman"/>
        </w:rPr>
        <w:t>.00万元计列。</w:t>
      </w:r>
    </w:p>
    <w:p w14:paraId="6E61330B">
      <w:pPr>
        <w:pStyle w:val="93"/>
        <w:rPr>
          <w:rFonts w:hint="default" w:ascii="Times New Roman" w:hAnsi="Times New Roman" w:cs="Times New Roman"/>
        </w:rPr>
      </w:pPr>
      <w:r>
        <w:rPr>
          <w:rFonts w:hint="default" w:ascii="Times New Roman" w:hAnsi="Times New Roman" w:cs="Times New Roman"/>
        </w:rPr>
        <w:t>（5）水土保持补偿费</w:t>
      </w:r>
    </w:p>
    <w:p w14:paraId="5535863C">
      <w:pPr>
        <w:pStyle w:val="93"/>
        <w:rPr>
          <w:rFonts w:ascii="Times New Roman" w:hAnsi="Times New Roman" w:eastAsia="仿宋_GB2312" w:cs="Times New Roman"/>
          <w:color w:val="000000" w:themeColor="text1"/>
        </w:rPr>
      </w:pPr>
      <w:r>
        <w:rPr>
          <w:rFonts w:ascii="Times New Roman" w:hAnsi="Times New Roman" w:eastAsia="仿宋_GB2312" w:cs="Times New Roman"/>
          <w:color w:val="000000" w:themeColor="text1"/>
        </w:rPr>
        <w:t>根据“云南省物价局云南省财政厅云南省水利厅《关于水土保持补偿费收费标准的通知》（云价收费〔2017〕113号）”，本项目水土保持补偿费按照征占用土地面积计征，水土保持补偿费按0.7</w:t>
      </w:r>
      <w:r>
        <w:rPr>
          <w:rFonts w:hint="eastAsia" w:ascii="Times New Roman" w:hAnsi="Times New Roman" w:cs="Times New Roman"/>
          <w:color w:val="000000" w:themeColor="text1"/>
          <w:lang w:val="en-US" w:eastAsia="zh-CN"/>
        </w:rPr>
        <w:t>0</w:t>
      </w:r>
      <w:r>
        <w:rPr>
          <w:rFonts w:ascii="Times New Roman" w:hAnsi="Times New Roman" w:eastAsia="仿宋_GB2312" w:cs="Times New Roman"/>
          <w:color w:val="000000" w:themeColor="text1"/>
        </w:rPr>
        <w:t>元/m</w:t>
      </w:r>
      <w:r>
        <w:rPr>
          <w:rFonts w:ascii="Times New Roman" w:hAnsi="Times New Roman" w:eastAsia="仿宋_GB2312" w:cs="Times New Roman"/>
          <w:color w:val="000000" w:themeColor="text1"/>
          <w:vertAlign w:val="superscript"/>
        </w:rPr>
        <w:t>2</w:t>
      </w:r>
      <w:r>
        <w:rPr>
          <w:rFonts w:ascii="Times New Roman" w:hAnsi="Times New Roman" w:eastAsia="仿宋_GB2312" w:cs="Times New Roman"/>
          <w:color w:val="000000" w:themeColor="text1"/>
        </w:rPr>
        <w:t>计（不足1平米的按1平米计）。</w:t>
      </w:r>
    </w:p>
    <w:p w14:paraId="533B23E0">
      <w:pPr>
        <w:pStyle w:val="93"/>
        <w:rPr>
          <w:rFonts w:ascii="Times New Roman" w:hAnsi="Times New Roman" w:eastAsia="仿宋_GB2312" w:cs="Times New Roman"/>
          <w:b/>
          <w:color w:val="000000" w:themeColor="text1"/>
        </w:rPr>
      </w:pPr>
      <w:r>
        <w:rPr>
          <w:rFonts w:ascii="Times New Roman" w:hAnsi="Times New Roman" w:eastAsia="仿宋_GB2312" w:cs="Times New Roman"/>
          <w:snapToGrid w:val="0"/>
          <w:color w:val="000000" w:themeColor="text1"/>
          <w:kern w:val="2"/>
          <w:sz w:val="24"/>
          <w:szCs w:val="24"/>
          <w:lang w:val="en-US" w:eastAsia="zh-CN" w:bidi="ar-SA"/>
        </w:rPr>
        <w:t>项</w:t>
      </w:r>
      <w:r>
        <w:rPr>
          <w:rFonts w:ascii="Times New Roman" w:hAnsi="Times New Roman" w:eastAsia="仿宋_GB2312" w:cs="Times New Roman"/>
          <w:color w:val="000000" w:themeColor="text1"/>
        </w:rPr>
        <w:t>目占地面积</w:t>
      </w:r>
      <w:r>
        <w:rPr>
          <w:rFonts w:hint="eastAsia" w:ascii="Times New Roman" w:hAnsi="Times New Roman" w:cs="Times New Roman"/>
          <w:color w:val="000000" w:themeColor="text1"/>
          <w:lang w:val="en-US" w:eastAsia="zh-CN"/>
        </w:rPr>
        <w:t>1.51hm</w:t>
      </w:r>
      <w:r>
        <w:rPr>
          <w:rFonts w:hint="eastAsia" w:ascii="Times New Roman" w:hAnsi="Times New Roman" w:cs="Times New Roman"/>
          <w:color w:val="000000" w:themeColor="text1"/>
          <w:vertAlign w:val="superscript"/>
          <w:lang w:val="en-US" w:eastAsia="zh-CN"/>
        </w:rPr>
        <w:t>2</w:t>
      </w:r>
      <w:r>
        <w:rPr>
          <w:rFonts w:hint="eastAsia" w:ascii="Times New Roman" w:hAnsi="Times New Roman" w:cs="Times New Roman"/>
          <w:color w:val="000000" w:themeColor="text1"/>
          <w:lang w:val="en-US" w:eastAsia="zh-CN"/>
        </w:rPr>
        <w:t>（15125.00</w:t>
      </w:r>
      <w:r>
        <w:rPr>
          <w:rFonts w:ascii="Times New Roman" w:hAnsi="Times New Roman" w:eastAsia="仿宋_GB2312" w:cs="Times New Roman"/>
          <w:color w:val="000000" w:themeColor="text1"/>
        </w:rPr>
        <w:t>m</w:t>
      </w:r>
      <w:r>
        <w:rPr>
          <w:rFonts w:ascii="Times New Roman" w:hAnsi="Times New Roman" w:eastAsia="仿宋_GB2312" w:cs="Times New Roman"/>
          <w:color w:val="000000" w:themeColor="text1"/>
          <w:vertAlign w:val="superscript"/>
        </w:rPr>
        <w:t>2</w:t>
      </w:r>
      <w:r>
        <w:rPr>
          <w:rFonts w:hint="eastAsia" w:ascii="Times New Roman" w:hAnsi="Times New Roman" w:cs="Times New Roman"/>
          <w:color w:val="000000" w:themeColor="text1"/>
          <w:lang w:val="en-US" w:eastAsia="zh-CN"/>
        </w:rPr>
        <w:t>）</w:t>
      </w:r>
      <w:r>
        <w:rPr>
          <w:rFonts w:ascii="Times New Roman" w:hAnsi="Times New Roman" w:eastAsia="仿宋_GB2312" w:cs="Times New Roman"/>
          <w:color w:val="000000" w:themeColor="text1"/>
        </w:rPr>
        <w:t>，按0.7元/m</w:t>
      </w:r>
      <w:r>
        <w:rPr>
          <w:rFonts w:ascii="Times New Roman" w:hAnsi="Times New Roman" w:eastAsia="仿宋_GB2312" w:cs="Times New Roman"/>
          <w:color w:val="000000" w:themeColor="text1"/>
          <w:vertAlign w:val="superscript"/>
        </w:rPr>
        <w:t>2</w:t>
      </w:r>
      <w:r>
        <w:rPr>
          <w:rFonts w:ascii="Times New Roman" w:hAnsi="Times New Roman" w:eastAsia="仿宋_GB2312" w:cs="Times New Roman"/>
          <w:color w:val="000000" w:themeColor="text1"/>
        </w:rPr>
        <w:t>计，则计列水土保持补偿费</w:t>
      </w:r>
      <w:r>
        <w:rPr>
          <w:rFonts w:hint="eastAsia" w:ascii="Times New Roman" w:hAnsi="Times New Roman" w:cs="Times New Roman"/>
          <w:color w:val="000000" w:themeColor="text1"/>
          <w:lang w:val="en-US" w:eastAsia="zh-CN"/>
        </w:rPr>
        <w:t>10587.50</w:t>
      </w:r>
      <w:r>
        <w:rPr>
          <w:rFonts w:ascii="Times New Roman" w:hAnsi="Times New Roman" w:eastAsia="仿宋_GB2312" w:cs="Times New Roman"/>
          <w:color w:val="000000" w:themeColor="text1"/>
        </w:rPr>
        <w:t>元</w:t>
      </w:r>
      <w:r>
        <w:rPr>
          <w:rFonts w:hint="eastAsia" w:ascii="Times New Roman" w:hAnsi="Times New Roman" w:eastAsia="仿宋_GB2312" w:cs="Times New Roman"/>
          <w:color w:val="000000" w:themeColor="text1"/>
        </w:rPr>
        <w:t>（合计</w:t>
      </w:r>
      <w:r>
        <w:rPr>
          <w:rFonts w:hint="eastAsia" w:ascii="Times New Roman" w:hAnsi="Times New Roman" w:cs="Times New Roman"/>
          <w:color w:val="000000" w:themeColor="text1"/>
          <w:lang w:val="en-US" w:eastAsia="zh-CN"/>
        </w:rPr>
        <w:t>1.06</w:t>
      </w:r>
      <w:r>
        <w:rPr>
          <w:rFonts w:hint="eastAsia" w:ascii="Times New Roman" w:hAnsi="Times New Roman" w:eastAsia="仿宋_GB2312" w:cs="Times New Roman"/>
          <w:color w:val="000000" w:themeColor="text1"/>
        </w:rPr>
        <w:t>万元）</w:t>
      </w:r>
      <w:r>
        <w:rPr>
          <w:rFonts w:ascii="Times New Roman" w:hAnsi="Times New Roman" w:eastAsia="仿宋_GB2312" w:cs="Times New Roman"/>
          <w:color w:val="000000" w:themeColor="text1"/>
        </w:rPr>
        <w:t>。</w:t>
      </w:r>
    </w:p>
    <w:p w14:paraId="559FE50A">
      <w:pPr>
        <w:ind w:firstLine="480"/>
        <w:rPr>
          <w:rFonts w:hint="default" w:ascii="Times New Roman" w:hAnsi="Times New Roman" w:cs="Times New Roman"/>
        </w:rPr>
      </w:pPr>
      <w:r>
        <w:rPr>
          <w:rFonts w:hint="default" w:ascii="Times New Roman" w:hAnsi="Times New Roman" w:cs="Times New Roman"/>
        </w:rPr>
        <w:t>（6）预备费</w:t>
      </w:r>
    </w:p>
    <w:p w14:paraId="52E10998">
      <w:pPr>
        <w:ind w:firstLine="480"/>
        <w:rPr>
          <w:rFonts w:hint="default" w:ascii="Times New Roman" w:hAnsi="Times New Roman" w:cs="Times New Roman"/>
        </w:rPr>
      </w:pPr>
      <w:r>
        <w:rPr>
          <w:rFonts w:hint="default" w:ascii="Times New Roman" w:hAnsi="Times New Roman" w:cs="Times New Roman"/>
        </w:rPr>
        <w:t>预备费包含基本预备费和价差预备费两部分。基本预备费按工程措施、植物措施、施工临时工程措施、独立费用之和的6%计算。根据国家相关规定，价差预备费暂不计列。</w:t>
      </w:r>
    </w:p>
    <w:p w14:paraId="1EEAA486">
      <w:pPr>
        <w:pStyle w:val="5"/>
        <w:rPr>
          <w:rFonts w:hint="default" w:ascii="Times New Roman" w:hAnsi="Times New Roman" w:cs="Times New Roman"/>
        </w:rPr>
      </w:pPr>
      <w:r>
        <w:rPr>
          <w:rFonts w:hint="default" w:ascii="Times New Roman" w:hAnsi="Times New Roman" w:cs="Times New Roman"/>
        </w:rPr>
        <w:t>工程单价及取费标准</w:t>
      </w:r>
    </w:p>
    <w:p w14:paraId="2EF1844D">
      <w:pPr>
        <w:ind w:firstLine="480"/>
        <w:rPr>
          <w:rFonts w:hint="default" w:ascii="Times New Roman" w:hAnsi="Times New Roman" w:cs="Times New Roman"/>
        </w:rPr>
      </w:pPr>
      <w:r>
        <w:rPr>
          <w:rFonts w:hint="default" w:ascii="Times New Roman" w:hAnsi="Times New Roman" w:cs="Times New Roman"/>
        </w:rPr>
        <w:t>（1）工程单价</w:t>
      </w:r>
    </w:p>
    <w:p w14:paraId="796EB095">
      <w:pPr>
        <w:ind w:firstLine="480"/>
        <w:rPr>
          <w:rFonts w:hint="default" w:ascii="Times New Roman" w:hAnsi="Times New Roman" w:cs="Times New Roman"/>
        </w:rPr>
      </w:pPr>
      <w:r>
        <w:rPr>
          <w:rFonts w:hint="default" w:ascii="Times New Roman" w:hAnsi="Times New Roman" w:cs="Times New Roman"/>
        </w:rPr>
        <w:t>按常规施工方法及有关定额进行计算，工程单价由直接工程费、间接费、利润和税金组成，其中直接工程费分为基本直接费和其他直接费。</w:t>
      </w:r>
    </w:p>
    <w:p w14:paraId="502521AF">
      <w:pPr>
        <w:ind w:firstLine="480"/>
        <w:rPr>
          <w:rFonts w:hint="default" w:ascii="Times New Roman" w:hAnsi="Times New Roman" w:cs="Times New Roman"/>
        </w:rPr>
      </w:pPr>
      <w:r>
        <w:rPr>
          <w:rFonts w:hint="default" w:ascii="Times New Roman" w:hAnsi="Times New Roman" w:cs="Times New Roman"/>
        </w:rPr>
        <w:t>（2）取费标准</w:t>
      </w:r>
    </w:p>
    <w:p w14:paraId="717CF94E">
      <w:pPr>
        <w:ind w:firstLine="480"/>
        <w:rPr>
          <w:rFonts w:hint="default" w:ascii="Times New Roman" w:hAnsi="Times New Roman" w:cs="Times New Roman"/>
        </w:rPr>
      </w:pPr>
      <w:r>
        <w:rPr>
          <w:rFonts w:hint="default" w:ascii="Times New Roman" w:hAnsi="Times New Roman" w:cs="Times New Roman"/>
        </w:rPr>
        <w:t>①工程单价依据主体工程取费标准；</w:t>
      </w:r>
    </w:p>
    <w:p w14:paraId="57FEB8FC">
      <w:pPr>
        <w:ind w:firstLine="480"/>
        <w:rPr>
          <w:rFonts w:hint="default" w:ascii="Times New Roman" w:hAnsi="Times New Roman" w:cs="Times New Roman"/>
        </w:rPr>
      </w:pPr>
      <w:r>
        <w:rPr>
          <w:rFonts w:hint="default" w:ascii="Times New Roman" w:hAnsi="Times New Roman" w:cs="Times New Roman"/>
        </w:rPr>
        <w:t>②植物措施按水利部67号文《水土保持工程概（估）算编制规定和定额》的规定进行计算，具体标准为：</w:t>
      </w:r>
    </w:p>
    <w:p w14:paraId="14623D9F">
      <w:pPr>
        <w:ind w:firstLine="480"/>
        <w:rPr>
          <w:rFonts w:hint="default" w:ascii="Times New Roman" w:hAnsi="Times New Roman" w:cs="Times New Roman"/>
        </w:rPr>
      </w:pPr>
      <w:r>
        <w:rPr>
          <w:rFonts w:hint="default" w:ascii="Times New Roman" w:hAnsi="Times New Roman" w:cs="Times New Roman"/>
        </w:rPr>
        <w:t>其它直接费：工程措施按直接费的2.0%计，植物措施按直接费的1.0%计；</w:t>
      </w:r>
    </w:p>
    <w:p w14:paraId="50B049DE">
      <w:pPr>
        <w:ind w:firstLine="480"/>
        <w:rPr>
          <w:rFonts w:hint="default" w:ascii="Times New Roman" w:hAnsi="Times New Roman" w:cs="Times New Roman"/>
        </w:rPr>
      </w:pPr>
      <w:r>
        <w:rPr>
          <w:rFonts w:hint="default" w:ascii="Times New Roman" w:hAnsi="Times New Roman" w:cs="Times New Roman"/>
        </w:rPr>
        <w:t>现场经费：工程措施按直接费的5.0%计，植物措施按直接费的4.0%计；</w:t>
      </w:r>
    </w:p>
    <w:p w14:paraId="4190AA1E">
      <w:pPr>
        <w:ind w:firstLine="480"/>
        <w:rPr>
          <w:rFonts w:hint="default" w:ascii="Times New Roman" w:hAnsi="Times New Roman" w:cs="Times New Roman"/>
        </w:rPr>
      </w:pPr>
      <w:r>
        <w:rPr>
          <w:rFonts w:hint="default" w:ascii="Times New Roman" w:hAnsi="Times New Roman" w:cs="Times New Roman"/>
        </w:rPr>
        <w:t>间接费：土石方工程按直接费的5.5%计，其他工程按直接费的4.4%计，植物措施按直接费的3.3%计；</w:t>
      </w:r>
    </w:p>
    <w:p w14:paraId="7899F49F">
      <w:pPr>
        <w:ind w:firstLine="480"/>
        <w:rPr>
          <w:rFonts w:hint="default" w:ascii="Times New Roman" w:hAnsi="Times New Roman" w:cs="Times New Roman"/>
        </w:rPr>
      </w:pPr>
      <w:r>
        <w:rPr>
          <w:rFonts w:hint="default" w:ascii="Times New Roman" w:hAnsi="Times New Roman" w:cs="Times New Roman"/>
        </w:rPr>
        <w:t>利润：工程措施按直接费的7.0%计，植物措施按直接费的5.0%计；</w:t>
      </w:r>
    </w:p>
    <w:p w14:paraId="26FBCFCD">
      <w:pPr>
        <w:ind w:firstLine="480"/>
        <w:rPr>
          <w:rFonts w:hint="default" w:ascii="Times New Roman" w:hAnsi="Times New Roman" w:cs="Times New Roman"/>
        </w:rPr>
      </w:pPr>
      <w:r>
        <w:rPr>
          <w:rFonts w:hint="default" w:ascii="Times New Roman" w:hAnsi="Times New Roman" w:cs="Times New Roman"/>
        </w:rPr>
        <w:t>税金：按《云南省水利厅云南省发展和改革委员会关于调整云南省水利工程计价依据有关税率及系数的通知》（云水规计〔2019〕46号）规定，按直接工程费、间接费和利润之和的9%；</w:t>
      </w:r>
    </w:p>
    <w:p w14:paraId="1B325428">
      <w:pPr>
        <w:ind w:firstLine="480"/>
        <w:rPr>
          <w:rFonts w:hint="default" w:ascii="Times New Roman" w:hAnsi="Times New Roman" w:cs="Times New Roman"/>
        </w:rPr>
      </w:pPr>
      <w:r>
        <w:rPr>
          <w:rFonts w:hint="default" w:ascii="Times New Roman" w:hAnsi="Times New Roman" w:cs="Times New Roman"/>
        </w:rPr>
        <w:t>估算扩大系数取10%。</w:t>
      </w:r>
    </w:p>
    <w:p w14:paraId="14B0CAE5">
      <w:pPr>
        <w:pStyle w:val="83"/>
        <w:pageBreakBefore/>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表7-7                                 基本费率表</w:t>
      </w:r>
    </w:p>
    <w:tbl>
      <w:tblPr>
        <w:tblStyle w:val="27"/>
        <w:tblW w:w="93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21"/>
        <w:gridCol w:w="1832"/>
        <w:gridCol w:w="3923"/>
        <w:gridCol w:w="1408"/>
      </w:tblGrid>
      <w:tr w14:paraId="01F31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2221" w:type="dxa"/>
            <w:vAlign w:val="center"/>
          </w:tcPr>
          <w:p w14:paraId="37654A4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832" w:type="dxa"/>
            <w:vAlign w:val="center"/>
          </w:tcPr>
          <w:p w14:paraId="522FEB8A">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措施</w:t>
            </w:r>
          </w:p>
        </w:tc>
        <w:tc>
          <w:tcPr>
            <w:tcW w:w="3923" w:type="dxa"/>
            <w:vAlign w:val="center"/>
          </w:tcPr>
          <w:p w14:paraId="61712D6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计算基础</w:t>
            </w:r>
          </w:p>
        </w:tc>
        <w:tc>
          <w:tcPr>
            <w:tcW w:w="1408" w:type="dxa"/>
            <w:vAlign w:val="center"/>
          </w:tcPr>
          <w:p w14:paraId="0A13A52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费率（％）</w:t>
            </w:r>
          </w:p>
        </w:tc>
      </w:tr>
      <w:tr w14:paraId="41707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restart"/>
            <w:vAlign w:val="center"/>
          </w:tcPr>
          <w:p w14:paraId="0CD3BF3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其他直接费费率</w:t>
            </w:r>
          </w:p>
        </w:tc>
        <w:tc>
          <w:tcPr>
            <w:tcW w:w="1832" w:type="dxa"/>
            <w:vAlign w:val="center"/>
          </w:tcPr>
          <w:p w14:paraId="25ED2E8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工程措施</w:t>
            </w:r>
          </w:p>
        </w:tc>
        <w:tc>
          <w:tcPr>
            <w:tcW w:w="3923" w:type="dxa"/>
            <w:vAlign w:val="center"/>
          </w:tcPr>
          <w:p w14:paraId="13FE4C28">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直接费</w:t>
            </w:r>
          </w:p>
        </w:tc>
        <w:tc>
          <w:tcPr>
            <w:tcW w:w="1408" w:type="dxa"/>
            <w:vAlign w:val="center"/>
          </w:tcPr>
          <w:p w14:paraId="23BC3B00">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r>
      <w:tr w14:paraId="2642C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vAlign w:val="center"/>
          </w:tcPr>
          <w:p w14:paraId="6E6117C1">
            <w:pPr>
              <w:spacing w:line="240" w:lineRule="auto"/>
              <w:ind w:firstLine="0" w:firstLineChars="0"/>
              <w:jc w:val="center"/>
              <w:rPr>
                <w:rFonts w:hint="default" w:ascii="Times New Roman" w:hAnsi="Times New Roman" w:cs="Times New Roman"/>
                <w:sz w:val="21"/>
                <w:szCs w:val="21"/>
              </w:rPr>
            </w:pPr>
          </w:p>
        </w:tc>
        <w:tc>
          <w:tcPr>
            <w:tcW w:w="1832" w:type="dxa"/>
            <w:vAlign w:val="center"/>
          </w:tcPr>
          <w:p w14:paraId="4EA2F776">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林草措施</w:t>
            </w:r>
          </w:p>
        </w:tc>
        <w:tc>
          <w:tcPr>
            <w:tcW w:w="3923" w:type="dxa"/>
            <w:vAlign w:val="center"/>
          </w:tcPr>
          <w:p w14:paraId="089025E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直接费</w:t>
            </w:r>
          </w:p>
        </w:tc>
        <w:tc>
          <w:tcPr>
            <w:tcW w:w="1408" w:type="dxa"/>
            <w:vAlign w:val="center"/>
          </w:tcPr>
          <w:p w14:paraId="698C6B8A">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r>
      <w:tr w14:paraId="6EDCAD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restart"/>
            <w:vAlign w:val="center"/>
          </w:tcPr>
          <w:p w14:paraId="6173DC30">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现场经费</w:t>
            </w:r>
          </w:p>
        </w:tc>
        <w:tc>
          <w:tcPr>
            <w:tcW w:w="1832" w:type="dxa"/>
            <w:vAlign w:val="center"/>
          </w:tcPr>
          <w:p w14:paraId="437FC49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土石方工程</w:t>
            </w:r>
          </w:p>
        </w:tc>
        <w:tc>
          <w:tcPr>
            <w:tcW w:w="3923" w:type="dxa"/>
            <w:vAlign w:val="center"/>
          </w:tcPr>
          <w:p w14:paraId="0A3F652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直接费</w:t>
            </w:r>
          </w:p>
        </w:tc>
        <w:tc>
          <w:tcPr>
            <w:tcW w:w="1408" w:type="dxa"/>
            <w:vAlign w:val="center"/>
          </w:tcPr>
          <w:p w14:paraId="75C424E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63562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vAlign w:val="center"/>
          </w:tcPr>
          <w:p w14:paraId="3D49D7EE">
            <w:pPr>
              <w:spacing w:line="240" w:lineRule="auto"/>
              <w:ind w:firstLine="0" w:firstLineChars="0"/>
              <w:jc w:val="center"/>
              <w:rPr>
                <w:rFonts w:hint="default" w:ascii="Times New Roman" w:hAnsi="Times New Roman" w:cs="Times New Roman"/>
                <w:sz w:val="21"/>
                <w:szCs w:val="21"/>
              </w:rPr>
            </w:pPr>
          </w:p>
        </w:tc>
        <w:tc>
          <w:tcPr>
            <w:tcW w:w="1832" w:type="dxa"/>
            <w:vAlign w:val="center"/>
          </w:tcPr>
          <w:p w14:paraId="333D665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其他工程</w:t>
            </w:r>
          </w:p>
        </w:tc>
        <w:tc>
          <w:tcPr>
            <w:tcW w:w="3923" w:type="dxa"/>
            <w:vAlign w:val="center"/>
          </w:tcPr>
          <w:p w14:paraId="0806D30E">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直接费</w:t>
            </w:r>
          </w:p>
        </w:tc>
        <w:tc>
          <w:tcPr>
            <w:tcW w:w="1408" w:type="dxa"/>
            <w:vAlign w:val="center"/>
          </w:tcPr>
          <w:p w14:paraId="5F9C563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5AFB82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vAlign w:val="center"/>
          </w:tcPr>
          <w:p w14:paraId="1C72A1C1">
            <w:pPr>
              <w:spacing w:line="240" w:lineRule="auto"/>
              <w:ind w:firstLine="0" w:firstLineChars="0"/>
              <w:jc w:val="center"/>
              <w:rPr>
                <w:rFonts w:hint="default" w:ascii="Times New Roman" w:hAnsi="Times New Roman" w:cs="Times New Roman"/>
                <w:sz w:val="21"/>
                <w:szCs w:val="21"/>
              </w:rPr>
            </w:pPr>
          </w:p>
        </w:tc>
        <w:tc>
          <w:tcPr>
            <w:tcW w:w="1832" w:type="dxa"/>
            <w:vAlign w:val="center"/>
          </w:tcPr>
          <w:p w14:paraId="033F5AC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植物措施</w:t>
            </w:r>
          </w:p>
        </w:tc>
        <w:tc>
          <w:tcPr>
            <w:tcW w:w="3923" w:type="dxa"/>
            <w:vAlign w:val="center"/>
          </w:tcPr>
          <w:p w14:paraId="7E7A2E8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直接费</w:t>
            </w:r>
          </w:p>
        </w:tc>
        <w:tc>
          <w:tcPr>
            <w:tcW w:w="1408" w:type="dxa"/>
            <w:vAlign w:val="center"/>
          </w:tcPr>
          <w:p w14:paraId="3AF426F8">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r>
      <w:tr w14:paraId="675A1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restart"/>
            <w:shd w:val="clear" w:color="auto" w:fill="auto"/>
            <w:vAlign w:val="center"/>
          </w:tcPr>
          <w:p w14:paraId="15D1E9B3">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间接费费率</w:t>
            </w:r>
          </w:p>
        </w:tc>
        <w:tc>
          <w:tcPr>
            <w:tcW w:w="1832" w:type="dxa"/>
            <w:shd w:val="clear" w:color="auto" w:fill="auto"/>
            <w:vAlign w:val="center"/>
          </w:tcPr>
          <w:p w14:paraId="4A73FF38">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土石方工程</w:t>
            </w:r>
          </w:p>
        </w:tc>
        <w:tc>
          <w:tcPr>
            <w:tcW w:w="3923" w:type="dxa"/>
            <w:shd w:val="clear" w:color="auto" w:fill="auto"/>
            <w:vAlign w:val="center"/>
          </w:tcPr>
          <w:p w14:paraId="1CB48398">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w:t>
            </w:r>
          </w:p>
        </w:tc>
        <w:tc>
          <w:tcPr>
            <w:tcW w:w="1408" w:type="dxa"/>
            <w:shd w:val="clear" w:color="auto" w:fill="auto"/>
            <w:vAlign w:val="center"/>
          </w:tcPr>
          <w:p w14:paraId="335E1F6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5.5</w:t>
            </w:r>
          </w:p>
        </w:tc>
      </w:tr>
      <w:tr w14:paraId="1AC05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shd w:val="clear" w:color="auto" w:fill="auto"/>
            <w:vAlign w:val="center"/>
          </w:tcPr>
          <w:p w14:paraId="6AB23DC4">
            <w:pPr>
              <w:spacing w:line="240" w:lineRule="auto"/>
              <w:ind w:firstLine="0" w:firstLineChars="0"/>
              <w:jc w:val="center"/>
              <w:rPr>
                <w:rFonts w:hint="default" w:ascii="Times New Roman" w:hAnsi="Times New Roman" w:cs="Times New Roman"/>
                <w:sz w:val="21"/>
                <w:szCs w:val="21"/>
              </w:rPr>
            </w:pPr>
          </w:p>
        </w:tc>
        <w:tc>
          <w:tcPr>
            <w:tcW w:w="1832" w:type="dxa"/>
            <w:shd w:val="clear" w:color="auto" w:fill="auto"/>
            <w:vAlign w:val="center"/>
          </w:tcPr>
          <w:p w14:paraId="79652B2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混凝土工程</w:t>
            </w:r>
          </w:p>
        </w:tc>
        <w:tc>
          <w:tcPr>
            <w:tcW w:w="3923" w:type="dxa"/>
            <w:shd w:val="clear" w:color="auto" w:fill="auto"/>
            <w:vAlign w:val="center"/>
          </w:tcPr>
          <w:p w14:paraId="20B0CBE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w:t>
            </w:r>
          </w:p>
        </w:tc>
        <w:tc>
          <w:tcPr>
            <w:tcW w:w="1408" w:type="dxa"/>
            <w:shd w:val="clear" w:color="auto" w:fill="auto"/>
            <w:vAlign w:val="center"/>
          </w:tcPr>
          <w:p w14:paraId="753E51E2">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4.4</w:t>
            </w:r>
          </w:p>
        </w:tc>
      </w:tr>
      <w:tr w14:paraId="73892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shd w:val="clear" w:color="auto" w:fill="auto"/>
            <w:vAlign w:val="center"/>
          </w:tcPr>
          <w:p w14:paraId="1F3318A1">
            <w:pPr>
              <w:spacing w:line="240" w:lineRule="auto"/>
              <w:ind w:firstLine="0" w:firstLineChars="0"/>
              <w:jc w:val="center"/>
              <w:rPr>
                <w:rFonts w:hint="default" w:ascii="Times New Roman" w:hAnsi="Times New Roman" w:cs="Times New Roman"/>
                <w:sz w:val="21"/>
                <w:szCs w:val="21"/>
              </w:rPr>
            </w:pPr>
          </w:p>
        </w:tc>
        <w:tc>
          <w:tcPr>
            <w:tcW w:w="1832" w:type="dxa"/>
            <w:shd w:val="clear" w:color="auto" w:fill="auto"/>
            <w:vAlign w:val="center"/>
          </w:tcPr>
          <w:p w14:paraId="7AE47E0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其他工程</w:t>
            </w:r>
          </w:p>
        </w:tc>
        <w:tc>
          <w:tcPr>
            <w:tcW w:w="3923" w:type="dxa"/>
            <w:shd w:val="clear" w:color="auto" w:fill="auto"/>
            <w:vAlign w:val="center"/>
          </w:tcPr>
          <w:p w14:paraId="195BC5F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w:t>
            </w:r>
          </w:p>
        </w:tc>
        <w:tc>
          <w:tcPr>
            <w:tcW w:w="1408" w:type="dxa"/>
            <w:shd w:val="clear" w:color="auto" w:fill="auto"/>
            <w:vAlign w:val="center"/>
          </w:tcPr>
          <w:p w14:paraId="7C1BB40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4.4</w:t>
            </w:r>
          </w:p>
        </w:tc>
      </w:tr>
      <w:tr w14:paraId="543C5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shd w:val="clear" w:color="auto" w:fill="auto"/>
            <w:vAlign w:val="center"/>
          </w:tcPr>
          <w:p w14:paraId="14F0D551">
            <w:pPr>
              <w:spacing w:line="240" w:lineRule="auto"/>
              <w:ind w:firstLine="0" w:firstLineChars="0"/>
              <w:jc w:val="center"/>
              <w:rPr>
                <w:rFonts w:hint="default" w:ascii="Times New Roman" w:hAnsi="Times New Roman" w:cs="Times New Roman"/>
                <w:sz w:val="21"/>
                <w:szCs w:val="21"/>
              </w:rPr>
            </w:pPr>
          </w:p>
        </w:tc>
        <w:tc>
          <w:tcPr>
            <w:tcW w:w="1832" w:type="dxa"/>
            <w:shd w:val="clear" w:color="auto" w:fill="auto"/>
            <w:vAlign w:val="center"/>
          </w:tcPr>
          <w:p w14:paraId="485AD0E7">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植物措施</w:t>
            </w:r>
          </w:p>
        </w:tc>
        <w:tc>
          <w:tcPr>
            <w:tcW w:w="3923" w:type="dxa"/>
            <w:shd w:val="clear" w:color="auto" w:fill="auto"/>
            <w:vAlign w:val="center"/>
          </w:tcPr>
          <w:p w14:paraId="758F6CB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w:t>
            </w:r>
          </w:p>
        </w:tc>
        <w:tc>
          <w:tcPr>
            <w:tcW w:w="1408" w:type="dxa"/>
            <w:shd w:val="clear" w:color="auto" w:fill="auto"/>
            <w:vAlign w:val="center"/>
          </w:tcPr>
          <w:p w14:paraId="6D9AC353">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3.3</w:t>
            </w:r>
          </w:p>
        </w:tc>
      </w:tr>
      <w:tr w14:paraId="2898A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restart"/>
            <w:vAlign w:val="center"/>
          </w:tcPr>
          <w:p w14:paraId="17B132A8">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企业利润费率</w:t>
            </w:r>
          </w:p>
        </w:tc>
        <w:tc>
          <w:tcPr>
            <w:tcW w:w="1832" w:type="dxa"/>
            <w:vAlign w:val="center"/>
          </w:tcPr>
          <w:p w14:paraId="3FA2854E">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工程措施</w:t>
            </w:r>
          </w:p>
        </w:tc>
        <w:tc>
          <w:tcPr>
            <w:tcW w:w="3923" w:type="dxa"/>
            <w:vAlign w:val="center"/>
          </w:tcPr>
          <w:p w14:paraId="4E6C2CD4">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直接工程费＋间接费</w:t>
            </w:r>
          </w:p>
        </w:tc>
        <w:tc>
          <w:tcPr>
            <w:tcW w:w="1408" w:type="dxa"/>
            <w:vAlign w:val="center"/>
          </w:tcPr>
          <w:p w14:paraId="3583229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w:t>
            </w:r>
          </w:p>
        </w:tc>
      </w:tr>
      <w:tr w14:paraId="060CE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vAlign w:val="center"/>
          </w:tcPr>
          <w:p w14:paraId="11333DF3">
            <w:pPr>
              <w:spacing w:line="240" w:lineRule="auto"/>
              <w:ind w:firstLine="0" w:firstLineChars="0"/>
              <w:jc w:val="center"/>
              <w:rPr>
                <w:rFonts w:hint="default" w:ascii="Times New Roman" w:hAnsi="Times New Roman" w:cs="Times New Roman"/>
                <w:sz w:val="21"/>
                <w:szCs w:val="21"/>
              </w:rPr>
            </w:pPr>
          </w:p>
        </w:tc>
        <w:tc>
          <w:tcPr>
            <w:tcW w:w="1832" w:type="dxa"/>
            <w:vAlign w:val="center"/>
          </w:tcPr>
          <w:p w14:paraId="6E34CC18">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林草措施</w:t>
            </w:r>
          </w:p>
        </w:tc>
        <w:tc>
          <w:tcPr>
            <w:tcW w:w="3923" w:type="dxa"/>
            <w:vAlign w:val="center"/>
          </w:tcPr>
          <w:p w14:paraId="78B98F03">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直接工程费＋间接费</w:t>
            </w:r>
          </w:p>
        </w:tc>
        <w:tc>
          <w:tcPr>
            <w:tcW w:w="1408" w:type="dxa"/>
            <w:vAlign w:val="center"/>
          </w:tcPr>
          <w:p w14:paraId="62C767BF">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4317AC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restart"/>
            <w:vAlign w:val="center"/>
          </w:tcPr>
          <w:p w14:paraId="7552188B">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税金</w:t>
            </w:r>
          </w:p>
        </w:tc>
        <w:tc>
          <w:tcPr>
            <w:tcW w:w="1832" w:type="dxa"/>
            <w:vAlign w:val="center"/>
          </w:tcPr>
          <w:p w14:paraId="2B037305">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工程措施</w:t>
            </w:r>
          </w:p>
        </w:tc>
        <w:tc>
          <w:tcPr>
            <w:tcW w:w="3923" w:type="dxa"/>
            <w:vAlign w:val="center"/>
          </w:tcPr>
          <w:p w14:paraId="1EC2FA8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直接工程费＋间接费＋企业利润</w:t>
            </w:r>
          </w:p>
        </w:tc>
        <w:tc>
          <w:tcPr>
            <w:tcW w:w="1408" w:type="dxa"/>
            <w:vAlign w:val="center"/>
          </w:tcPr>
          <w:p w14:paraId="622DBE82">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w:t>
            </w:r>
          </w:p>
        </w:tc>
      </w:tr>
      <w:tr w14:paraId="5B58AB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221" w:type="dxa"/>
            <w:vMerge w:val="continue"/>
            <w:vAlign w:val="center"/>
          </w:tcPr>
          <w:p w14:paraId="77AF39AB">
            <w:pPr>
              <w:spacing w:line="240" w:lineRule="auto"/>
              <w:ind w:firstLine="0" w:firstLineChars="0"/>
              <w:jc w:val="center"/>
              <w:rPr>
                <w:rFonts w:hint="default" w:ascii="Times New Roman" w:hAnsi="Times New Roman" w:cs="Times New Roman"/>
                <w:sz w:val="21"/>
                <w:szCs w:val="21"/>
              </w:rPr>
            </w:pPr>
          </w:p>
        </w:tc>
        <w:tc>
          <w:tcPr>
            <w:tcW w:w="1832" w:type="dxa"/>
            <w:vAlign w:val="center"/>
          </w:tcPr>
          <w:p w14:paraId="3541AEA1">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林草措施</w:t>
            </w:r>
          </w:p>
        </w:tc>
        <w:tc>
          <w:tcPr>
            <w:tcW w:w="3923" w:type="dxa"/>
            <w:vAlign w:val="center"/>
          </w:tcPr>
          <w:p w14:paraId="65F5C4FC">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直接工程费＋间接费＋企业利润</w:t>
            </w:r>
          </w:p>
        </w:tc>
        <w:tc>
          <w:tcPr>
            <w:tcW w:w="1408" w:type="dxa"/>
            <w:vAlign w:val="center"/>
          </w:tcPr>
          <w:p w14:paraId="60838C39">
            <w:pPr>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w:t>
            </w:r>
          </w:p>
        </w:tc>
      </w:tr>
    </w:tbl>
    <w:p w14:paraId="0A570360">
      <w:pPr>
        <w:pStyle w:val="5"/>
        <w:rPr>
          <w:rFonts w:hint="default" w:ascii="Times New Roman" w:hAnsi="Times New Roman" w:cs="Times New Roman"/>
        </w:rPr>
      </w:pPr>
      <w:r>
        <w:rPr>
          <w:rFonts w:hint="eastAsia" w:ascii="Times New Roman" w:hAnsi="Times New Roman" w:cs="Times New Roman"/>
          <w:lang w:eastAsia="zh-CN"/>
        </w:rPr>
        <w:t>概算</w:t>
      </w:r>
      <w:r>
        <w:rPr>
          <w:rFonts w:hint="default" w:ascii="Times New Roman" w:hAnsi="Times New Roman" w:cs="Times New Roman"/>
        </w:rPr>
        <w:t>成果</w:t>
      </w:r>
    </w:p>
    <w:p w14:paraId="6CA793E2">
      <w:pPr>
        <w:ind w:firstLine="480"/>
        <w:rPr>
          <w:rFonts w:hint="default" w:ascii="Times New Roman" w:hAnsi="Times New Roman" w:cs="Times New Roman"/>
          <w:highlight w:val="none"/>
        </w:rPr>
      </w:pPr>
      <w:r>
        <w:rPr>
          <w:rFonts w:hint="default" w:ascii="Times New Roman" w:hAnsi="Times New Roman" w:cs="Times New Roman"/>
          <w:highlight w:val="none"/>
        </w:rPr>
        <w:t>本项目水土保持总投资</w:t>
      </w:r>
      <w:r>
        <w:rPr>
          <w:rFonts w:hint="eastAsia" w:cs="Times New Roman"/>
          <w:highlight w:val="none"/>
          <w:lang w:val="en-US" w:eastAsia="zh-CN"/>
        </w:rPr>
        <w:t>62.47</w:t>
      </w:r>
      <w:r>
        <w:rPr>
          <w:rFonts w:hint="default" w:ascii="Times New Roman" w:hAnsi="Times New Roman" w:cs="Times New Roman"/>
          <w:highlight w:val="none"/>
        </w:rPr>
        <w:t>万元（其中主体工程已考虑的水保投资</w:t>
      </w:r>
      <w:r>
        <w:rPr>
          <w:rFonts w:hint="eastAsia" w:cs="Times New Roman"/>
          <w:highlight w:val="none"/>
          <w:lang w:val="en-US" w:eastAsia="zh-CN"/>
        </w:rPr>
        <w:t>38.54</w:t>
      </w:r>
      <w:r>
        <w:rPr>
          <w:rFonts w:hint="default" w:ascii="Times New Roman" w:hAnsi="Times New Roman" w:cs="Times New Roman"/>
          <w:highlight w:val="none"/>
        </w:rPr>
        <w:t>万元，本方案新增水土保持投资</w:t>
      </w:r>
      <w:r>
        <w:rPr>
          <w:rFonts w:hint="eastAsia" w:cs="Times New Roman"/>
          <w:highlight w:val="none"/>
          <w:lang w:val="en-US" w:eastAsia="zh-CN"/>
        </w:rPr>
        <w:t>23.93</w:t>
      </w:r>
      <w:r>
        <w:rPr>
          <w:rFonts w:hint="default" w:ascii="Times New Roman" w:hAnsi="Times New Roman" w:cs="Times New Roman"/>
          <w:highlight w:val="none"/>
        </w:rPr>
        <w:t>万元）。水土保持总投资中工程措施</w:t>
      </w:r>
      <w:r>
        <w:rPr>
          <w:rFonts w:hint="eastAsia" w:cs="Times New Roman"/>
          <w:highlight w:val="none"/>
          <w:lang w:val="en-US" w:eastAsia="zh-CN"/>
        </w:rPr>
        <w:t>10.94</w:t>
      </w:r>
      <w:r>
        <w:rPr>
          <w:rFonts w:hint="default" w:ascii="Times New Roman" w:hAnsi="Times New Roman" w:cs="Times New Roman"/>
          <w:highlight w:val="none"/>
        </w:rPr>
        <w:t>万元，植物措施</w:t>
      </w:r>
      <w:r>
        <w:rPr>
          <w:rFonts w:hint="eastAsia" w:cs="Times New Roman"/>
          <w:highlight w:val="none"/>
          <w:lang w:val="en-US" w:eastAsia="zh-CN"/>
        </w:rPr>
        <w:t>27.60</w:t>
      </w:r>
      <w:r>
        <w:rPr>
          <w:rFonts w:hint="default" w:ascii="Times New Roman" w:hAnsi="Times New Roman" w:cs="Times New Roman"/>
          <w:highlight w:val="none"/>
        </w:rPr>
        <w:t>万元，临时措施</w:t>
      </w:r>
      <w:r>
        <w:rPr>
          <w:rFonts w:hint="eastAsia" w:cs="Times New Roman"/>
          <w:highlight w:val="none"/>
          <w:lang w:val="en-US" w:eastAsia="zh-CN"/>
        </w:rPr>
        <w:t>9.39</w:t>
      </w:r>
      <w:r>
        <w:rPr>
          <w:rFonts w:hint="default" w:ascii="Times New Roman" w:hAnsi="Times New Roman" w:cs="Times New Roman"/>
          <w:highlight w:val="none"/>
        </w:rPr>
        <w:t>万元，独立费用</w:t>
      </w:r>
      <w:r>
        <w:rPr>
          <w:rFonts w:hint="eastAsia" w:cs="Times New Roman"/>
          <w:highlight w:val="none"/>
          <w:lang w:val="en-US" w:eastAsia="zh-CN"/>
        </w:rPr>
        <w:t>12.19</w:t>
      </w:r>
      <w:r>
        <w:rPr>
          <w:rFonts w:hint="default" w:ascii="Times New Roman" w:hAnsi="Times New Roman" w:cs="Times New Roman"/>
          <w:highlight w:val="none"/>
        </w:rPr>
        <w:t>万元（其中建设管理费</w:t>
      </w:r>
      <w:r>
        <w:rPr>
          <w:rFonts w:hint="eastAsia" w:cs="Times New Roman"/>
          <w:highlight w:val="none"/>
          <w:lang w:val="en-US" w:eastAsia="zh-CN"/>
        </w:rPr>
        <w:t>0.19</w:t>
      </w:r>
      <w:r>
        <w:rPr>
          <w:rFonts w:hint="default" w:ascii="Times New Roman" w:hAnsi="Times New Roman" w:cs="Times New Roman"/>
          <w:highlight w:val="none"/>
        </w:rPr>
        <w:t>万元，工程建设监理费</w:t>
      </w:r>
      <w:r>
        <w:rPr>
          <w:rFonts w:hint="eastAsia" w:cs="Times New Roman"/>
          <w:highlight w:val="none"/>
          <w:lang w:val="en-US" w:eastAsia="zh-CN"/>
        </w:rPr>
        <w:t>4</w:t>
      </w:r>
      <w:r>
        <w:rPr>
          <w:rFonts w:hint="default" w:ascii="Times New Roman" w:hAnsi="Times New Roman" w:cs="Times New Roman"/>
          <w:highlight w:val="none"/>
        </w:rPr>
        <w:t>.00万元，水土保持监测费</w:t>
      </w:r>
      <w:r>
        <w:rPr>
          <w:rFonts w:hint="eastAsia" w:cs="Times New Roman"/>
          <w:highlight w:val="none"/>
          <w:lang w:val="en-US" w:eastAsia="zh-CN"/>
        </w:rPr>
        <w:t>2.00</w:t>
      </w:r>
      <w:r>
        <w:rPr>
          <w:rFonts w:hint="default" w:ascii="Times New Roman" w:hAnsi="Times New Roman" w:cs="Times New Roman"/>
          <w:highlight w:val="none"/>
        </w:rPr>
        <w:t>万元，科研勘测设计费</w:t>
      </w:r>
      <w:r>
        <w:rPr>
          <w:rFonts w:hint="eastAsia" w:cs="Times New Roman"/>
          <w:highlight w:val="none"/>
          <w:lang w:val="en-US" w:eastAsia="zh-CN"/>
        </w:rPr>
        <w:t>2</w:t>
      </w:r>
      <w:r>
        <w:rPr>
          <w:rFonts w:hint="default" w:ascii="Times New Roman" w:hAnsi="Times New Roman" w:cs="Times New Roman"/>
          <w:highlight w:val="none"/>
        </w:rPr>
        <w:t>.00万元，水土保持设施验收报告编制费</w:t>
      </w:r>
      <w:r>
        <w:rPr>
          <w:rFonts w:hint="eastAsia" w:cs="Times New Roman"/>
          <w:highlight w:val="none"/>
          <w:lang w:val="en-US" w:eastAsia="zh-CN"/>
        </w:rPr>
        <w:t>4</w:t>
      </w:r>
      <w:r>
        <w:rPr>
          <w:rFonts w:hint="default" w:ascii="Times New Roman" w:hAnsi="Times New Roman" w:cs="Times New Roman"/>
          <w:highlight w:val="none"/>
        </w:rPr>
        <w:t>.00万元）；基本预备费</w:t>
      </w:r>
      <w:r>
        <w:rPr>
          <w:rFonts w:hint="eastAsia" w:cs="Times New Roman"/>
          <w:highlight w:val="none"/>
          <w:lang w:val="en-US" w:eastAsia="zh-CN"/>
        </w:rPr>
        <w:t>1.29</w:t>
      </w:r>
      <w:r>
        <w:rPr>
          <w:rFonts w:hint="default" w:ascii="Times New Roman" w:hAnsi="Times New Roman" w:cs="Times New Roman"/>
          <w:highlight w:val="none"/>
        </w:rPr>
        <w:t>万元；水土保持补偿费</w:t>
      </w:r>
      <w:r>
        <w:rPr>
          <w:rFonts w:hint="eastAsia" w:cs="Times New Roman"/>
          <w:highlight w:val="none"/>
          <w:lang w:val="en-US" w:eastAsia="zh-CN"/>
        </w:rPr>
        <w:t>1.06</w:t>
      </w:r>
      <w:r>
        <w:rPr>
          <w:rFonts w:hint="default" w:ascii="Times New Roman" w:hAnsi="Times New Roman" w:cs="Times New Roman"/>
          <w:highlight w:val="none"/>
        </w:rPr>
        <w:t>万元。</w:t>
      </w:r>
    </w:p>
    <w:p w14:paraId="698DEBE4">
      <w:pPr>
        <w:ind w:firstLine="480"/>
        <w:rPr>
          <w:rFonts w:hint="default" w:ascii="Times New Roman" w:hAnsi="Times New Roman" w:cs="Times New Roman"/>
          <w:highlight w:val="none"/>
        </w:rPr>
      </w:pPr>
      <w:r>
        <w:rPr>
          <w:rFonts w:hint="default" w:ascii="Times New Roman" w:hAnsi="Times New Roman" w:cs="Times New Roman"/>
          <w:highlight w:val="none"/>
        </w:rPr>
        <w:t>水土保持投资汇总表和各部分投资概算见下表。</w:t>
      </w:r>
    </w:p>
    <w:p w14:paraId="69A6151B">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表7-8                           水土保持投资</w:t>
      </w:r>
      <w:r>
        <w:rPr>
          <w:rFonts w:hint="eastAsia" w:eastAsia="仿宋_GB2312" w:cs="Times New Roman"/>
          <w:b/>
          <w:bCs w:val="0"/>
          <w:lang w:eastAsia="zh-CN"/>
        </w:rPr>
        <w:t>概算</w:t>
      </w:r>
      <w:r>
        <w:rPr>
          <w:rFonts w:hint="default" w:ascii="Times New Roman" w:hAnsi="Times New Roman" w:eastAsia="仿宋_GB2312" w:cs="Times New Roman"/>
          <w:b/>
          <w:bCs w:val="0"/>
        </w:rPr>
        <w:t>总表              单位：万元</w:t>
      </w:r>
    </w:p>
    <w:tbl>
      <w:tblPr>
        <w:tblStyle w:val="27"/>
        <w:tblW w:w="93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264"/>
        <w:gridCol w:w="2109"/>
        <w:gridCol w:w="843"/>
        <w:gridCol w:w="843"/>
        <w:gridCol w:w="845"/>
        <w:gridCol w:w="843"/>
        <w:gridCol w:w="877"/>
        <w:gridCol w:w="877"/>
        <w:gridCol w:w="877"/>
      </w:tblGrid>
      <w:tr w14:paraId="0D448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tblHeader/>
          <w:jc w:val="center"/>
        </w:trPr>
        <w:tc>
          <w:tcPr>
            <w:tcW w:w="1264" w:type="dxa"/>
            <w:vMerge w:val="restart"/>
            <w:tcBorders>
              <w:tl2br w:val="nil"/>
              <w:tr2bl w:val="nil"/>
            </w:tcBorders>
            <w:shd w:val="clear" w:color="auto" w:fill="auto"/>
            <w:noWrap/>
            <w:vAlign w:val="center"/>
          </w:tcPr>
          <w:p w14:paraId="5C4372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编号</w:t>
            </w:r>
          </w:p>
        </w:tc>
        <w:tc>
          <w:tcPr>
            <w:tcW w:w="2109" w:type="dxa"/>
            <w:vMerge w:val="restart"/>
            <w:tcBorders>
              <w:tl2br w:val="nil"/>
              <w:tr2bl w:val="nil"/>
            </w:tcBorders>
            <w:shd w:val="clear" w:color="auto" w:fill="auto"/>
            <w:vAlign w:val="center"/>
          </w:tcPr>
          <w:p w14:paraId="4D062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工程或项目名称</w:t>
            </w:r>
          </w:p>
        </w:tc>
        <w:tc>
          <w:tcPr>
            <w:tcW w:w="843" w:type="dxa"/>
            <w:vMerge w:val="restart"/>
            <w:tcBorders>
              <w:tl2br w:val="nil"/>
              <w:tr2bl w:val="nil"/>
            </w:tcBorders>
            <w:shd w:val="clear" w:color="auto" w:fill="auto"/>
            <w:vAlign w:val="center"/>
          </w:tcPr>
          <w:p w14:paraId="446FF0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建安工程费</w:t>
            </w:r>
          </w:p>
        </w:tc>
        <w:tc>
          <w:tcPr>
            <w:tcW w:w="1688" w:type="dxa"/>
            <w:gridSpan w:val="2"/>
            <w:tcBorders>
              <w:tl2br w:val="nil"/>
              <w:tr2bl w:val="nil"/>
            </w:tcBorders>
            <w:shd w:val="clear" w:color="auto" w:fill="auto"/>
            <w:vAlign w:val="center"/>
          </w:tcPr>
          <w:p w14:paraId="2947F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植物措施费</w:t>
            </w:r>
          </w:p>
        </w:tc>
        <w:tc>
          <w:tcPr>
            <w:tcW w:w="843" w:type="dxa"/>
            <w:vMerge w:val="restart"/>
            <w:tcBorders>
              <w:tl2br w:val="nil"/>
              <w:tr2bl w:val="nil"/>
            </w:tcBorders>
            <w:shd w:val="clear" w:color="auto" w:fill="auto"/>
            <w:vAlign w:val="center"/>
          </w:tcPr>
          <w:p w14:paraId="45358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独立费用</w:t>
            </w:r>
          </w:p>
        </w:tc>
        <w:tc>
          <w:tcPr>
            <w:tcW w:w="877" w:type="dxa"/>
            <w:vMerge w:val="restart"/>
            <w:tcBorders>
              <w:tl2br w:val="nil"/>
              <w:tr2bl w:val="nil"/>
            </w:tcBorders>
            <w:shd w:val="clear" w:color="auto" w:fill="auto"/>
            <w:vAlign w:val="center"/>
          </w:tcPr>
          <w:p w14:paraId="30E9FC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新增水保投资</w:t>
            </w:r>
          </w:p>
        </w:tc>
        <w:tc>
          <w:tcPr>
            <w:tcW w:w="877" w:type="dxa"/>
            <w:vMerge w:val="restart"/>
            <w:tcBorders>
              <w:tl2br w:val="nil"/>
              <w:tr2bl w:val="nil"/>
            </w:tcBorders>
            <w:shd w:val="clear" w:color="auto" w:fill="auto"/>
            <w:vAlign w:val="center"/>
          </w:tcPr>
          <w:p w14:paraId="78406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主体已列投资</w:t>
            </w:r>
          </w:p>
        </w:tc>
        <w:tc>
          <w:tcPr>
            <w:tcW w:w="877" w:type="dxa"/>
            <w:vMerge w:val="restart"/>
            <w:tcBorders>
              <w:tl2br w:val="nil"/>
              <w:tr2bl w:val="nil"/>
            </w:tcBorders>
            <w:shd w:val="clear" w:color="auto" w:fill="auto"/>
            <w:vAlign w:val="center"/>
          </w:tcPr>
          <w:p w14:paraId="150D6C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水保总投资</w:t>
            </w:r>
          </w:p>
        </w:tc>
      </w:tr>
      <w:tr w14:paraId="675C07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tblHeader/>
          <w:jc w:val="center"/>
        </w:trPr>
        <w:tc>
          <w:tcPr>
            <w:tcW w:w="1264" w:type="dxa"/>
            <w:vMerge w:val="continue"/>
            <w:tcBorders>
              <w:tl2br w:val="nil"/>
              <w:tr2bl w:val="nil"/>
            </w:tcBorders>
            <w:shd w:val="clear" w:color="auto" w:fill="auto"/>
            <w:noWrap/>
            <w:vAlign w:val="center"/>
          </w:tcPr>
          <w:p w14:paraId="23D8BC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109" w:type="dxa"/>
            <w:vMerge w:val="continue"/>
            <w:tcBorders>
              <w:tl2br w:val="nil"/>
              <w:tr2bl w:val="nil"/>
            </w:tcBorders>
            <w:shd w:val="clear" w:color="auto" w:fill="auto"/>
            <w:vAlign w:val="center"/>
          </w:tcPr>
          <w:p w14:paraId="776A5A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vMerge w:val="continue"/>
            <w:tcBorders>
              <w:tl2br w:val="nil"/>
              <w:tr2bl w:val="nil"/>
            </w:tcBorders>
            <w:shd w:val="clear" w:color="auto" w:fill="auto"/>
            <w:vAlign w:val="center"/>
          </w:tcPr>
          <w:p w14:paraId="04671A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3557C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种植费</w:t>
            </w:r>
          </w:p>
        </w:tc>
        <w:tc>
          <w:tcPr>
            <w:tcW w:w="845" w:type="dxa"/>
            <w:tcBorders>
              <w:tl2br w:val="nil"/>
              <w:tr2bl w:val="nil"/>
            </w:tcBorders>
            <w:shd w:val="clear" w:color="auto" w:fill="auto"/>
            <w:vAlign w:val="center"/>
          </w:tcPr>
          <w:p w14:paraId="0B2E9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苗木费</w:t>
            </w:r>
          </w:p>
        </w:tc>
        <w:tc>
          <w:tcPr>
            <w:tcW w:w="843" w:type="dxa"/>
            <w:vMerge w:val="continue"/>
            <w:tcBorders>
              <w:tl2br w:val="nil"/>
              <w:tr2bl w:val="nil"/>
            </w:tcBorders>
            <w:shd w:val="clear" w:color="auto" w:fill="auto"/>
            <w:vAlign w:val="center"/>
          </w:tcPr>
          <w:p w14:paraId="38965A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vMerge w:val="continue"/>
            <w:tcBorders>
              <w:tl2br w:val="nil"/>
              <w:tr2bl w:val="nil"/>
            </w:tcBorders>
            <w:shd w:val="clear" w:color="auto" w:fill="auto"/>
            <w:vAlign w:val="center"/>
          </w:tcPr>
          <w:p w14:paraId="5FFBF4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vMerge w:val="continue"/>
            <w:tcBorders>
              <w:tl2br w:val="nil"/>
              <w:tr2bl w:val="nil"/>
            </w:tcBorders>
            <w:shd w:val="clear" w:color="auto" w:fill="auto"/>
            <w:vAlign w:val="center"/>
          </w:tcPr>
          <w:p w14:paraId="0136D8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vMerge w:val="continue"/>
            <w:tcBorders>
              <w:tl2br w:val="nil"/>
              <w:tr2bl w:val="nil"/>
            </w:tcBorders>
            <w:shd w:val="clear" w:color="auto" w:fill="auto"/>
            <w:vAlign w:val="center"/>
          </w:tcPr>
          <w:p w14:paraId="284962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0CAD14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053192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第一部分 工程措施</w:t>
            </w:r>
          </w:p>
        </w:tc>
        <w:tc>
          <w:tcPr>
            <w:tcW w:w="843" w:type="dxa"/>
            <w:tcBorders>
              <w:tl2br w:val="nil"/>
              <w:tr2bl w:val="nil"/>
            </w:tcBorders>
            <w:shd w:val="clear" w:color="auto" w:fill="auto"/>
            <w:vAlign w:val="center"/>
          </w:tcPr>
          <w:p w14:paraId="7267A5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7C8D9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625670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999E5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F5625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49DF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10.94</w:t>
            </w:r>
          </w:p>
        </w:tc>
        <w:tc>
          <w:tcPr>
            <w:tcW w:w="877" w:type="dxa"/>
            <w:tcBorders>
              <w:tl2br w:val="nil"/>
              <w:tr2bl w:val="nil"/>
            </w:tcBorders>
            <w:shd w:val="clear" w:color="auto" w:fill="auto"/>
            <w:vAlign w:val="center"/>
          </w:tcPr>
          <w:p w14:paraId="793519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10.94</w:t>
            </w:r>
          </w:p>
        </w:tc>
      </w:tr>
      <w:tr w14:paraId="6A8A29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06D64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noWrap/>
            <w:vAlign w:val="center"/>
          </w:tcPr>
          <w:p w14:paraId="717C87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843" w:type="dxa"/>
            <w:tcBorders>
              <w:tl2br w:val="nil"/>
              <w:tr2bl w:val="nil"/>
            </w:tcBorders>
            <w:shd w:val="clear" w:color="auto" w:fill="auto"/>
            <w:vAlign w:val="center"/>
          </w:tcPr>
          <w:p w14:paraId="1697E0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3BB88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613B39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3BEE9F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1ADEF0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1A5585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4.71</w:t>
            </w:r>
          </w:p>
        </w:tc>
        <w:tc>
          <w:tcPr>
            <w:tcW w:w="877" w:type="dxa"/>
            <w:tcBorders>
              <w:tl2br w:val="nil"/>
              <w:tr2bl w:val="nil"/>
            </w:tcBorders>
            <w:shd w:val="clear" w:color="auto" w:fill="auto"/>
            <w:vAlign w:val="center"/>
          </w:tcPr>
          <w:p w14:paraId="24BA24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4.71</w:t>
            </w:r>
          </w:p>
        </w:tc>
      </w:tr>
      <w:tr w14:paraId="4CD18F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2AB52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vAlign w:val="center"/>
          </w:tcPr>
          <w:p w14:paraId="5F29F1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43" w:type="dxa"/>
            <w:tcBorders>
              <w:tl2br w:val="nil"/>
              <w:tr2bl w:val="nil"/>
            </w:tcBorders>
            <w:shd w:val="clear" w:color="auto" w:fill="auto"/>
            <w:vAlign w:val="center"/>
          </w:tcPr>
          <w:p w14:paraId="4189C6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62CAD9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BDA7C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2B65FB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2DB54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BAC79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0.07 </w:t>
            </w:r>
          </w:p>
        </w:tc>
        <w:tc>
          <w:tcPr>
            <w:tcW w:w="877" w:type="dxa"/>
            <w:tcBorders>
              <w:tl2br w:val="nil"/>
              <w:tr2bl w:val="nil"/>
            </w:tcBorders>
            <w:shd w:val="clear" w:color="auto" w:fill="auto"/>
            <w:vAlign w:val="center"/>
          </w:tcPr>
          <w:p w14:paraId="03B111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0.07</w:t>
            </w:r>
          </w:p>
        </w:tc>
      </w:tr>
      <w:tr w14:paraId="5D8538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5C7947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vAlign w:val="center"/>
          </w:tcPr>
          <w:p w14:paraId="047268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843" w:type="dxa"/>
            <w:tcBorders>
              <w:tl2br w:val="nil"/>
              <w:tr2bl w:val="nil"/>
            </w:tcBorders>
            <w:shd w:val="clear" w:color="auto" w:fill="auto"/>
            <w:vAlign w:val="center"/>
          </w:tcPr>
          <w:p w14:paraId="00D27A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4EC16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A46F0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312B6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6E2D1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6CBB8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4.55 </w:t>
            </w:r>
          </w:p>
        </w:tc>
        <w:tc>
          <w:tcPr>
            <w:tcW w:w="877" w:type="dxa"/>
            <w:tcBorders>
              <w:tl2br w:val="nil"/>
              <w:tr2bl w:val="nil"/>
            </w:tcBorders>
            <w:shd w:val="clear" w:color="auto" w:fill="auto"/>
            <w:vAlign w:val="center"/>
          </w:tcPr>
          <w:p w14:paraId="1D9634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4.55</w:t>
            </w:r>
          </w:p>
        </w:tc>
      </w:tr>
      <w:tr w14:paraId="6B8FA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29E76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09" w:type="dxa"/>
            <w:tcBorders>
              <w:tl2br w:val="nil"/>
              <w:tr2bl w:val="nil"/>
            </w:tcBorders>
            <w:shd w:val="clear" w:color="auto" w:fill="auto"/>
            <w:vAlign w:val="center"/>
          </w:tcPr>
          <w:p w14:paraId="4FE504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843" w:type="dxa"/>
            <w:tcBorders>
              <w:tl2br w:val="nil"/>
              <w:tr2bl w:val="nil"/>
            </w:tcBorders>
            <w:shd w:val="clear" w:color="auto" w:fill="auto"/>
            <w:vAlign w:val="center"/>
          </w:tcPr>
          <w:p w14:paraId="5AFB71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783C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4B608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C57C7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A2EA8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F927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0.09 </w:t>
            </w:r>
          </w:p>
        </w:tc>
        <w:tc>
          <w:tcPr>
            <w:tcW w:w="877" w:type="dxa"/>
            <w:tcBorders>
              <w:tl2br w:val="nil"/>
              <w:tr2bl w:val="nil"/>
            </w:tcBorders>
            <w:shd w:val="clear" w:color="auto" w:fill="auto"/>
            <w:vAlign w:val="center"/>
          </w:tcPr>
          <w:p w14:paraId="757DF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0.09</w:t>
            </w:r>
          </w:p>
        </w:tc>
      </w:tr>
      <w:tr w14:paraId="26EB7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20A224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noWrap/>
            <w:vAlign w:val="center"/>
          </w:tcPr>
          <w:p w14:paraId="0DE840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843" w:type="dxa"/>
            <w:tcBorders>
              <w:tl2br w:val="nil"/>
              <w:tr2bl w:val="nil"/>
            </w:tcBorders>
            <w:shd w:val="clear" w:color="auto" w:fill="auto"/>
            <w:vAlign w:val="center"/>
          </w:tcPr>
          <w:p w14:paraId="451127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288558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08470F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2D0C9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5FFB5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4790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6.23</w:t>
            </w:r>
          </w:p>
        </w:tc>
        <w:tc>
          <w:tcPr>
            <w:tcW w:w="877" w:type="dxa"/>
            <w:tcBorders>
              <w:tl2br w:val="nil"/>
              <w:tr2bl w:val="nil"/>
            </w:tcBorders>
            <w:shd w:val="clear" w:color="auto" w:fill="auto"/>
            <w:vAlign w:val="center"/>
          </w:tcPr>
          <w:p w14:paraId="07A82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6.23</w:t>
            </w:r>
          </w:p>
        </w:tc>
      </w:tr>
      <w:tr w14:paraId="44EE77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5A2652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vAlign w:val="center"/>
          </w:tcPr>
          <w:p w14:paraId="649C75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43" w:type="dxa"/>
            <w:tcBorders>
              <w:tl2br w:val="nil"/>
              <w:tr2bl w:val="nil"/>
            </w:tcBorders>
            <w:shd w:val="clear" w:color="auto" w:fill="auto"/>
            <w:vAlign w:val="center"/>
          </w:tcPr>
          <w:p w14:paraId="172BC7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8625A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46DD40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35E09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352CA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4377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0.56 </w:t>
            </w:r>
          </w:p>
        </w:tc>
        <w:tc>
          <w:tcPr>
            <w:tcW w:w="877" w:type="dxa"/>
            <w:tcBorders>
              <w:tl2br w:val="nil"/>
              <w:tr2bl w:val="nil"/>
            </w:tcBorders>
            <w:shd w:val="clear" w:color="auto" w:fill="auto"/>
            <w:vAlign w:val="center"/>
          </w:tcPr>
          <w:p w14:paraId="44A6D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0.56</w:t>
            </w:r>
          </w:p>
        </w:tc>
      </w:tr>
      <w:tr w14:paraId="74787C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1E5BA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vAlign w:val="center"/>
          </w:tcPr>
          <w:p w14:paraId="74BBC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843" w:type="dxa"/>
            <w:tcBorders>
              <w:tl2br w:val="nil"/>
              <w:tr2bl w:val="nil"/>
            </w:tcBorders>
            <w:shd w:val="clear" w:color="auto" w:fill="auto"/>
            <w:vAlign w:val="center"/>
          </w:tcPr>
          <w:p w14:paraId="54E3D0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3C39B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046546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6239AB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CBCD4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FE36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5.53 </w:t>
            </w:r>
          </w:p>
        </w:tc>
        <w:tc>
          <w:tcPr>
            <w:tcW w:w="877" w:type="dxa"/>
            <w:tcBorders>
              <w:tl2br w:val="nil"/>
              <w:tr2bl w:val="nil"/>
            </w:tcBorders>
            <w:shd w:val="clear" w:color="auto" w:fill="auto"/>
            <w:vAlign w:val="center"/>
          </w:tcPr>
          <w:p w14:paraId="391993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5.53</w:t>
            </w:r>
          </w:p>
        </w:tc>
      </w:tr>
      <w:tr w14:paraId="5E77EF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65A6B0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09" w:type="dxa"/>
            <w:tcBorders>
              <w:tl2br w:val="nil"/>
              <w:tr2bl w:val="nil"/>
            </w:tcBorders>
            <w:shd w:val="clear" w:color="auto" w:fill="auto"/>
            <w:vAlign w:val="center"/>
          </w:tcPr>
          <w:p w14:paraId="4B6EAC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843" w:type="dxa"/>
            <w:tcBorders>
              <w:tl2br w:val="nil"/>
              <w:tr2bl w:val="nil"/>
            </w:tcBorders>
            <w:shd w:val="clear" w:color="auto" w:fill="auto"/>
            <w:vAlign w:val="center"/>
          </w:tcPr>
          <w:p w14:paraId="2A28F1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144B9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5F8BF7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ABF95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56A2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1AEBE5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0.14 </w:t>
            </w:r>
          </w:p>
        </w:tc>
        <w:tc>
          <w:tcPr>
            <w:tcW w:w="877" w:type="dxa"/>
            <w:tcBorders>
              <w:tl2br w:val="nil"/>
              <w:tr2bl w:val="nil"/>
            </w:tcBorders>
            <w:shd w:val="clear" w:color="auto" w:fill="auto"/>
            <w:vAlign w:val="center"/>
          </w:tcPr>
          <w:p w14:paraId="2DC1A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0.14</w:t>
            </w:r>
          </w:p>
        </w:tc>
      </w:tr>
      <w:tr w14:paraId="1D618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378B5A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第二部分 植物措施</w:t>
            </w:r>
          </w:p>
        </w:tc>
        <w:tc>
          <w:tcPr>
            <w:tcW w:w="843" w:type="dxa"/>
            <w:tcBorders>
              <w:tl2br w:val="nil"/>
              <w:tr2bl w:val="nil"/>
            </w:tcBorders>
            <w:shd w:val="clear" w:color="auto" w:fill="auto"/>
            <w:vAlign w:val="center"/>
          </w:tcPr>
          <w:p w14:paraId="19FB68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8FEC1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183AC7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B9720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77C7A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4271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27.60 </w:t>
            </w:r>
          </w:p>
        </w:tc>
        <w:tc>
          <w:tcPr>
            <w:tcW w:w="877" w:type="dxa"/>
            <w:tcBorders>
              <w:tl2br w:val="nil"/>
              <w:tr2bl w:val="nil"/>
            </w:tcBorders>
            <w:shd w:val="clear" w:color="auto" w:fill="auto"/>
            <w:vAlign w:val="center"/>
          </w:tcPr>
          <w:p w14:paraId="6A5829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27.60 </w:t>
            </w:r>
          </w:p>
        </w:tc>
      </w:tr>
      <w:tr w14:paraId="328AD3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008D1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noWrap/>
            <w:vAlign w:val="center"/>
          </w:tcPr>
          <w:p w14:paraId="10E332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843" w:type="dxa"/>
            <w:tcBorders>
              <w:tl2br w:val="nil"/>
              <w:tr2bl w:val="nil"/>
            </w:tcBorders>
            <w:shd w:val="clear" w:color="auto" w:fill="auto"/>
            <w:vAlign w:val="center"/>
          </w:tcPr>
          <w:p w14:paraId="133BEE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6A266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43696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148F8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A336E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30EC1E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c>
          <w:tcPr>
            <w:tcW w:w="877" w:type="dxa"/>
            <w:tcBorders>
              <w:tl2br w:val="nil"/>
              <w:tr2bl w:val="nil"/>
            </w:tcBorders>
            <w:shd w:val="clear" w:color="auto" w:fill="auto"/>
            <w:vAlign w:val="center"/>
          </w:tcPr>
          <w:p w14:paraId="42524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r>
      <w:tr w14:paraId="284CA6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42DEEB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vAlign w:val="center"/>
          </w:tcPr>
          <w:p w14:paraId="5D426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843" w:type="dxa"/>
            <w:tcBorders>
              <w:tl2br w:val="nil"/>
              <w:tr2bl w:val="nil"/>
            </w:tcBorders>
            <w:shd w:val="clear" w:color="auto" w:fill="auto"/>
            <w:vAlign w:val="center"/>
          </w:tcPr>
          <w:p w14:paraId="7B412D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75DD5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494E47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11665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4B55D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57AD3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c>
          <w:tcPr>
            <w:tcW w:w="877" w:type="dxa"/>
            <w:tcBorders>
              <w:tl2br w:val="nil"/>
              <w:tr2bl w:val="nil"/>
            </w:tcBorders>
            <w:shd w:val="clear" w:color="auto" w:fill="auto"/>
            <w:vAlign w:val="center"/>
          </w:tcPr>
          <w:p w14:paraId="64E8D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r>
      <w:tr w14:paraId="6184FD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3B05B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noWrap/>
            <w:vAlign w:val="center"/>
          </w:tcPr>
          <w:p w14:paraId="1C359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843" w:type="dxa"/>
            <w:tcBorders>
              <w:tl2br w:val="nil"/>
              <w:tr2bl w:val="nil"/>
            </w:tcBorders>
            <w:shd w:val="clear" w:color="auto" w:fill="auto"/>
            <w:vAlign w:val="center"/>
          </w:tcPr>
          <w:p w14:paraId="25067E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40FF7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68DF18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25B555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80C8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A147D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c>
          <w:tcPr>
            <w:tcW w:w="877" w:type="dxa"/>
            <w:tcBorders>
              <w:tl2br w:val="nil"/>
              <w:tr2bl w:val="nil"/>
            </w:tcBorders>
            <w:shd w:val="clear" w:color="auto" w:fill="auto"/>
            <w:vAlign w:val="center"/>
          </w:tcPr>
          <w:p w14:paraId="3C9F6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r>
      <w:tr w14:paraId="7D2DCA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3CFD1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vAlign w:val="center"/>
          </w:tcPr>
          <w:p w14:paraId="4C554D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843" w:type="dxa"/>
            <w:tcBorders>
              <w:tl2br w:val="nil"/>
              <w:tr2bl w:val="nil"/>
            </w:tcBorders>
            <w:shd w:val="clear" w:color="auto" w:fill="auto"/>
            <w:vAlign w:val="center"/>
          </w:tcPr>
          <w:p w14:paraId="23E023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F18D8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F9C5F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D4302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2C45D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15057C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c>
          <w:tcPr>
            <w:tcW w:w="877" w:type="dxa"/>
            <w:tcBorders>
              <w:tl2br w:val="nil"/>
              <w:tr2bl w:val="nil"/>
            </w:tcBorders>
            <w:shd w:val="clear" w:color="auto" w:fill="auto"/>
            <w:vAlign w:val="center"/>
          </w:tcPr>
          <w:p w14:paraId="5EA3DF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r>
      <w:tr w14:paraId="47903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2BA21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第三部分 临时措施</w:t>
            </w:r>
          </w:p>
        </w:tc>
        <w:tc>
          <w:tcPr>
            <w:tcW w:w="843" w:type="dxa"/>
            <w:tcBorders>
              <w:tl2br w:val="nil"/>
              <w:tr2bl w:val="nil"/>
            </w:tcBorders>
            <w:shd w:val="clear" w:color="auto" w:fill="auto"/>
            <w:vAlign w:val="center"/>
          </w:tcPr>
          <w:p w14:paraId="247EE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9.39 </w:t>
            </w:r>
          </w:p>
        </w:tc>
        <w:tc>
          <w:tcPr>
            <w:tcW w:w="843" w:type="dxa"/>
            <w:tcBorders>
              <w:tl2br w:val="nil"/>
              <w:tr2bl w:val="nil"/>
            </w:tcBorders>
            <w:shd w:val="clear" w:color="auto" w:fill="auto"/>
            <w:vAlign w:val="center"/>
          </w:tcPr>
          <w:p w14:paraId="514E84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8B484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65258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BA0D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9.39 </w:t>
            </w:r>
          </w:p>
        </w:tc>
        <w:tc>
          <w:tcPr>
            <w:tcW w:w="877" w:type="dxa"/>
            <w:tcBorders>
              <w:tl2br w:val="nil"/>
              <w:tr2bl w:val="nil"/>
            </w:tcBorders>
            <w:shd w:val="clear" w:color="auto" w:fill="auto"/>
            <w:vAlign w:val="center"/>
          </w:tcPr>
          <w:p w14:paraId="5AB0C1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E4BC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9.39</w:t>
            </w:r>
          </w:p>
        </w:tc>
      </w:tr>
      <w:tr w14:paraId="25C2C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1BF64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noWrap/>
            <w:vAlign w:val="center"/>
          </w:tcPr>
          <w:p w14:paraId="5D40C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843" w:type="dxa"/>
            <w:tcBorders>
              <w:tl2br w:val="nil"/>
              <w:tr2bl w:val="nil"/>
            </w:tcBorders>
            <w:shd w:val="clear" w:color="auto" w:fill="auto"/>
            <w:vAlign w:val="center"/>
          </w:tcPr>
          <w:p w14:paraId="0D5AD6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3.92 </w:t>
            </w:r>
          </w:p>
        </w:tc>
        <w:tc>
          <w:tcPr>
            <w:tcW w:w="843" w:type="dxa"/>
            <w:tcBorders>
              <w:tl2br w:val="nil"/>
              <w:tr2bl w:val="nil"/>
            </w:tcBorders>
            <w:shd w:val="clear" w:color="auto" w:fill="auto"/>
            <w:vAlign w:val="center"/>
          </w:tcPr>
          <w:p w14:paraId="0A3B56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026DF2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7B300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88AAA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3.92 </w:t>
            </w:r>
          </w:p>
        </w:tc>
        <w:tc>
          <w:tcPr>
            <w:tcW w:w="877" w:type="dxa"/>
            <w:tcBorders>
              <w:tl2br w:val="nil"/>
              <w:tr2bl w:val="nil"/>
            </w:tcBorders>
            <w:shd w:val="clear" w:color="auto" w:fill="auto"/>
            <w:vAlign w:val="center"/>
          </w:tcPr>
          <w:p w14:paraId="4B1431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64537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3.92</w:t>
            </w:r>
          </w:p>
        </w:tc>
      </w:tr>
      <w:tr w14:paraId="0FF488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1CB07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vAlign w:val="center"/>
          </w:tcPr>
          <w:p w14:paraId="36F701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43" w:type="dxa"/>
            <w:tcBorders>
              <w:tl2br w:val="nil"/>
              <w:tr2bl w:val="nil"/>
            </w:tcBorders>
            <w:shd w:val="clear" w:color="auto" w:fill="auto"/>
            <w:vAlign w:val="center"/>
          </w:tcPr>
          <w:p w14:paraId="584A51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0.10 </w:t>
            </w:r>
          </w:p>
        </w:tc>
        <w:tc>
          <w:tcPr>
            <w:tcW w:w="843" w:type="dxa"/>
            <w:tcBorders>
              <w:tl2br w:val="nil"/>
              <w:tr2bl w:val="nil"/>
            </w:tcBorders>
            <w:shd w:val="clear" w:color="auto" w:fill="auto"/>
            <w:vAlign w:val="center"/>
          </w:tcPr>
          <w:p w14:paraId="7C434F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68E006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1C981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5D0C5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0.10 </w:t>
            </w:r>
          </w:p>
        </w:tc>
        <w:tc>
          <w:tcPr>
            <w:tcW w:w="877" w:type="dxa"/>
            <w:tcBorders>
              <w:tl2br w:val="nil"/>
              <w:tr2bl w:val="nil"/>
            </w:tcBorders>
            <w:shd w:val="clear" w:color="auto" w:fill="auto"/>
            <w:vAlign w:val="center"/>
          </w:tcPr>
          <w:p w14:paraId="5A0369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71FA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0.10 </w:t>
            </w:r>
          </w:p>
        </w:tc>
      </w:tr>
      <w:tr w14:paraId="5C11F6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24F72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vAlign w:val="center"/>
          </w:tcPr>
          <w:p w14:paraId="286686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843" w:type="dxa"/>
            <w:tcBorders>
              <w:tl2br w:val="nil"/>
              <w:tr2bl w:val="nil"/>
            </w:tcBorders>
            <w:shd w:val="clear" w:color="auto" w:fill="auto"/>
            <w:vAlign w:val="center"/>
          </w:tcPr>
          <w:p w14:paraId="3E9502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2.53 </w:t>
            </w:r>
          </w:p>
        </w:tc>
        <w:tc>
          <w:tcPr>
            <w:tcW w:w="843" w:type="dxa"/>
            <w:tcBorders>
              <w:tl2br w:val="nil"/>
              <w:tr2bl w:val="nil"/>
            </w:tcBorders>
            <w:shd w:val="clear" w:color="auto" w:fill="auto"/>
            <w:vAlign w:val="center"/>
          </w:tcPr>
          <w:p w14:paraId="1EEC45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C6135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1948C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66D17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2.53 </w:t>
            </w:r>
          </w:p>
        </w:tc>
        <w:tc>
          <w:tcPr>
            <w:tcW w:w="877" w:type="dxa"/>
            <w:tcBorders>
              <w:tl2br w:val="nil"/>
              <w:tr2bl w:val="nil"/>
            </w:tcBorders>
            <w:shd w:val="clear" w:color="auto" w:fill="auto"/>
            <w:vAlign w:val="center"/>
          </w:tcPr>
          <w:p w14:paraId="0E4A8F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3BAFB5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2.53</w:t>
            </w:r>
          </w:p>
        </w:tc>
      </w:tr>
      <w:tr w14:paraId="66399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41D06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09" w:type="dxa"/>
            <w:tcBorders>
              <w:tl2br w:val="nil"/>
              <w:tr2bl w:val="nil"/>
            </w:tcBorders>
            <w:shd w:val="clear" w:color="auto" w:fill="auto"/>
            <w:vAlign w:val="center"/>
          </w:tcPr>
          <w:p w14:paraId="6AB49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843" w:type="dxa"/>
            <w:tcBorders>
              <w:tl2br w:val="nil"/>
              <w:tr2bl w:val="nil"/>
            </w:tcBorders>
            <w:shd w:val="clear" w:color="auto" w:fill="auto"/>
            <w:vAlign w:val="center"/>
          </w:tcPr>
          <w:p w14:paraId="68A4C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1.28 </w:t>
            </w:r>
          </w:p>
        </w:tc>
        <w:tc>
          <w:tcPr>
            <w:tcW w:w="843" w:type="dxa"/>
            <w:tcBorders>
              <w:tl2br w:val="nil"/>
              <w:tr2bl w:val="nil"/>
            </w:tcBorders>
            <w:shd w:val="clear" w:color="auto" w:fill="auto"/>
            <w:vAlign w:val="center"/>
          </w:tcPr>
          <w:p w14:paraId="5BBB24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C1E6A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26F92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15941B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1.28 </w:t>
            </w:r>
          </w:p>
        </w:tc>
        <w:tc>
          <w:tcPr>
            <w:tcW w:w="877" w:type="dxa"/>
            <w:tcBorders>
              <w:tl2br w:val="nil"/>
              <w:tr2bl w:val="nil"/>
            </w:tcBorders>
            <w:shd w:val="clear" w:color="auto" w:fill="auto"/>
            <w:vAlign w:val="center"/>
          </w:tcPr>
          <w:p w14:paraId="46F548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54298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1.28</w:t>
            </w:r>
          </w:p>
        </w:tc>
      </w:tr>
      <w:tr w14:paraId="0173F9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5FF8CB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noWrap/>
            <w:vAlign w:val="center"/>
          </w:tcPr>
          <w:p w14:paraId="0A5CF2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843" w:type="dxa"/>
            <w:tcBorders>
              <w:tl2br w:val="nil"/>
              <w:tr2bl w:val="nil"/>
            </w:tcBorders>
            <w:shd w:val="clear" w:color="auto" w:fill="auto"/>
            <w:vAlign w:val="center"/>
          </w:tcPr>
          <w:p w14:paraId="629168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5.47 </w:t>
            </w:r>
          </w:p>
        </w:tc>
        <w:tc>
          <w:tcPr>
            <w:tcW w:w="843" w:type="dxa"/>
            <w:tcBorders>
              <w:tl2br w:val="nil"/>
              <w:tr2bl w:val="nil"/>
            </w:tcBorders>
            <w:shd w:val="clear" w:color="auto" w:fill="auto"/>
            <w:vAlign w:val="center"/>
          </w:tcPr>
          <w:p w14:paraId="233324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420F23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F9474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163C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5.47 </w:t>
            </w:r>
          </w:p>
        </w:tc>
        <w:tc>
          <w:tcPr>
            <w:tcW w:w="877" w:type="dxa"/>
            <w:tcBorders>
              <w:tl2br w:val="nil"/>
              <w:tr2bl w:val="nil"/>
            </w:tcBorders>
            <w:shd w:val="clear" w:color="auto" w:fill="auto"/>
            <w:vAlign w:val="center"/>
          </w:tcPr>
          <w:p w14:paraId="16B461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C0DB8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5.47</w:t>
            </w:r>
          </w:p>
        </w:tc>
      </w:tr>
      <w:tr w14:paraId="2BECD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5D1086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vAlign w:val="center"/>
          </w:tcPr>
          <w:p w14:paraId="1A28A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843" w:type="dxa"/>
            <w:tcBorders>
              <w:tl2br w:val="nil"/>
              <w:tr2bl w:val="nil"/>
            </w:tcBorders>
            <w:shd w:val="clear" w:color="auto" w:fill="auto"/>
            <w:vAlign w:val="center"/>
          </w:tcPr>
          <w:p w14:paraId="75AB54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c>
          <w:tcPr>
            <w:tcW w:w="843" w:type="dxa"/>
            <w:tcBorders>
              <w:tl2br w:val="nil"/>
              <w:tr2bl w:val="nil"/>
            </w:tcBorders>
            <w:shd w:val="clear" w:color="auto" w:fill="auto"/>
            <w:vAlign w:val="center"/>
          </w:tcPr>
          <w:p w14:paraId="47A354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1C5FB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9C6FB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DDF1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c>
          <w:tcPr>
            <w:tcW w:w="877" w:type="dxa"/>
            <w:tcBorders>
              <w:tl2br w:val="nil"/>
              <w:tr2bl w:val="nil"/>
            </w:tcBorders>
            <w:shd w:val="clear" w:color="auto" w:fill="auto"/>
            <w:vAlign w:val="center"/>
          </w:tcPr>
          <w:p w14:paraId="1EEF5E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313559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0.19</w:t>
            </w:r>
          </w:p>
        </w:tc>
      </w:tr>
      <w:tr w14:paraId="54DCA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27FEE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vAlign w:val="center"/>
          </w:tcPr>
          <w:p w14:paraId="0E8B89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843" w:type="dxa"/>
            <w:tcBorders>
              <w:tl2br w:val="nil"/>
              <w:tr2bl w:val="nil"/>
            </w:tcBorders>
            <w:shd w:val="clear" w:color="auto" w:fill="auto"/>
            <w:vAlign w:val="center"/>
          </w:tcPr>
          <w:p w14:paraId="0CABDE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2.53 </w:t>
            </w:r>
          </w:p>
        </w:tc>
        <w:tc>
          <w:tcPr>
            <w:tcW w:w="843" w:type="dxa"/>
            <w:tcBorders>
              <w:tl2br w:val="nil"/>
              <w:tr2bl w:val="nil"/>
            </w:tcBorders>
            <w:shd w:val="clear" w:color="auto" w:fill="auto"/>
            <w:vAlign w:val="center"/>
          </w:tcPr>
          <w:p w14:paraId="448F0B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6E15D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0CE61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A676C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2.53 </w:t>
            </w:r>
          </w:p>
        </w:tc>
        <w:tc>
          <w:tcPr>
            <w:tcW w:w="877" w:type="dxa"/>
            <w:tcBorders>
              <w:tl2br w:val="nil"/>
              <w:tr2bl w:val="nil"/>
            </w:tcBorders>
            <w:shd w:val="clear" w:color="auto" w:fill="auto"/>
            <w:vAlign w:val="center"/>
          </w:tcPr>
          <w:p w14:paraId="6B5FEA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4E00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2.53</w:t>
            </w:r>
          </w:p>
        </w:tc>
      </w:tr>
      <w:tr w14:paraId="79AC8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0F76B6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09" w:type="dxa"/>
            <w:tcBorders>
              <w:tl2br w:val="nil"/>
              <w:tr2bl w:val="nil"/>
            </w:tcBorders>
            <w:shd w:val="clear" w:color="auto" w:fill="auto"/>
            <w:vAlign w:val="center"/>
          </w:tcPr>
          <w:p w14:paraId="266675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843" w:type="dxa"/>
            <w:tcBorders>
              <w:tl2br w:val="nil"/>
              <w:tr2bl w:val="nil"/>
            </w:tcBorders>
            <w:shd w:val="clear" w:color="auto" w:fill="auto"/>
            <w:vAlign w:val="center"/>
          </w:tcPr>
          <w:p w14:paraId="7222E8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 </w:t>
            </w:r>
          </w:p>
        </w:tc>
        <w:tc>
          <w:tcPr>
            <w:tcW w:w="843" w:type="dxa"/>
            <w:tcBorders>
              <w:tl2br w:val="nil"/>
              <w:tr2bl w:val="nil"/>
            </w:tcBorders>
            <w:shd w:val="clear" w:color="auto" w:fill="auto"/>
            <w:vAlign w:val="center"/>
          </w:tcPr>
          <w:p w14:paraId="03D078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7E5D0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3C795E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141D9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 </w:t>
            </w:r>
          </w:p>
        </w:tc>
        <w:tc>
          <w:tcPr>
            <w:tcW w:w="877" w:type="dxa"/>
            <w:tcBorders>
              <w:tl2br w:val="nil"/>
              <w:tr2bl w:val="nil"/>
            </w:tcBorders>
            <w:shd w:val="clear" w:color="auto" w:fill="auto"/>
            <w:vAlign w:val="center"/>
          </w:tcPr>
          <w:p w14:paraId="666A0A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15244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2.76</w:t>
            </w:r>
          </w:p>
        </w:tc>
      </w:tr>
      <w:tr w14:paraId="4900A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noWrap/>
            <w:vAlign w:val="center"/>
          </w:tcPr>
          <w:p w14:paraId="7E8749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09" w:type="dxa"/>
            <w:tcBorders>
              <w:tl2br w:val="nil"/>
              <w:tr2bl w:val="nil"/>
            </w:tcBorders>
            <w:shd w:val="clear" w:color="auto" w:fill="auto"/>
            <w:noWrap/>
            <w:vAlign w:val="center"/>
          </w:tcPr>
          <w:p w14:paraId="56CBF9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其他临时工程</w:t>
            </w:r>
          </w:p>
        </w:tc>
        <w:tc>
          <w:tcPr>
            <w:tcW w:w="843" w:type="dxa"/>
            <w:tcBorders>
              <w:tl2br w:val="nil"/>
              <w:tr2bl w:val="nil"/>
            </w:tcBorders>
            <w:shd w:val="clear" w:color="auto" w:fill="auto"/>
            <w:vAlign w:val="center"/>
          </w:tcPr>
          <w:p w14:paraId="1BC5DB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55150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B490C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3AFADF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5B0DFF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23C426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441E2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3D9451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37912E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一~三部分合计</w:t>
            </w:r>
          </w:p>
        </w:tc>
        <w:tc>
          <w:tcPr>
            <w:tcW w:w="843" w:type="dxa"/>
            <w:tcBorders>
              <w:tl2br w:val="nil"/>
              <w:tr2bl w:val="nil"/>
            </w:tcBorders>
            <w:shd w:val="clear" w:color="auto" w:fill="auto"/>
            <w:vAlign w:val="center"/>
          </w:tcPr>
          <w:p w14:paraId="292A4E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9.39</w:t>
            </w:r>
          </w:p>
        </w:tc>
        <w:tc>
          <w:tcPr>
            <w:tcW w:w="843" w:type="dxa"/>
            <w:tcBorders>
              <w:tl2br w:val="nil"/>
              <w:tr2bl w:val="nil"/>
            </w:tcBorders>
            <w:shd w:val="clear" w:color="auto" w:fill="auto"/>
            <w:vAlign w:val="center"/>
          </w:tcPr>
          <w:p w14:paraId="45F2E8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6E6066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6AFDDD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6FD28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9.39</w:t>
            </w:r>
          </w:p>
        </w:tc>
        <w:tc>
          <w:tcPr>
            <w:tcW w:w="877" w:type="dxa"/>
            <w:tcBorders>
              <w:tl2br w:val="nil"/>
              <w:tr2bl w:val="nil"/>
            </w:tcBorders>
            <w:shd w:val="clear" w:color="auto" w:fill="auto"/>
            <w:vAlign w:val="center"/>
          </w:tcPr>
          <w:p w14:paraId="2F831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38.54</w:t>
            </w:r>
          </w:p>
        </w:tc>
        <w:tc>
          <w:tcPr>
            <w:tcW w:w="877" w:type="dxa"/>
            <w:tcBorders>
              <w:tl2br w:val="nil"/>
              <w:tr2bl w:val="nil"/>
            </w:tcBorders>
            <w:shd w:val="clear" w:color="auto" w:fill="auto"/>
            <w:vAlign w:val="center"/>
          </w:tcPr>
          <w:p w14:paraId="1F788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47.93</w:t>
            </w:r>
          </w:p>
        </w:tc>
      </w:tr>
      <w:tr w14:paraId="160F1C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176F0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第四部分 独立费用</w:t>
            </w:r>
          </w:p>
        </w:tc>
        <w:tc>
          <w:tcPr>
            <w:tcW w:w="843" w:type="dxa"/>
            <w:tcBorders>
              <w:tl2br w:val="nil"/>
              <w:tr2bl w:val="nil"/>
            </w:tcBorders>
            <w:shd w:val="clear" w:color="auto" w:fill="auto"/>
            <w:vAlign w:val="center"/>
          </w:tcPr>
          <w:p w14:paraId="066407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37BCF0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63FFAA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68A4E6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64148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12.19</w:t>
            </w:r>
          </w:p>
        </w:tc>
        <w:tc>
          <w:tcPr>
            <w:tcW w:w="877" w:type="dxa"/>
            <w:tcBorders>
              <w:tl2br w:val="nil"/>
              <w:tr2bl w:val="nil"/>
            </w:tcBorders>
            <w:shd w:val="clear" w:color="auto" w:fill="auto"/>
            <w:vAlign w:val="center"/>
          </w:tcPr>
          <w:p w14:paraId="626E33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5B475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12.19</w:t>
            </w:r>
          </w:p>
        </w:tc>
      </w:tr>
      <w:tr w14:paraId="5B23EA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43CFB7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09" w:type="dxa"/>
            <w:tcBorders>
              <w:tl2br w:val="nil"/>
              <w:tr2bl w:val="nil"/>
            </w:tcBorders>
            <w:shd w:val="clear" w:color="auto" w:fill="auto"/>
            <w:noWrap/>
            <w:vAlign w:val="center"/>
          </w:tcPr>
          <w:p w14:paraId="4AC174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建设管理费</w:t>
            </w:r>
          </w:p>
        </w:tc>
        <w:tc>
          <w:tcPr>
            <w:tcW w:w="843" w:type="dxa"/>
            <w:tcBorders>
              <w:tl2br w:val="nil"/>
              <w:tr2bl w:val="nil"/>
            </w:tcBorders>
            <w:shd w:val="clear" w:color="auto" w:fill="auto"/>
            <w:vAlign w:val="center"/>
          </w:tcPr>
          <w:p w14:paraId="3EE2FD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30D3E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0DC7BF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507DE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26A1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c>
          <w:tcPr>
            <w:tcW w:w="877" w:type="dxa"/>
            <w:tcBorders>
              <w:tl2br w:val="nil"/>
              <w:tr2bl w:val="nil"/>
            </w:tcBorders>
            <w:shd w:val="clear" w:color="auto" w:fill="auto"/>
            <w:vAlign w:val="center"/>
          </w:tcPr>
          <w:p w14:paraId="20480F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1E01C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r>
      <w:tr w14:paraId="255D1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3657D8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09" w:type="dxa"/>
            <w:tcBorders>
              <w:tl2br w:val="nil"/>
              <w:tr2bl w:val="nil"/>
            </w:tcBorders>
            <w:shd w:val="clear" w:color="auto" w:fill="auto"/>
            <w:vAlign w:val="center"/>
          </w:tcPr>
          <w:p w14:paraId="02AE51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水土保持工程建设监理费</w:t>
            </w:r>
          </w:p>
        </w:tc>
        <w:tc>
          <w:tcPr>
            <w:tcW w:w="843" w:type="dxa"/>
            <w:tcBorders>
              <w:tl2br w:val="nil"/>
              <w:tr2bl w:val="nil"/>
            </w:tcBorders>
            <w:shd w:val="clear" w:color="auto" w:fill="auto"/>
            <w:vAlign w:val="center"/>
          </w:tcPr>
          <w:p w14:paraId="719DC4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2ED197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4D3BCE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34EC9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33135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c>
          <w:tcPr>
            <w:tcW w:w="877" w:type="dxa"/>
            <w:tcBorders>
              <w:tl2br w:val="nil"/>
              <w:tr2bl w:val="nil"/>
            </w:tcBorders>
            <w:shd w:val="clear" w:color="auto" w:fill="auto"/>
            <w:vAlign w:val="center"/>
          </w:tcPr>
          <w:p w14:paraId="5E7A8F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AA39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r>
      <w:tr w14:paraId="0BBEB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788E1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09" w:type="dxa"/>
            <w:tcBorders>
              <w:tl2br w:val="nil"/>
              <w:tr2bl w:val="nil"/>
            </w:tcBorders>
            <w:shd w:val="clear" w:color="auto" w:fill="auto"/>
            <w:vAlign w:val="center"/>
          </w:tcPr>
          <w:p w14:paraId="58840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水土保持监测费</w:t>
            </w:r>
          </w:p>
        </w:tc>
        <w:tc>
          <w:tcPr>
            <w:tcW w:w="843" w:type="dxa"/>
            <w:tcBorders>
              <w:tl2br w:val="nil"/>
              <w:tr2bl w:val="nil"/>
            </w:tcBorders>
            <w:shd w:val="clear" w:color="auto" w:fill="auto"/>
            <w:vAlign w:val="center"/>
          </w:tcPr>
          <w:p w14:paraId="7738F2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BAEB9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931C2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9EC43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4AD22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c>
          <w:tcPr>
            <w:tcW w:w="877" w:type="dxa"/>
            <w:tcBorders>
              <w:tl2br w:val="nil"/>
              <w:tr2bl w:val="nil"/>
            </w:tcBorders>
            <w:shd w:val="clear" w:color="auto" w:fill="auto"/>
            <w:vAlign w:val="center"/>
          </w:tcPr>
          <w:p w14:paraId="073F3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C0D8D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r>
      <w:tr w14:paraId="1A20D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03DC4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四</w:t>
            </w:r>
          </w:p>
        </w:tc>
        <w:tc>
          <w:tcPr>
            <w:tcW w:w="2109" w:type="dxa"/>
            <w:tcBorders>
              <w:tl2br w:val="nil"/>
              <w:tr2bl w:val="nil"/>
            </w:tcBorders>
            <w:shd w:val="clear" w:color="auto" w:fill="auto"/>
            <w:vAlign w:val="center"/>
          </w:tcPr>
          <w:p w14:paraId="380E2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科研勘测设计费</w:t>
            </w:r>
          </w:p>
        </w:tc>
        <w:tc>
          <w:tcPr>
            <w:tcW w:w="843" w:type="dxa"/>
            <w:tcBorders>
              <w:tl2br w:val="nil"/>
              <w:tr2bl w:val="nil"/>
            </w:tcBorders>
            <w:shd w:val="clear" w:color="auto" w:fill="auto"/>
            <w:vAlign w:val="center"/>
          </w:tcPr>
          <w:p w14:paraId="2E0996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9FF10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EF6F1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99CAC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482D7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c>
          <w:tcPr>
            <w:tcW w:w="877" w:type="dxa"/>
            <w:tcBorders>
              <w:tl2br w:val="nil"/>
              <w:tr2bl w:val="nil"/>
            </w:tcBorders>
            <w:shd w:val="clear" w:color="auto" w:fill="auto"/>
            <w:vAlign w:val="center"/>
          </w:tcPr>
          <w:p w14:paraId="329738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3341A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r>
      <w:tr w14:paraId="27A90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264" w:type="dxa"/>
            <w:tcBorders>
              <w:tl2br w:val="nil"/>
              <w:tr2bl w:val="nil"/>
            </w:tcBorders>
            <w:shd w:val="clear" w:color="auto" w:fill="auto"/>
            <w:vAlign w:val="center"/>
          </w:tcPr>
          <w:p w14:paraId="144A81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五</w:t>
            </w:r>
          </w:p>
        </w:tc>
        <w:tc>
          <w:tcPr>
            <w:tcW w:w="2109" w:type="dxa"/>
            <w:tcBorders>
              <w:tl2br w:val="nil"/>
              <w:tr2bl w:val="nil"/>
            </w:tcBorders>
            <w:shd w:val="clear" w:color="auto" w:fill="auto"/>
            <w:vAlign w:val="center"/>
          </w:tcPr>
          <w:p w14:paraId="35F28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水土保持验收报告编制费</w:t>
            </w:r>
          </w:p>
        </w:tc>
        <w:tc>
          <w:tcPr>
            <w:tcW w:w="843" w:type="dxa"/>
            <w:tcBorders>
              <w:tl2br w:val="nil"/>
              <w:tr2bl w:val="nil"/>
            </w:tcBorders>
            <w:shd w:val="clear" w:color="auto" w:fill="auto"/>
            <w:vAlign w:val="center"/>
          </w:tcPr>
          <w:p w14:paraId="4508C9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17499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8F517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141BB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448BB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c>
          <w:tcPr>
            <w:tcW w:w="877" w:type="dxa"/>
            <w:tcBorders>
              <w:tl2br w:val="nil"/>
              <w:tr2bl w:val="nil"/>
            </w:tcBorders>
            <w:shd w:val="clear" w:color="auto" w:fill="auto"/>
            <w:vAlign w:val="center"/>
          </w:tcPr>
          <w:p w14:paraId="4C185C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E4E62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r>
      <w:tr w14:paraId="05959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1594FF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一至四部分合计</w:t>
            </w:r>
          </w:p>
        </w:tc>
        <w:tc>
          <w:tcPr>
            <w:tcW w:w="843" w:type="dxa"/>
            <w:tcBorders>
              <w:tl2br w:val="nil"/>
              <w:tr2bl w:val="nil"/>
            </w:tcBorders>
            <w:shd w:val="clear" w:color="auto" w:fill="auto"/>
            <w:vAlign w:val="center"/>
          </w:tcPr>
          <w:p w14:paraId="212C3F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9.39 </w:t>
            </w:r>
          </w:p>
        </w:tc>
        <w:tc>
          <w:tcPr>
            <w:tcW w:w="843" w:type="dxa"/>
            <w:tcBorders>
              <w:tl2br w:val="nil"/>
              <w:tr2bl w:val="nil"/>
            </w:tcBorders>
            <w:shd w:val="clear" w:color="auto" w:fill="auto"/>
            <w:vAlign w:val="center"/>
          </w:tcPr>
          <w:p w14:paraId="64BCA8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A3947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58602E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BF433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21.58 </w:t>
            </w:r>
          </w:p>
        </w:tc>
        <w:tc>
          <w:tcPr>
            <w:tcW w:w="877" w:type="dxa"/>
            <w:tcBorders>
              <w:tl2br w:val="nil"/>
              <w:tr2bl w:val="nil"/>
            </w:tcBorders>
            <w:shd w:val="clear" w:color="auto" w:fill="auto"/>
            <w:vAlign w:val="center"/>
          </w:tcPr>
          <w:p w14:paraId="372703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38.54</w:t>
            </w:r>
          </w:p>
        </w:tc>
        <w:tc>
          <w:tcPr>
            <w:tcW w:w="877" w:type="dxa"/>
            <w:tcBorders>
              <w:tl2br w:val="nil"/>
              <w:tr2bl w:val="nil"/>
            </w:tcBorders>
            <w:shd w:val="clear" w:color="auto" w:fill="auto"/>
            <w:vAlign w:val="center"/>
          </w:tcPr>
          <w:p w14:paraId="7D25C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60.12 </w:t>
            </w:r>
          </w:p>
        </w:tc>
      </w:tr>
      <w:tr w14:paraId="4461CD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2EC12F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第五部分  预备费</w:t>
            </w:r>
          </w:p>
        </w:tc>
        <w:tc>
          <w:tcPr>
            <w:tcW w:w="843" w:type="dxa"/>
            <w:tcBorders>
              <w:tl2br w:val="nil"/>
              <w:tr2bl w:val="nil"/>
            </w:tcBorders>
            <w:shd w:val="clear" w:color="auto" w:fill="auto"/>
            <w:vAlign w:val="center"/>
          </w:tcPr>
          <w:p w14:paraId="2798D9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2A894F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49DDB2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F020D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5D556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1.29 </w:t>
            </w:r>
          </w:p>
        </w:tc>
        <w:tc>
          <w:tcPr>
            <w:tcW w:w="877" w:type="dxa"/>
            <w:tcBorders>
              <w:tl2br w:val="nil"/>
              <w:tr2bl w:val="nil"/>
            </w:tcBorders>
            <w:shd w:val="clear" w:color="auto" w:fill="auto"/>
            <w:vAlign w:val="center"/>
          </w:tcPr>
          <w:p w14:paraId="00B6CC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3D2EF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1.29 </w:t>
            </w:r>
          </w:p>
        </w:tc>
      </w:tr>
      <w:tr w14:paraId="113F69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5DFD4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第六部分静态总投资</w:t>
            </w:r>
          </w:p>
        </w:tc>
        <w:tc>
          <w:tcPr>
            <w:tcW w:w="843" w:type="dxa"/>
            <w:tcBorders>
              <w:tl2br w:val="nil"/>
              <w:tr2bl w:val="nil"/>
            </w:tcBorders>
            <w:shd w:val="clear" w:color="auto" w:fill="auto"/>
            <w:vAlign w:val="center"/>
          </w:tcPr>
          <w:p w14:paraId="3CECAD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1E98A2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26F73D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488F4E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0CDBFA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22.87 </w:t>
            </w:r>
          </w:p>
        </w:tc>
        <w:tc>
          <w:tcPr>
            <w:tcW w:w="877" w:type="dxa"/>
            <w:tcBorders>
              <w:tl2br w:val="nil"/>
              <w:tr2bl w:val="nil"/>
            </w:tcBorders>
            <w:shd w:val="clear" w:color="auto" w:fill="auto"/>
            <w:vAlign w:val="center"/>
          </w:tcPr>
          <w:p w14:paraId="350E9B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38.54 </w:t>
            </w:r>
          </w:p>
        </w:tc>
        <w:tc>
          <w:tcPr>
            <w:tcW w:w="877" w:type="dxa"/>
            <w:tcBorders>
              <w:tl2br w:val="nil"/>
              <w:tr2bl w:val="nil"/>
            </w:tcBorders>
            <w:shd w:val="clear" w:color="auto" w:fill="auto"/>
            <w:vAlign w:val="center"/>
          </w:tcPr>
          <w:p w14:paraId="590CD8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61.41 </w:t>
            </w:r>
          </w:p>
        </w:tc>
      </w:tr>
      <w:tr w14:paraId="414F6B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1FC0D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第七部分水土保持补偿费</w:t>
            </w:r>
          </w:p>
        </w:tc>
        <w:tc>
          <w:tcPr>
            <w:tcW w:w="843" w:type="dxa"/>
            <w:tcBorders>
              <w:tl2br w:val="nil"/>
              <w:tr2bl w:val="nil"/>
            </w:tcBorders>
            <w:shd w:val="clear" w:color="auto" w:fill="auto"/>
            <w:vAlign w:val="center"/>
          </w:tcPr>
          <w:p w14:paraId="36BFFF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3BDB84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37B4BA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7B2C61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32DC44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1.06</w:t>
            </w:r>
          </w:p>
        </w:tc>
        <w:tc>
          <w:tcPr>
            <w:tcW w:w="877" w:type="dxa"/>
            <w:tcBorders>
              <w:tl2br w:val="nil"/>
              <w:tr2bl w:val="nil"/>
            </w:tcBorders>
            <w:shd w:val="clear" w:color="auto" w:fill="auto"/>
            <w:vAlign w:val="center"/>
          </w:tcPr>
          <w:p w14:paraId="637781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71DA71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1.06</w:t>
            </w:r>
          </w:p>
        </w:tc>
      </w:tr>
      <w:tr w14:paraId="4E24D2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3373" w:type="dxa"/>
            <w:gridSpan w:val="2"/>
            <w:tcBorders>
              <w:tl2br w:val="nil"/>
              <w:tr2bl w:val="nil"/>
            </w:tcBorders>
            <w:shd w:val="clear" w:color="auto" w:fill="auto"/>
            <w:vAlign w:val="center"/>
          </w:tcPr>
          <w:p w14:paraId="298E91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第八部分水土保持总投资</w:t>
            </w:r>
          </w:p>
        </w:tc>
        <w:tc>
          <w:tcPr>
            <w:tcW w:w="843" w:type="dxa"/>
            <w:tcBorders>
              <w:tl2br w:val="nil"/>
              <w:tr2bl w:val="nil"/>
            </w:tcBorders>
            <w:shd w:val="clear" w:color="auto" w:fill="auto"/>
            <w:vAlign w:val="center"/>
          </w:tcPr>
          <w:p w14:paraId="1C648C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0AD600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5" w:type="dxa"/>
            <w:tcBorders>
              <w:tl2br w:val="nil"/>
              <w:tr2bl w:val="nil"/>
            </w:tcBorders>
            <w:shd w:val="clear" w:color="auto" w:fill="auto"/>
            <w:vAlign w:val="center"/>
          </w:tcPr>
          <w:p w14:paraId="09FCC8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43" w:type="dxa"/>
            <w:tcBorders>
              <w:tl2br w:val="nil"/>
              <w:tr2bl w:val="nil"/>
            </w:tcBorders>
            <w:shd w:val="clear" w:color="auto" w:fill="auto"/>
            <w:vAlign w:val="center"/>
          </w:tcPr>
          <w:p w14:paraId="6088FF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877" w:type="dxa"/>
            <w:tcBorders>
              <w:tl2br w:val="nil"/>
              <w:tr2bl w:val="nil"/>
            </w:tcBorders>
            <w:shd w:val="clear" w:color="auto" w:fill="auto"/>
            <w:vAlign w:val="center"/>
          </w:tcPr>
          <w:p w14:paraId="666121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23.93 </w:t>
            </w:r>
          </w:p>
        </w:tc>
        <w:tc>
          <w:tcPr>
            <w:tcW w:w="877" w:type="dxa"/>
            <w:tcBorders>
              <w:tl2br w:val="nil"/>
              <w:tr2bl w:val="nil"/>
            </w:tcBorders>
            <w:shd w:val="clear" w:color="auto" w:fill="auto"/>
            <w:vAlign w:val="center"/>
          </w:tcPr>
          <w:p w14:paraId="51CB69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38.54 </w:t>
            </w:r>
          </w:p>
        </w:tc>
        <w:tc>
          <w:tcPr>
            <w:tcW w:w="877" w:type="dxa"/>
            <w:tcBorders>
              <w:tl2br w:val="nil"/>
              <w:tr2bl w:val="nil"/>
            </w:tcBorders>
            <w:shd w:val="clear" w:color="auto" w:fill="auto"/>
            <w:vAlign w:val="center"/>
          </w:tcPr>
          <w:p w14:paraId="630740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62.47 </w:t>
            </w:r>
          </w:p>
        </w:tc>
      </w:tr>
    </w:tbl>
    <w:p w14:paraId="16D8CFE4">
      <w:pPr>
        <w:pStyle w:val="83"/>
        <w:jc w:val="left"/>
        <w:rPr>
          <w:rFonts w:hint="default" w:ascii="Times New Roman" w:hAnsi="Times New Roman" w:eastAsia="仿宋_GB2312" w:cs="Times New Roman"/>
          <w:b/>
          <w:bCs w:val="0"/>
          <w:highlight w:val="none"/>
        </w:rPr>
      </w:pPr>
      <w:r>
        <w:rPr>
          <w:rFonts w:hint="default" w:ascii="Times New Roman" w:hAnsi="Times New Roman" w:eastAsia="仿宋_GB2312" w:cs="Times New Roman"/>
          <w:b/>
          <w:bCs w:val="0"/>
          <w:highlight w:val="none"/>
        </w:rPr>
        <w:t>表7-9                     水土保持投资分部工程</w:t>
      </w:r>
      <w:r>
        <w:rPr>
          <w:rFonts w:hint="eastAsia" w:eastAsia="仿宋_GB2312" w:cs="Times New Roman"/>
          <w:b/>
          <w:bCs w:val="0"/>
          <w:highlight w:val="none"/>
          <w:lang w:eastAsia="zh-CN"/>
        </w:rPr>
        <w:t>概算</w:t>
      </w:r>
      <w:r>
        <w:rPr>
          <w:rFonts w:hint="default" w:ascii="Times New Roman" w:hAnsi="Times New Roman" w:eastAsia="仿宋_GB2312" w:cs="Times New Roman"/>
          <w:b/>
          <w:bCs w:val="0"/>
          <w:highlight w:val="none"/>
        </w:rPr>
        <w:t>表                单位：元</w:t>
      </w:r>
    </w:p>
    <w:tbl>
      <w:tblPr>
        <w:tblStyle w:val="27"/>
        <w:tblW w:w="956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78"/>
        <w:gridCol w:w="2555"/>
        <w:gridCol w:w="963"/>
        <w:gridCol w:w="1361"/>
        <w:gridCol w:w="1493"/>
        <w:gridCol w:w="1916"/>
      </w:tblGrid>
      <w:tr w14:paraId="4A0A61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tblHeader/>
          <w:jc w:val="center"/>
        </w:trPr>
        <w:tc>
          <w:tcPr>
            <w:tcW w:w="1278" w:type="dxa"/>
            <w:tcBorders>
              <w:tl2br w:val="nil"/>
              <w:tr2bl w:val="nil"/>
            </w:tcBorders>
            <w:shd w:val="clear" w:color="auto" w:fill="auto"/>
            <w:vAlign w:val="center"/>
          </w:tcPr>
          <w:p w14:paraId="66E3B6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编号</w:t>
            </w:r>
          </w:p>
        </w:tc>
        <w:tc>
          <w:tcPr>
            <w:tcW w:w="2555" w:type="dxa"/>
            <w:tcBorders>
              <w:tl2br w:val="nil"/>
              <w:tr2bl w:val="nil"/>
            </w:tcBorders>
            <w:shd w:val="clear" w:color="auto" w:fill="auto"/>
            <w:vAlign w:val="center"/>
          </w:tcPr>
          <w:p w14:paraId="0F186D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工程或费用名称</w:t>
            </w:r>
          </w:p>
        </w:tc>
        <w:tc>
          <w:tcPr>
            <w:tcW w:w="963" w:type="dxa"/>
            <w:tcBorders>
              <w:tl2br w:val="nil"/>
              <w:tr2bl w:val="nil"/>
            </w:tcBorders>
            <w:shd w:val="clear" w:color="auto" w:fill="auto"/>
            <w:vAlign w:val="center"/>
          </w:tcPr>
          <w:p w14:paraId="3B059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单位</w:t>
            </w:r>
          </w:p>
        </w:tc>
        <w:tc>
          <w:tcPr>
            <w:tcW w:w="1361" w:type="dxa"/>
            <w:tcBorders>
              <w:tl2br w:val="nil"/>
              <w:tr2bl w:val="nil"/>
            </w:tcBorders>
            <w:shd w:val="clear" w:color="auto" w:fill="auto"/>
            <w:vAlign w:val="center"/>
          </w:tcPr>
          <w:p w14:paraId="5DAB3A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数量</w:t>
            </w:r>
          </w:p>
        </w:tc>
        <w:tc>
          <w:tcPr>
            <w:tcW w:w="1493" w:type="dxa"/>
            <w:tcBorders>
              <w:tl2br w:val="nil"/>
              <w:tr2bl w:val="nil"/>
            </w:tcBorders>
            <w:shd w:val="clear" w:color="auto" w:fill="auto"/>
            <w:vAlign w:val="center"/>
          </w:tcPr>
          <w:p w14:paraId="642FC6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单价(元)</w:t>
            </w:r>
          </w:p>
        </w:tc>
        <w:tc>
          <w:tcPr>
            <w:tcW w:w="1916" w:type="dxa"/>
            <w:tcBorders>
              <w:tl2br w:val="nil"/>
              <w:tr2bl w:val="nil"/>
            </w:tcBorders>
            <w:shd w:val="clear" w:color="auto" w:fill="auto"/>
            <w:vAlign w:val="center"/>
          </w:tcPr>
          <w:p w14:paraId="050953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合计（元）</w:t>
            </w:r>
          </w:p>
        </w:tc>
      </w:tr>
      <w:tr w14:paraId="34FEEB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833" w:type="dxa"/>
            <w:gridSpan w:val="2"/>
            <w:tcBorders>
              <w:tl2br w:val="nil"/>
              <w:tr2bl w:val="nil"/>
            </w:tcBorders>
            <w:shd w:val="clear" w:color="auto" w:fill="auto"/>
            <w:noWrap/>
            <w:vAlign w:val="center"/>
          </w:tcPr>
          <w:p w14:paraId="2D3D5F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第一部分 工程措施</w:t>
            </w:r>
          </w:p>
        </w:tc>
        <w:tc>
          <w:tcPr>
            <w:tcW w:w="963" w:type="dxa"/>
            <w:tcBorders>
              <w:tl2br w:val="nil"/>
              <w:tr2bl w:val="nil"/>
            </w:tcBorders>
            <w:shd w:val="clear" w:color="auto" w:fill="auto"/>
            <w:noWrap/>
            <w:vAlign w:val="center"/>
          </w:tcPr>
          <w:p w14:paraId="68D88E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18B464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55DBDF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3CFA39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r>
      <w:tr w14:paraId="7A642A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3833" w:type="dxa"/>
            <w:gridSpan w:val="2"/>
            <w:tcBorders>
              <w:tl2br w:val="nil"/>
              <w:tr2bl w:val="nil"/>
            </w:tcBorders>
            <w:shd w:val="clear" w:color="auto" w:fill="auto"/>
            <w:noWrap/>
            <w:vAlign w:val="center"/>
          </w:tcPr>
          <w:p w14:paraId="21097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第二部分 植物措施</w:t>
            </w:r>
          </w:p>
        </w:tc>
        <w:tc>
          <w:tcPr>
            <w:tcW w:w="963" w:type="dxa"/>
            <w:tcBorders>
              <w:tl2br w:val="nil"/>
              <w:tr2bl w:val="nil"/>
            </w:tcBorders>
            <w:shd w:val="clear" w:color="auto" w:fill="auto"/>
            <w:noWrap/>
            <w:vAlign w:val="center"/>
          </w:tcPr>
          <w:p w14:paraId="7A3667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38B17C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6780A4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30024B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r>
      <w:tr w14:paraId="2E8353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3833" w:type="dxa"/>
            <w:gridSpan w:val="2"/>
            <w:tcBorders>
              <w:tl2br w:val="nil"/>
              <w:tr2bl w:val="nil"/>
            </w:tcBorders>
            <w:shd w:val="clear" w:color="auto" w:fill="auto"/>
            <w:noWrap/>
            <w:vAlign w:val="center"/>
          </w:tcPr>
          <w:p w14:paraId="7C37D4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第三部分 临时措施</w:t>
            </w:r>
          </w:p>
        </w:tc>
        <w:tc>
          <w:tcPr>
            <w:tcW w:w="963" w:type="dxa"/>
            <w:tcBorders>
              <w:tl2br w:val="nil"/>
              <w:tr2bl w:val="nil"/>
            </w:tcBorders>
            <w:shd w:val="clear" w:color="auto" w:fill="auto"/>
            <w:noWrap/>
            <w:vAlign w:val="center"/>
          </w:tcPr>
          <w:p w14:paraId="022A15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4A53C1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03E378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2037AE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93901.10 </w:t>
            </w:r>
          </w:p>
        </w:tc>
      </w:tr>
      <w:tr w14:paraId="120949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noWrap/>
            <w:vAlign w:val="center"/>
          </w:tcPr>
          <w:p w14:paraId="649EBD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一</w:t>
            </w:r>
          </w:p>
        </w:tc>
        <w:tc>
          <w:tcPr>
            <w:tcW w:w="2555" w:type="dxa"/>
            <w:tcBorders>
              <w:tl2br w:val="nil"/>
              <w:tr2bl w:val="nil"/>
            </w:tcBorders>
            <w:shd w:val="clear" w:color="auto" w:fill="auto"/>
            <w:noWrap/>
            <w:vAlign w:val="center"/>
          </w:tcPr>
          <w:p w14:paraId="50CC30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地块一</w:t>
            </w:r>
          </w:p>
        </w:tc>
        <w:tc>
          <w:tcPr>
            <w:tcW w:w="963" w:type="dxa"/>
            <w:tcBorders>
              <w:tl2br w:val="nil"/>
              <w:tr2bl w:val="nil"/>
            </w:tcBorders>
            <w:shd w:val="clear" w:color="auto" w:fill="auto"/>
            <w:noWrap/>
            <w:vAlign w:val="center"/>
          </w:tcPr>
          <w:p w14:paraId="38A1AE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50D848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717EB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0DD170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39162.99 </w:t>
            </w:r>
          </w:p>
        </w:tc>
      </w:tr>
      <w:tr w14:paraId="74EC3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61801E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（一）</w:t>
            </w:r>
          </w:p>
        </w:tc>
        <w:tc>
          <w:tcPr>
            <w:tcW w:w="2555" w:type="dxa"/>
            <w:tcBorders>
              <w:tl2br w:val="nil"/>
              <w:tr2bl w:val="nil"/>
            </w:tcBorders>
            <w:shd w:val="clear" w:color="auto" w:fill="auto"/>
            <w:vAlign w:val="center"/>
          </w:tcPr>
          <w:p w14:paraId="63AD9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建构筑物区</w:t>
            </w:r>
          </w:p>
        </w:tc>
        <w:tc>
          <w:tcPr>
            <w:tcW w:w="963" w:type="dxa"/>
            <w:tcBorders>
              <w:tl2br w:val="nil"/>
              <w:tr2bl w:val="nil"/>
            </w:tcBorders>
            <w:shd w:val="clear" w:color="auto" w:fill="auto"/>
            <w:noWrap/>
            <w:vAlign w:val="center"/>
          </w:tcPr>
          <w:p w14:paraId="32506A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18D06A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730B11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411D7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990.00 </w:t>
            </w:r>
          </w:p>
        </w:tc>
      </w:tr>
      <w:tr w14:paraId="726047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853CA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1</w:t>
            </w:r>
          </w:p>
        </w:tc>
        <w:tc>
          <w:tcPr>
            <w:tcW w:w="2555" w:type="dxa"/>
            <w:tcBorders>
              <w:tl2br w:val="nil"/>
              <w:tr2bl w:val="nil"/>
            </w:tcBorders>
            <w:shd w:val="clear" w:color="auto" w:fill="auto"/>
            <w:noWrap/>
            <w:vAlign w:val="center"/>
          </w:tcPr>
          <w:p w14:paraId="191C4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临时苫盖</w:t>
            </w:r>
          </w:p>
        </w:tc>
        <w:tc>
          <w:tcPr>
            <w:tcW w:w="963" w:type="dxa"/>
            <w:tcBorders>
              <w:tl2br w:val="nil"/>
              <w:tr2bl w:val="nil"/>
            </w:tcBorders>
            <w:shd w:val="clear" w:color="auto" w:fill="auto"/>
            <w:noWrap/>
            <w:vAlign w:val="center"/>
          </w:tcPr>
          <w:p w14:paraId="5C7496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3CA953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77C9B6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29872E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990.00 </w:t>
            </w:r>
          </w:p>
        </w:tc>
      </w:tr>
      <w:tr w14:paraId="3949D8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5517DF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0313A0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彩条布铺设</w:t>
            </w:r>
          </w:p>
        </w:tc>
        <w:tc>
          <w:tcPr>
            <w:tcW w:w="963" w:type="dxa"/>
            <w:tcBorders>
              <w:tl2br w:val="nil"/>
              <w:tr2bl w:val="nil"/>
            </w:tcBorders>
            <w:shd w:val="clear" w:color="auto" w:fill="auto"/>
            <w:noWrap/>
            <w:vAlign w:val="center"/>
          </w:tcPr>
          <w:p w14:paraId="1CD13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5234F5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180.00 </w:t>
            </w:r>
          </w:p>
        </w:tc>
        <w:tc>
          <w:tcPr>
            <w:tcW w:w="1493" w:type="dxa"/>
            <w:tcBorders>
              <w:tl2br w:val="nil"/>
              <w:tr2bl w:val="nil"/>
            </w:tcBorders>
            <w:shd w:val="clear" w:color="auto" w:fill="auto"/>
            <w:noWrap/>
            <w:vAlign w:val="center"/>
          </w:tcPr>
          <w:p w14:paraId="550C1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5.50 </w:t>
            </w:r>
          </w:p>
        </w:tc>
        <w:tc>
          <w:tcPr>
            <w:tcW w:w="1916" w:type="dxa"/>
            <w:tcBorders>
              <w:tl2br w:val="nil"/>
              <w:tr2bl w:val="nil"/>
            </w:tcBorders>
            <w:shd w:val="clear" w:color="auto" w:fill="auto"/>
            <w:noWrap/>
            <w:vAlign w:val="center"/>
          </w:tcPr>
          <w:p w14:paraId="42413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990.00 </w:t>
            </w:r>
          </w:p>
        </w:tc>
      </w:tr>
      <w:tr w14:paraId="6E401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32A5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（二）</w:t>
            </w:r>
          </w:p>
        </w:tc>
        <w:tc>
          <w:tcPr>
            <w:tcW w:w="2555" w:type="dxa"/>
            <w:tcBorders>
              <w:tl2br w:val="nil"/>
              <w:tr2bl w:val="nil"/>
            </w:tcBorders>
            <w:shd w:val="clear" w:color="auto" w:fill="auto"/>
            <w:vAlign w:val="center"/>
          </w:tcPr>
          <w:p w14:paraId="26A07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道路及硬化区</w:t>
            </w:r>
          </w:p>
        </w:tc>
        <w:tc>
          <w:tcPr>
            <w:tcW w:w="963" w:type="dxa"/>
            <w:tcBorders>
              <w:tl2br w:val="nil"/>
              <w:tr2bl w:val="nil"/>
            </w:tcBorders>
            <w:shd w:val="clear" w:color="auto" w:fill="auto"/>
            <w:noWrap/>
            <w:vAlign w:val="center"/>
          </w:tcPr>
          <w:p w14:paraId="5C59B1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431603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1E7DDD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78858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25343.89 </w:t>
            </w:r>
          </w:p>
        </w:tc>
      </w:tr>
      <w:tr w14:paraId="4EBE4F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601287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1</w:t>
            </w:r>
          </w:p>
        </w:tc>
        <w:tc>
          <w:tcPr>
            <w:tcW w:w="2555" w:type="dxa"/>
            <w:tcBorders>
              <w:tl2br w:val="nil"/>
              <w:tr2bl w:val="nil"/>
            </w:tcBorders>
            <w:shd w:val="clear" w:color="auto" w:fill="auto"/>
            <w:noWrap/>
            <w:vAlign w:val="center"/>
          </w:tcPr>
          <w:p w14:paraId="5858E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临时苫盖</w:t>
            </w:r>
          </w:p>
        </w:tc>
        <w:tc>
          <w:tcPr>
            <w:tcW w:w="963" w:type="dxa"/>
            <w:tcBorders>
              <w:tl2br w:val="nil"/>
              <w:tr2bl w:val="nil"/>
            </w:tcBorders>
            <w:shd w:val="clear" w:color="auto" w:fill="auto"/>
            <w:noWrap/>
            <w:vAlign w:val="center"/>
          </w:tcPr>
          <w:p w14:paraId="23F421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728844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33F4F8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79C7A0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1270.50 </w:t>
            </w:r>
          </w:p>
        </w:tc>
      </w:tr>
      <w:tr w14:paraId="4807A3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3129F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49D63B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彩条布铺设</w:t>
            </w:r>
          </w:p>
        </w:tc>
        <w:tc>
          <w:tcPr>
            <w:tcW w:w="963" w:type="dxa"/>
            <w:tcBorders>
              <w:tl2br w:val="nil"/>
              <w:tr2bl w:val="nil"/>
            </w:tcBorders>
            <w:shd w:val="clear" w:color="auto" w:fill="auto"/>
            <w:noWrap/>
            <w:vAlign w:val="center"/>
          </w:tcPr>
          <w:p w14:paraId="3FE1C6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3B392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231.00 </w:t>
            </w:r>
          </w:p>
        </w:tc>
        <w:tc>
          <w:tcPr>
            <w:tcW w:w="1493" w:type="dxa"/>
            <w:tcBorders>
              <w:tl2br w:val="nil"/>
              <w:tr2bl w:val="nil"/>
            </w:tcBorders>
            <w:shd w:val="clear" w:color="auto" w:fill="auto"/>
            <w:noWrap/>
            <w:vAlign w:val="center"/>
          </w:tcPr>
          <w:p w14:paraId="5F536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5.50 </w:t>
            </w:r>
          </w:p>
        </w:tc>
        <w:tc>
          <w:tcPr>
            <w:tcW w:w="1916" w:type="dxa"/>
            <w:tcBorders>
              <w:tl2br w:val="nil"/>
              <w:tr2bl w:val="nil"/>
            </w:tcBorders>
            <w:shd w:val="clear" w:color="auto" w:fill="auto"/>
            <w:noWrap/>
            <w:vAlign w:val="center"/>
          </w:tcPr>
          <w:p w14:paraId="1ACD1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1270.50 </w:t>
            </w:r>
          </w:p>
        </w:tc>
      </w:tr>
      <w:tr w14:paraId="7F2A2B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1DB487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2</w:t>
            </w:r>
          </w:p>
        </w:tc>
        <w:tc>
          <w:tcPr>
            <w:tcW w:w="2555" w:type="dxa"/>
            <w:tcBorders>
              <w:tl2br w:val="nil"/>
              <w:tr2bl w:val="nil"/>
            </w:tcBorders>
            <w:shd w:val="clear" w:color="auto" w:fill="auto"/>
            <w:vAlign w:val="center"/>
          </w:tcPr>
          <w:p w14:paraId="37775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临时沉砂池</w:t>
            </w:r>
          </w:p>
        </w:tc>
        <w:tc>
          <w:tcPr>
            <w:tcW w:w="963" w:type="dxa"/>
            <w:tcBorders>
              <w:tl2br w:val="nil"/>
              <w:tr2bl w:val="nil"/>
            </w:tcBorders>
            <w:shd w:val="clear" w:color="auto" w:fill="auto"/>
            <w:noWrap/>
            <w:vAlign w:val="center"/>
          </w:tcPr>
          <w:p w14:paraId="0B4878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座</w:t>
            </w:r>
          </w:p>
        </w:tc>
        <w:tc>
          <w:tcPr>
            <w:tcW w:w="1361" w:type="dxa"/>
            <w:tcBorders>
              <w:tl2br w:val="nil"/>
              <w:tr2bl w:val="nil"/>
            </w:tcBorders>
            <w:shd w:val="clear" w:color="auto" w:fill="auto"/>
            <w:noWrap/>
            <w:vAlign w:val="center"/>
          </w:tcPr>
          <w:p w14:paraId="5E3DB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 </w:t>
            </w:r>
          </w:p>
        </w:tc>
        <w:tc>
          <w:tcPr>
            <w:tcW w:w="1493" w:type="dxa"/>
            <w:tcBorders>
              <w:tl2br w:val="nil"/>
              <w:tr2bl w:val="nil"/>
            </w:tcBorders>
            <w:shd w:val="clear" w:color="auto" w:fill="auto"/>
            <w:noWrap/>
            <w:vAlign w:val="center"/>
          </w:tcPr>
          <w:p w14:paraId="688D12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0C3FC8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3186.40 </w:t>
            </w:r>
          </w:p>
        </w:tc>
      </w:tr>
      <w:tr w14:paraId="56342C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82DF1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95D66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土方开挖</w:t>
            </w:r>
          </w:p>
        </w:tc>
        <w:tc>
          <w:tcPr>
            <w:tcW w:w="963" w:type="dxa"/>
            <w:tcBorders>
              <w:tl2br w:val="nil"/>
              <w:tr2bl w:val="nil"/>
            </w:tcBorders>
            <w:shd w:val="clear" w:color="auto" w:fill="auto"/>
            <w:noWrap/>
            <w:vAlign w:val="center"/>
          </w:tcPr>
          <w:p w14:paraId="6A8D1A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1D80D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8.40 </w:t>
            </w:r>
          </w:p>
        </w:tc>
        <w:tc>
          <w:tcPr>
            <w:tcW w:w="1493" w:type="dxa"/>
            <w:tcBorders>
              <w:tl2br w:val="nil"/>
              <w:tr2bl w:val="nil"/>
            </w:tcBorders>
            <w:shd w:val="clear" w:color="auto" w:fill="auto"/>
            <w:noWrap/>
            <w:vAlign w:val="center"/>
          </w:tcPr>
          <w:p w14:paraId="1389F7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45.94 </w:t>
            </w:r>
          </w:p>
        </w:tc>
        <w:tc>
          <w:tcPr>
            <w:tcW w:w="1916" w:type="dxa"/>
            <w:tcBorders>
              <w:tl2br w:val="nil"/>
              <w:tr2bl w:val="nil"/>
            </w:tcBorders>
            <w:shd w:val="clear" w:color="auto" w:fill="auto"/>
            <w:noWrap/>
            <w:vAlign w:val="center"/>
          </w:tcPr>
          <w:p w14:paraId="74A1AC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385.90 </w:t>
            </w:r>
          </w:p>
        </w:tc>
      </w:tr>
      <w:tr w14:paraId="4DAD2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B3C8B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49DD92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土方回填</w:t>
            </w:r>
          </w:p>
        </w:tc>
        <w:tc>
          <w:tcPr>
            <w:tcW w:w="963" w:type="dxa"/>
            <w:tcBorders>
              <w:tl2br w:val="nil"/>
              <w:tr2bl w:val="nil"/>
            </w:tcBorders>
            <w:shd w:val="clear" w:color="auto" w:fill="auto"/>
            <w:noWrap/>
            <w:vAlign w:val="center"/>
          </w:tcPr>
          <w:p w14:paraId="708742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43E418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1.60 </w:t>
            </w:r>
          </w:p>
        </w:tc>
        <w:tc>
          <w:tcPr>
            <w:tcW w:w="1493" w:type="dxa"/>
            <w:tcBorders>
              <w:tl2br w:val="nil"/>
              <w:tr2bl w:val="nil"/>
            </w:tcBorders>
            <w:shd w:val="clear" w:color="auto" w:fill="auto"/>
            <w:noWrap/>
            <w:vAlign w:val="center"/>
          </w:tcPr>
          <w:p w14:paraId="1ED15C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63.51 </w:t>
            </w:r>
          </w:p>
        </w:tc>
        <w:tc>
          <w:tcPr>
            <w:tcW w:w="1916" w:type="dxa"/>
            <w:tcBorders>
              <w:tl2br w:val="nil"/>
              <w:tr2bl w:val="nil"/>
            </w:tcBorders>
            <w:shd w:val="clear" w:color="auto" w:fill="auto"/>
            <w:noWrap/>
            <w:vAlign w:val="center"/>
          </w:tcPr>
          <w:p w14:paraId="0C425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101.62 </w:t>
            </w:r>
          </w:p>
        </w:tc>
      </w:tr>
      <w:tr w14:paraId="388E20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6A20A5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4EEC5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M7.5砖砌</w:t>
            </w:r>
          </w:p>
        </w:tc>
        <w:tc>
          <w:tcPr>
            <w:tcW w:w="963" w:type="dxa"/>
            <w:tcBorders>
              <w:tl2br w:val="nil"/>
              <w:tr2bl w:val="nil"/>
            </w:tcBorders>
            <w:shd w:val="clear" w:color="auto" w:fill="auto"/>
            <w:noWrap/>
            <w:vAlign w:val="center"/>
          </w:tcPr>
          <w:p w14:paraId="323186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27CEFD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2.42 </w:t>
            </w:r>
          </w:p>
        </w:tc>
        <w:tc>
          <w:tcPr>
            <w:tcW w:w="1493" w:type="dxa"/>
            <w:tcBorders>
              <w:tl2br w:val="nil"/>
              <w:tr2bl w:val="nil"/>
            </w:tcBorders>
            <w:shd w:val="clear" w:color="auto" w:fill="auto"/>
            <w:noWrap/>
            <w:vAlign w:val="center"/>
          </w:tcPr>
          <w:p w14:paraId="70C22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618.10 </w:t>
            </w:r>
          </w:p>
        </w:tc>
        <w:tc>
          <w:tcPr>
            <w:tcW w:w="1916" w:type="dxa"/>
            <w:tcBorders>
              <w:tl2br w:val="nil"/>
              <w:tr2bl w:val="nil"/>
            </w:tcBorders>
            <w:shd w:val="clear" w:color="auto" w:fill="auto"/>
            <w:noWrap/>
            <w:vAlign w:val="center"/>
          </w:tcPr>
          <w:p w14:paraId="17D14A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1495.80 </w:t>
            </w:r>
          </w:p>
        </w:tc>
      </w:tr>
      <w:tr w14:paraId="11F594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8585F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8038F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M7.5砂浆抹面</w:t>
            </w:r>
          </w:p>
        </w:tc>
        <w:tc>
          <w:tcPr>
            <w:tcW w:w="963" w:type="dxa"/>
            <w:tcBorders>
              <w:tl2br w:val="nil"/>
              <w:tr2bl w:val="nil"/>
            </w:tcBorders>
            <w:shd w:val="clear" w:color="auto" w:fill="auto"/>
            <w:noWrap/>
            <w:vAlign w:val="center"/>
          </w:tcPr>
          <w:p w14:paraId="0300B2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10FD0A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31.00 </w:t>
            </w:r>
          </w:p>
        </w:tc>
        <w:tc>
          <w:tcPr>
            <w:tcW w:w="1493" w:type="dxa"/>
            <w:tcBorders>
              <w:tl2br w:val="nil"/>
              <w:tr2bl w:val="nil"/>
            </w:tcBorders>
            <w:shd w:val="clear" w:color="auto" w:fill="auto"/>
            <w:noWrap/>
            <w:vAlign w:val="center"/>
          </w:tcPr>
          <w:p w14:paraId="4CD17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24.34 </w:t>
            </w:r>
          </w:p>
        </w:tc>
        <w:tc>
          <w:tcPr>
            <w:tcW w:w="1916" w:type="dxa"/>
            <w:tcBorders>
              <w:tl2br w:val="nil"/>
              <w:tr2bl w:val="nil"/>
            </w:tcBorders>
            <w:shd w:val="clear" w:color="auto" w:fill="auto"/>
            <w:noWrap/>
            <w:vAlign w:val="center"/>
          </w:tcPr>
          <w:p w14:paraId="37A495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754.54 </w:t>
            </w:r>
          </w:p>
        </w:tc>
      </w:tr>
      <w:tr w14:paraId="6D4395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5B6A4B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C13AE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C20砼</w:t>
            </w:r>
          </w:p>
        </w:tc>
        <w:tc>
          <w:tcPr>
            <w:tcW w:w="963" w:type="dxa"/>
            <w:tcBorders>
              <w:tl2br w:val="nil"/>
              <w:tr2bl w:val="nil"/>
            </w:tcBorders>
            <w:shd w:val="clear" w:color="auto" w:fill="auto"/>
            <w:noWrap/>
            <w:vAlign w:val="center"/>
          </w:tcPr>
          <w:p w14:paraId="144078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5DED6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0.66 </w:t>
            </w:r>
          </w:p>
        </w:tc>
        <w:tc>
          <w:tcPr>
            <w:tcW w:w="1493" w:type="dxa"/>
            <w:tcBorders>
              <w:tl2br w:val="nil"/>
              <w:tr2bl w:val="nil"/>
            </w:tcBorders>
            <w:shd w:val="clear" w:color="auto" w:fill="auto"/>
            <w:noWrap/>
            <w:vAlign w:val="center"/>
          </w:tcPr>
          <w:p w14:paraId="3F43F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679.60 </w:t>
            </w:r>
          </w:p>
        </w:tc>
        <w:tc>
          <w:tcPr>
            <w:tcW w:w="1916" w:type="dxa"/>
            <w:tcBorders>
              <w:tl2br w:val="nil"/>
              <w:tr2bl w:val="nil"/>
            </w:tcBorders>
            <w:shd w:val="clear" w:color="auto" w:fill="auto"/>
            <w:noWrap/>
            <w:vAlign w:val="center"/>
          </w:tcPr>
          <w:p w14:paraId="4929A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448.54 </w:t>
            </w:r>
          </w:p>
        </w:tc>
      </w:tr>
      <w:tr w14:paraId="719A21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5AAE2B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3</w:t>
            </w:r>
          </w:p>
        </w:tc>
        <w:tc>
          <w:tcPr>
            <w:tcW w:w="2555" w:type="dxa"/>
            <w:tcBorders>
              <w:tl2br w:val="nil"/>
              <w:tr2bl w:val="nil"/>
            </w:tcBorders>
            <w:shd w:val="clear" w:color="auto" w:fill="auto"/>
            <w:noWrap/>
            <w:vAlign w:val="center"/>
          </w:tcPr>
          <w:p w14:paraId="119287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车辆清洗池</w:t>
            </w:r>
          </w:p>
        </w:tc>
        <w:tc>
          <w:tcPr>
            <w:tcW w:w="963" w:type="dxa"/>
            <w:tcBorders>
              <w:tl2br w:val="nil"/>
              <w:tr2bl w:val="nil"/>
            </w:tcBorders>
            <w:shd w:val="clear" w:color="auto" w:fill="auto"/>
            <w:noWrap/>
            <w:vAlign w:val="center"/>
          </w:tcPr>
          <w:p w14:paraId="554A7A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座</w:t>
            </w:r>
          </w:p>
        </w:tc>
        <w:tc>
          <w:tcPr>
            <w:tcW w:w="1361" w:type="dxa"/>
            <w:tcBorders>
              <w:tl2br w:val="nil"/>
              <w:tr2bl w:val="nil"/>
            </w:tcBorders>
            <w:shd w:val="clear" w:color="auto" w:fill="auto"/>
            <w:noWrap/>
            <w:vAlign w:val="center"/>
          </w:tcPr>
          <w:p w14:paraId="7685E9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 </w:t>
            </w:r>
          </w:p>
        </w:tc>
        <w:tc>
          <w:tcPr>
            <w:tcW w:w="1493" w:type="dxa"/>
            <w:tcBorders>
              <w:tl2br w:val="nil"/>
              <w:tr2bl w:val="nil"/>
            </w:tcBorders>
            <w:shd w:val="clear" w:color="auto" w:fill="auto"/>
            <w:noWrap/>
            <w:vAlign w:val="center"/>
          </w:tcPr>
          <w:p w14:paraId="3754DD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2843AA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18886.99 </w:t>
            </w:r>
          </w:p>
        </w:tc>
      </w:tr>
      <w:tr w14:paraId="1968E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CD7B7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76706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土方开挖</w:t>
            </w:r>
          </w:p>
        </w:tc>
        <w:tc>
          <w:tcPr>
            <w:tcW w:w="963" w:type="dxa"/>
            <w:tcBorders>
              <w:tl2br w:val="nil"/>
              <w:tr2bl w:val="nil"/>
            </w:tcBorders>
            <w:shd w:val="clear" w:color="auto" w:fill="auto"/>
            <w:noWrap/>
            <w:vAlign w:val="center"/>
          </w:tcPr>
          <w:p w14:paraId="00FDE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6416B2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42.00 </w:t>
            </w:r>
          </w:p>
        </w:tc>
        <w:tc>
          <w:tcPr>
            <w:tcW w:w="1493" w:type="dxa"/>
            <w:tcBorders>
              <w:tl2br w:val="nil"/>
              <w:tr2bl w:val="nil"/>
            </w:tcBorders>
            <w:shd w:val="clear" w:color="auto" w:fill="auto"/>
            <w:noWrap/>
            <w:vAlign w:val="center"/>
          </w:tcPr>
          <w:p w14:paraId="1BE074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45.94 </w:t>
            </w:r>
          </w:p>
        </w:tc>
        <w:tc>
          <w:tcPr>
            <w:tcW w:w="1916" w:type="dxa"/>
            <w:tcBorders>
              <w:tl2br w:val="nil"/>
              <w:tr2bl w:val="nil"/>
            </w:tcBorders>
            <w:shd w:val="clear" w:color="auto" w:fill="auto"/>
            <w:noWrap/>
            <w:vAlign w:val="center"/>
          </w:tcPr>
          <w:p w14:paraId="5117F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1929.48 </w:t>
            </w:r>
          </w:p>
        </w:tc>
      </w:tr>
      <w:tr w14:paraId="2D76C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5A0DE9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A642E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土方回填</w:t>
            </w:r>
          </w:p>
        </w:tc>
        <w:tc>
          <w:tcPr>
            <w:tcW w:w="963" w:type="dxa"/>
            <w:tcBorders>
              <w:tl2br w:val="nil"/>
              <w:tr2bl w:val="nil"/>
            </w:tcBorders>
            <w:shd w:val="clear" w:color="auto" w:fill="auto"/>
            <w:noWrap/>
            <w:vAlign w:val="center"/>
          </w:tcPr>
          <w:p w14:paraId="5448F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7D37D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10.80 </w:t>
            </w:r>
          </w:p>
        </w:tc>
        <w:tc>
          <w:tcPr>
            <w:tcW w:w="1493" w:type="dxa"/>
            <w:tcBorders>
              <w:tl2br w:val="nil"/>
              <w:tr2bl w:val="nil"/>
            </w:tcBorders>
            <w:shd w:val="clear" w:color="auto" w:fill="auto"/>
            <w:noWrap/>
            <w:vAlign w:val="center"/>
          </w:tcPr>
          <w:p w14:paraId="14780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63.51 </w:t>
            </w:r>
          </w:p>
        </w:tc>
        <w:tc>
          <w:tcPr>
            <w:tcW w:w="1916" w:type="dxa"/>
            <w:tcBorders>
              <w:tl2br w:val="nil"/>
              <w:tr2bl w:val="nil"/>
            </w:tcBorders>
            <w:shd w:val="clear" w:color="auto" w:fill="auto"/>
            <w:noWrap/>
            <w:vAlign w:val="center"/>
          </w:tcPr>
          <w:p w14:paraId="1A718F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685.91 </w:t>
            </w:r>
          </w:p>
        </w:tc>
      </w:tr>
      <w:tr w14:paraId="765DE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7C21F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2CF65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C20砼</w:t>
            </w:r>
          </w:p>
        </w:tc>
        <w:tc>
          <w:tcPr>
            <w:tcW w:w="963" w:type="dxa"/>
            <w:tcBorders>
              <w:tl2br w:val="nil"/>
              <w:tr2bl w:val="nil"/>
            </w:tcBorders>
            <w:shd w:val="clear" w:color="auto" w:fill="auto"/>
            <w:noWrap/>
            <w:vAlign w:val="center"/>
          </w:tcPr>
          <w:p w14:paraId="595FCE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324480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21.00 </w:t>
            </w:r>
          </w:p>
        </w:tc>
        <w:tc>
          <w:tcPr>
            <w:tcW w:w="1493" w:type="dxa"/>
            <w:tcBorders>
              <w:tl2br w:val="nil"/>
              <w:tr2bl w:val="nil"/>
            </w:tcBorders>
            <w:shd w:val="clear" w:color="auto" w:fill="auto"/>
            <w:noWrap/>
            <w:vAlign w:val="center"/>
          </w:tcPr>
          <w:p w14:paraId="68035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679.60 </w:t>
            </w:r>
          </w:p>
        </w:tc>
        <w:tc>
          <w:tcPr>
            <w:tcW w:w="1916" w:type="dxa"/>
            <w:tcBorders>
              <w:tl2br w:val="nil"/>
              <w:tr2bl w:val="nil"/>
            </w:tcBorders>
            <w:shd w:val="clear" w:color="auto" w:fill="auto"/>
            <w:noWrap/>
            <w:vAlign w:val="center"/>
          </w:tcPr>
          <w:p w14:paraId="72246E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14271.60 </w:t>
            </w:r>
          </w:p>
        </w:tc>
      </w:tr>
      <w:tr w14:paraId="6F8D9C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529AE1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4</w:t>
            </w:r>
          </w:p>
        </w:tc>
        <w:tc>
          <w:tcPr>
            <w:tcW w:w="2555" w:type="dxa"/>
            <w:tcBorders>
              <w:tl2br w:val="nil"/>
              <w:tr2bl w:val="nil"/>
            </w:tcBorders>
            <w:shd w:val="clear" w:color="auto" w:fill="auto"/>
            <w:vAlign w:val="center"/>
          </w:tcPr>
          <w:p w14:paraId="394C72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车辆冲洗设备</w:t>
            </w:r>
          </w:p>
        </w:tc>
        <w:tc>
          <w:tcPr>
            <w:tcW w:w="963" w:type="dxa"/>
            <w:tcBorders>
              <w:tl2br w:val="nil"/>
              <w:tr2bl w:val="nil"/>
            </w:tcBorders>
            <w:shd w:val="clear" w:color="auto" w:fill="auto"/>
            <w:noWrap/>
            <w:vAlign w:val="center"/>
          </w:tcPr>
          <w:p w14:paraId="4CFBD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套</w:t>
            </w:r>
          </w:p>
        </w:tc>
        <w:tc>
          <w:tcPr>
            <w:tcW w:w="1361" w:type="dxa"/>
            <w:tcBorders>
              <w:tl2br w:val="nil"/>
              <w:tr2bl w:val="nil"/>
            </w:tcBorders>
            <w:shd w:val="clear" w:color="auto" w:fill="auto"/>
            <w:noWrap/>
            <w:vAlign w:val="center"/>
          </w:tcPr>
          <w:p w14:paraId="17F239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 </w:t>
            </w:r>
          </w:p>
        </w:tc>
        <w:tc>
          <w:tcPr>
            <w:tcW w:w="1493" w:type="dxa"/>
            <w:tcBorders>
              <w:tl2br w:val="nil"/>
              <w:tr2bl w:val="nil"/>
            </w:tcBorders>
            <w:shd w:val="clear" w:color="auto" w:fill="auto"/>
            <w:noWrap/>
            <w:vAlign w:val="center"/>
          </w:tcPr>
          <w:p w14:paraId="3DE5FE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2000.00 </w:t>
            </w:r>
          </w:p>
        </w:tc>
        <w:tc>
          <w:tcPr>
            <w:tcW w:w="1916" w:type="dxa"/>
            <w:tcBorders>
              <w:tl2br w:val="nil"/>
              <w:tr2bl w:val="nil"/>
            </w:tcBorders>
            <w:shd w:val="clear" w:color="auto" w:fill="auto"/>
            <w:noWrap/>
            <w:vAlign w:val="center"/>
          </w:tcPr>
          <w:p w14:paraId="540FE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2000.00 </w:t>
            </w:r>
          </w:p>
        </w:tc>
      </w:tr>
      <w:tr w14:paraId="2189E6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DEFAE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（三）</w:t>
            </w:r>
          </w:p>
        </w:tc>
        <w:tc>
          <w:tcPr>
            <w:tcW w:w="2555" w:type="dxa"/>
            <w:tcBorders>
              <w:tl2br w:val="nil"/>
              <w:tr2bl w:val="nil"/>
            </w:tcBorders>
            <w:shd w:val="clear" w:color="auto" w:fill="auto"/>
            <w:vAlign w:val="center"/>
          </w:tcPr>
          <w:p w14:paraId="26DD8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绿化区</w:t>
            </w:r>
          </w:p>
        </w:tc>
        <w:tc>
          <w:tcPr>
            <w:tcW w:w="963" w:type="dxa"/>
            <w:tcBorders>
              <w:tl2br w:val="nil"/>
              <w:tr2bl w:val="nil"/>
            </w:tcBorders>
            <w:shd w:val="clear" w:color="auto" w:fill="auto"/>
            <w:noWrap/>
            <w:vAlign w:val="center"/>
          </w:tcPr>
          <w:p w14:paraId="3111E2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283D4D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4D50D5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437BA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12829.10 </w:t>
            </w:r>
          </w:p>
        </w:tc>
      </w:tr>
      <w:tr w14:paraId="083C0E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05F94F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1</w:t>
            </w:r>
          </w:p>
        </w:tc>
        <w:tc>
          <w:tcPr>
            <w:tcW w:w="2555" w:type="dxa"/>
            <w:tcBorders>
              <w:tl2br w:val="nil"/>
              <w:tr2bl w:val="nil"/>
            </w:tcBorders>
            <w:shd w:val="clear" w:color="auto" w:fill="auto"/>
            <w:noWrap/>
            <w:vAlign w:val="center"/>
          </w:tcPr>
          <w:p w14:paraId="1D825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无纺布临时苫盖</w:t>
            </w:r>
          </w:p>
        </w:tc>
        <w:tc>
          <w:tcPr>
            <w:tcW w:w="963" w:type="dxa"/>
            <w:tcBorders>
              <w:tl2br w:val="nil"/>
              <w:tr2bl w:val="nil"/>
            </w:tcBorders>
            <w:shd w:val="clear" w:color="auto" w:fill="auto"/>
            <w:noWrap/>
            <w:vAlign w:val="center"/>
          </w:tcPr>
          <w:p w14:paraId="52F39E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1B4D3C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74442C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07150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6246.00 </w:t>
            </w:r>
          </w:p>
        </w:tc>
      </w:tr>
      <w:tr w14:paraId="4C13C7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02C114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F098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铺设无纺布</w:t>
            </w:r>
          </w:p>
        </w:tc>
        <w:tc>
          <w:tcPr>
            <w:tcW w:w="963" w:type="dxa"/>
            <w:tcBorders>
              <w:tl2br w:val="nil"/>
              <w:tr2bl w:val="nil"/>
            </w:tcBorders>
            <w:shd w:val="clear" w:color="auto" w:fill="auto"/>
            <w:noWrap/>
            <w:vAlign w:val="center"/>
          </w:tcPr>
          <w:p w14:paraId="1FAC79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218F1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900.00 </w:t>
            </w:r>
          </w:p>
        </w:tc>
        <w:tc>
          <w:tcPr>
            <w:tcW w:w="1493" w:type="dxa"/>
            <w:tcBorders>
              <w:tl2br w:val="nil"/>
              <w:tr2bl w:val="nil"/>
            </w:tcBorders>
            <w:shd w:val="clear" w:color="auto" w:fill="auto"/>
            <w:noWrap/>
            <w:vAlign w:val="center"/>
          </w:tcPr>
          <w:p w14:paraId="65F173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6.94 </w:t>
            </w:r>
          </w:p>
        </w:tc>
        <w:tc>
          <w:tcPr>
            <w:tcW w:w="1916" w:type="dxa"/>
            <w:tcBorders>
              <w:tl2br w:val="nil"/>
              <w:tr2bl w:val="nil"/>
            </w:tcBorders>
            <w:shd w:val="clear" w:color="auto" w:fill="auto"/>
            <w:noWrap/>
            <w:vAlign w:val="center"/>
          </w:tcPr>
          <w:p w14:paraId="65308F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6246.00 </w:t>
            </w:r>
          </w:p>
        </w:tc>
      </w:tr>
      <w:tr w14:paraId="4F56CE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5369B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2</w:t>
            </w:r>
          </w:p>
        </w:tc>
        <w:tc>
          <w:tcPr>
            <w:tcW w:w="2555" w:type="dxa"/>
            <w:tcBorders>
              <w:tl2br w:val="nil"/>
              <w:tr2bl w:val="nil"/>
            </w:tcBorders>
            <w:shd w:val="clear" w:color="auto" w:fill="auto"/>
            <w:vAlign w:val="center"/>
          </w:tcPr>
          <w:p w14:paraId="420552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编织袋拦挡</w:t>
            </w:r>
          </w:p>
        </w:tc>
        <w:tc>
          <w:tcPr>
            <w:tcW w:w="963" w:type="dxa"/>
            <w:tcBorders>
              <w:tl2br w:val="nil"/>
              <w:tr2bl w:val="nil"/>
            </w:tcBorders>
            <w:shd w:val="clear" w:color="auto" w:fill="auto"/>
            <w:noWrap/>
            <w:vAlign w:val="center"/>
          </w:tcPr>
          <w:p w14:paraId="60DA5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p>
        </w:tc>
        <w:tc>
          <w:tcPr>
            <w:tcW w:w="1361" w:type="dxa"/>
            <w:tcBorders>
              <w:tl2br w:val="nil"/>
              <w:tr2bl w:val="nil"/>
            </w:tcBorders>
            <w:shd w:val="clear" w:color="auto" w:fill="auto"/>
            <w:noWrap/>
            <w:vAlign w:val="center"/>
          </w:tcPr>
          <w:p w14:paraId="2EA6DD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82 </w:t>
            </w:r>
          </w:p>
        </w:tc>
        <w:tc>
          <w:tcPr>
            <w:tcW w:w="1493" w:type="dxa"/>
            <w:tcBorders>
              <w:tl2br w:val="nil"/>
              <w:tr2bl w:val="nil"/>
            </w:tcBorders>
            <w:shd w:val="clear" w:color="auto" w:fill="auto"/>
            <w:noWrap/>
            <w:vAlign w:val="center"/>
          </w:tcPr>
          <w:p w14:paraId="7EFCC9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50D684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3995.90 </w:t>
            </w:r>
          </w:p>
        </w:tc>
      </w:tr>
      <w:tr w14:paraId="02AAFB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123F25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00E5CF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编织袋填筑</w:t>
            </w:r>
          </w:p>
        </w:tc>
        <w:tc>
          <w:tcPr>
            <w:tcW w:w="963" w:type="dxa"/>
            <w:tcBorders>
              <w:tl2br w:val="nil"/>
              <w:tr2bl w:val="nil"/>
            </w:tcBorders>
            <w:shd w:val="clear" w:color="auto" w:fill="auto"/>
            <w:noWrap/>
            <w:vAlign w:val="center"/>
          </w:tcPr>
          <w:p w14:paraId="62E0B9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4F0D8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14.35 </w:t>
            </w:r>
          </w:p>
        </w:tc>
        <w:tc>
          <w:tcPr>
            <w:tcW w:w="1493" w:type="dxa"/>
            <w:tcBorders>
              <w:tl2br w:val="nil"/>
              <w:tr2bl w:val="nil"/>
            </w:tcBorders>
            <w:shd w:val="clear" w:color="auto" w:fill="auto"/>
            <w:noWrap/>
            <w:vAlign w:val="center"/>
          </w:tcPr>
          <w:p w14:paraId="2741F2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252.34 </w:t>
            </w:r>
          </w:p>
        </w:tc>
        <w:tc>
          <w:tcPr>
            <w:tcW w:w="1916" w:type="dxa"/>
            <w:tcBorders>
              <w:tl2br w:val="nil"/>
              <w:tr2bl w:val="nil"/>
            </w:tcBorders>
            <w:shd w:val="clear" w:color="auto" w:fill="auto"/>
            <w:noWrap/>
            <w:vAlign w:val="center"/>
          </w:tcPr>
          <w:p w14:paraId="289D8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3621.08 </w:t>
            </w:r>
          </w:p>
        </w:tc>
      </w:tr>
      <w:tr w14:paraId="650A59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60481F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1B8F8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编织袋拆除</w:t>
            </w:r>
          </w:p>
        </w:tc>
        <w:tc>
          <w:tcPr>
            <w:tcW w:w="963" w:type="dxa"/>
            <w:tcBorders>
              <w:tl2br w:val="nil"/>
              <w:tr2bl w:val="nil"/>
            </w:tcBorders>
            <w:shd w:val="clear" w:color="auto" w:fill="auto"/>
            <w:noWrap/>
            <w:vAlign w:val="center"/>
          </w:tcPr>
          <w:p w14:paraId="2D0E94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387866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14.35 </w:t>
            </w:r>
          </w:p>
        </w:tc>
        <w:tc>
          <w:tcPr>
            <w:tcW w:w="1493" w:type="dxa"/>
            <w:tcBorders>
              <w:tl2br w:val="nil"/>
              <w:tr2bl w:val="nil"/>
            </w:tcBorders>
            <w:shd w:val="clear" w:color="auto" w:fill="auto"/>
            <w:noWrap/>
            <w:vAlign w:val="center"/>
          </w:tcPr>
          <w:p w14:paraId="267BF4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26.12 </w:t>
            </w:r>
          </w:p>
        </w:tc>
        <w:tc>
          <w:tcPr>
            <w:tcW w:w="1916" w:type="dxa"/>
            <w:tcBorders>
              <w:tl2br w:val="nil"/>
              <w:tr2bl w:val="nil"/>
            </w:tcBorders>
            <w:shd w:val="clear" w:color="auto" w:fill="auto"/>
            <w:noWrap/>
            <w:vAlign w:val="center"/>
          </w:tcPr>
          <w:p w14:paraId="3E0CAB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374.82 </w:t>
            </w:r>
          </w:p>
        </w:tc>
      </w:tr>
      <w:tr w14:paraId="7095D5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01C2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3</w:t>
            </w:r>
          </w:p>
        </w:tc>
        <w:tc>
          <w:tcPr>
            <w:tcW w:w="2555" w:type="dxa"/>
            <w:tcBorders>
              <w:tl2br w:val="nil"/>
              <w:tr2bl w:val="nil"/>
            </w:tcBorders>
            <w:shd w:val="clear" w:color="auto" w:fill="auto"/>
            <w:noWrap/>
            <w:vAlign w:val="center"/>
          </w:tcPr>
          <w:p w14:paraId="50AA6E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彩条布临时苫盖</w:t>
            </w:r>
          </w:p>
        </w:tc>
        <w:tc>
          <w:tcPr>
            <w:tcW w:w="963" w:type="dxa"/>
            <w:tcBorders>
              <w:tl2br w:val="nil"/>
              <w:tr2bl w:val="nil"/>
            </w:tcBorders>
            <w:shd w:val="clear" w:color="auto" w:fill="auto"/>
            <w:noWrap/>
            <w:vAlign w:val="center"/>
          </w:tcPr>
          <w:p w14:paraId="5F553F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25576A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56F614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69931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2587.20 </w:t>
            </w:r>
          </w:p>
        </w:tc>
      </w:tr>
      <w:tr w14:paraId="09AB0C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0DEAE0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4A684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彩条布铺设</w:t>
            </w:r>
          </w:p>
        </w:tc>
        <w:tc>
          <w:tcPr>
            <w:tcW w:w="963" w:type="dxa"/>
            <w:tcBorders>
              <w:tl2br w:val="nil"/>
              <w:tr2bl w:val="nil"/>
            </w:tcBorders>
            <w:shd w:val="clear" w:color="auto" w:fill="auto"/>
            <w:noWrap/>
            <w:vAlign w:val="center"/>
          </w:tcPr>
          <w:p w14:paraId="156FE6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17416F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470.40 </w:t>
            </w:r>
          </w:p>
        </w:tc>
        <w:tc>
          <w:tcPr>
            <w:tcW w:w="1493" w:type="dxa"/>
            <w:tcBorders>
              <w:tl2br w:val="nil"/>
              <w:tr2bl w:val="nil"/>
            </w:tcBorders>
            <w:shd w:val="clear" w:color="auto" w:fill="auto"/>
            <w:noWrap/>
            <w:vAlign w:val="center"/>
          </w:tcPr>
          <w:p w14:paraId="12BA48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5.50 </w:t>
            </w:r>
          </w:p>
        </w:tc>
        <w:tc>
          <w:tcPr>
            <w:tcW w:w="1916" w:type="dxa"/>
            <w:tcBorders>
              <w:tl2br w:val="nil"/>
              <w:tr2bl w:val="nil"/>
            </w:tcBorders>
            <w:shd w:val="clear" w:color="auto" w:fill="auto"/>
            <w:noWrap/>
            <w:vAlign w:val="center"/>
          </w:tcPr>
          <w:p w14:paraId="4B88EF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2587.20 </w:t>
            </w:r>
          </w:p>
        </w:tc>
      </w:tr>
      <w:tr w14:paraId="25D876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noWrap/>
            <w:vAlign w:val="center"/>
          </w:tcPr>
          <w:p w14:paraId="25EB4B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二</w:t>
            </w:r>
          </w:p>
        </w:tc>
        <w:tc>
          <w:tcPr>
            <w:tcW w:w="2555" w:type="dxa"/>
            <w:tcBorders>
              <w:tl2br w:val="nil"/>
              <w:tr2bl w:val="nil"/>
            </w:tcBorders>
            <w:shd w:val="clear" w:color="auto" w:fill="auto"/>
            <w:noWrap/>
            <w:vAlign w:val="center"/>
          </w:tcPr>
          <w:p w14:paraId="367CE3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地块二</w:t>
            </w:r>
          </w:p>
        </w:tc>
        <w:tc>
          <w:tcPr>
            <w:tcW w:w="963" w:type="dxa"/>
            <w:tcBorders>
              <w:tl2br w:val="nil"/>
              <w:tr2bl w:val="nil"/>
            </w:tcBorders>
            <w:shd w:val="clear" w:color="auto" w:fill="auto"/>
            <w:noWrap/>
            <w:vAlign w:val="center"/>
          </w:tcPr>
          <w:p w14:paraId="37DC2A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63338B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5CEC9F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0B1FE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54738.11 </w:t>
            </w:r>
          </w:p>
        </w:tc>
      </w:tr>
      <w:tr w14:paraId="38A95E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63C9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（一）</w:t>
            </w:r>
          </w:p>
        </w:tc>
        <w:tc>
          <w:tcPr>
            <w:tcW w:w="2555" w:type="dxa"/>
            <w:tcBorders>
              <w:tl2br w:val="nil"/>
              <w:tr2bl w:val="nil"/>
            </w:tcBorders>
            <w:shd w:val="clear" w:color="auto" w:fill="auto"/>
            <w:vAlign w:val="center"/>
          </w:tcPr>
          <w:p w14:paraId="312F7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建构筑物区</w:t>
            </w:r>
          </w:p>
        </w:tc>
        <w:tc>
          <w:tcPr>
            <w:tcW w:w="963" w:type="dxa"/>
            <w:tcBorders>
              <w:tl2br w:val="nil"/>
              <w:tr2bl w:val="nil"/>
            </w:tcBorders>
            <w:shd w:val="clear" w:color="auto" w:fill="auto"/>
            <w:noWrap/>
            <w:vAlign w:val="center"/>
          </w:tcPr>
          <w:p w14:paraId="79F696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40EE86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6AF38B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5B832A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1881.00 </w:t>
            </w:r>
          </w:p>
        </w:tc>
      </w:tr>
      <w:tr w14:paraId="76143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14FB3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1</w:t>
            </w:r>
          </w:p>
        </w:tc>
        <w:tc>
          <w:tcPr>
            <w:tcW w:w="2555" w:type="dxa"/>
            <w:tcBorders>
              <w:tl2br w:val="nil"/>
              <w:tr2bl w:val="nil"/>
            </w:tcBorders>
            <w:shd w:val="clear" w:color="auto" w:fill="auto"/>
            <w:noWrap/>
            <w:vAlign w:val="center"/>
          </w:tcPr>
          <w:p w14:paraId="5AA382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临时苫盖</w:t>
            </w:r>
          </w:p>
        </w:tc>
        <w:tc>
          <w:tcPr>
            <w:tcW w:w="963" w:type="dxa"/>
            <w:tcBorders>
              <w:tl2br w:val="nil"/>
              <w:tr2bl w:val="nil"/>
            </w:tcBorders>
            <w:shd w:val="clear" w:color="auto" w:fill="auto"/>
            <w:noWrap/>
            <w:vAlign w:val="center"/>
          </w:tcPr>
          <w:p w14:paraId="7B1604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4BCFFC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621B55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52349E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1881.00 </w:t>
            </w:r>
          </w:p>
        </w:tc>
      </w:tr>
      <w:tr w14:paraId="2EA3A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40CA16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7CEF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彩条布铺设</w:t>
            </w:r>
          </w:p>
        </w:tc>
        <w:tc>
          <w:tcPr>
            <w:tcW w:w="963" w:type="dxa"/>
            <w:tcBorders>
              <w:tl2br w:val="nil"/>
              <w:tr2bl w:val="nil"/>
            </w:tcBorders>
            <w:shd w:val="clear" w:color="auto" w:fill="auto"/>
            <w:noWrap/>
            <w:vAlign w:val="center"/>
          </w:tcPr>
          <w:p w14:paraId="10CFDA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214EC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342.00 </w:t>
            </w:r>
          </w:p>
        </w:tc>
        <w:tc>
          <w:tcPr>
            <w:tcW w:w="1493" w:type="dxa"/>
            <w:tcBorders>
              <w:tl2br w:val="nil"/>
              <w:tr2bl w:val="nil"/>
            </w:tcBorders>
            <w:shd w:val="clear" w:color="auto" w:fill="auto"/>
            <w:noWrap/>
            <w:vAlign w:val="center"/>
          </w:tcPr>
          <w:p w14:paraId="2A5E81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5.50 </w:t>
            </w:r>
          </w:p>
        </w:tc>
        <w:tc>
          <w:tcPr>
            <w:tcW w:w="1916" w:type="dxa"/>
            <w:tcBorders>
              <w:tl2br w:val="nil"/>
              <w:tr2bl w:val="nil"/>
            </w:tcBorders>
            <w:shd w:val="clear" w:color="auto" w:fill="auto"/>
            <w:noWrap/>
            <w:vAlign w:val="center"/>
          </w:tcPr>
          <w:p w14:paraId="274EB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1881.00 </w:t>
            </w:r>
          </w:p>
        </w:tc>
      </w:tr>
      <w:tr w14:paraId="5233F1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BF47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（二）</w:t>
            </w:r>
          </w:p>
        </w:tc>
        <w:tc>
          <w:tcPr>
            <w:tcW w:w="2555" w:type="dxa"/>
            <w:tcBorders>
              <w:tl2br w:val="nil"/>
              <w:tr2bl w:val="nil"/>
            </w:tcBorders>
            <w:shd w:val="clear" w:color="auto" w:fill="auto"/>
            <w:vAlign w:val="center"/>
          </w:tcPr>
          <w:p w14:paraId="26FA5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道路及硬化区</w:t>
            </w:r>
          </w:p>
        </w:tc>
        <w:tc>
          <w:tcPr>
            <w:tcW w:w="963" w:type="dxa"/>
            <w:tcBorders>
              <w:tl2br w:val="nil"/>
              <w:tr2bl w:val="nil"/>
            </w:tcBorders>
            <w:shd w:val="clear" w:color="auto" w:fill="auto"/>
            <w:noWrap/>
            <w:vAlign w:val="center"/>
          </w:tcPr>
          <w:p w14:paraId="6F8256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575C5D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033053D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212060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25283.39 </w:t>
            </w:r>
          </w:p>
        </w:tc>
      </w:tr>
      <w:tr w14:paraId="77978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73FE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1</w:t>
            </w:r>
          </w:p>
        </w:tc>
        <w:tc>
          <w:tcPr>
            <w:tcW w:w="2555" w:type="dxa"/>
            <w:tcBorders>
              <w:tl2br w:val="nil"/>
              <w:tr2bl w:val="nil"/>
            </w:tcBorders>
            <w:shd w:val="clear" w:color="auto" w:fill="auto"/>
            <w:noWrap/>
            <w:vAlign w:val="center"/>
          </w:tcPr>
          <w:p w14:paraId="350E8E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临时苫盖</w:t>
            </w:r>
          </w:p>
        </w:tc>
        <w:tc>
          <w:tcPr>
            <w:tcW w:w="963" w:type="dxa"/>
            <w:tcBorders>
              <w:tl2br w:val="nil"/>
              <w:tr2bl w:val="nil"/>
            </w:tcBorders>
            <w:shd w:val="clear" w:color="auto" w:fill="auto"/>
            <w:noWrap/>
            <w:vAlign w:val="center"/>
          </w:tcPr>
          <w:p w14:paraId="3CD69B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49F96B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4795A2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6A7797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1210.00 </w:t>
            </w:r>
          </w:p>
        </w:tc>
      </w:tr>
      <w:tr w14:paraId="07DB81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16A6FB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63569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彩条布铺设</w:t>
            </w:r>
          </w:p>
        </w:tc>
        <w:tc>
          <w:tcPr>
            <w:tcW w:w="963" w:type="dxa"/>
            <w:tcBorders>
              <w:tl2br w:val="nil"/>
              <w:tr2bl w:val="nil"/>
            </w:tcBorders>
            <w:shd w:val="clear" w:color="auto" w:fill="auto"/>
            <w:noWrap/>
            <w:vAlign w:val="center"/>
          </w:tcPr>
          <w:p w14:paraId="654BD9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216121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220.00 </w:t>
            </w:r>
          </w:p>
        </w:tc>
        <w:tc>
          <w:tcPr>
            <w:tcW w:w="1493" w:type="dxa"/>
            <w:tcBorders>
              <w:tl2br w:val="nil"/>
              <w:tr2bl w:val="nil"/>
            </w:tcBorders>
            <w:shd w:val="clear" w:color="auto" w:fill="auto"/>
            <w:noWrap/>
            <w:vAlign w:val="center"/>
          </w:tcPr>
          <w:p w14:paraId="1E63C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5.50 </w:t>
            </w:r>
          </w:p>
        </w:tc>
        <w:tc>
          <w:tcPr>
            <w:tcW w:w="1916" w:type="dxa"/>
            <w:tcBorders>
              <w:tl2br w:val="nil"/>
              <w:tr2bl w:val="nil"/>
            </w:tcBorders>
            <w:shd w:val="clear" w:color="auto" w:fill="auto"/>
            <w:noWrap/>
            <w:vAlign w:val="center"/>
          </w:tcPr>
          <w:p w14:paraId="7ED7E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1210.00 </w:t>
            </w:r>
          </w:p>
        </w:tc>
      </w:tr>
      <w:tr w14:paraId="1DC2A3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BCACE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2</w:t>
            </w:r>
          </w:p>
        </w:tc>
        <w:tc>
          <w:tcPr>
            <w:tcW w:w="2555" w:type="dxa"/>
            <w:tcBorders>
              <w:tl2br w:val="nil"/>
              <w:tr2bl w:val="nil"/>
            </w:tcBorders>
            <w:shd w:val="clear" w:color="auto" w:fill="auto"/>
            <w:vAlign w:val="center"/>
          </w:tcPr>
          <w:p w14:paraId="72032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临时沉砂池</w:t>
            </w:r>
          </w:p>
        </w:tc>
        <w:tc>
          <w:tcPr>
            <w:tcW w:w="963" w:type="dxa"/>
            <w:tcBorders>
              <w:tl2br w:val="nil"/>
              <w:tr2bl w:val="nil"/>
            </w:tcBorders>
            <w:shd w:val="clear" w:color="auto" w:fill="auto"/>
            <w:noWrap/>
            <w:vAlign w:val="center"/>
          </w:tcPr>
          <w:p w14:paraId="6CF09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座</w:t>
            </w:r>
          </w:p>
        </w:tc>
        <w:tc>
          <w:tcPr>
            <w:tcW w:w="1361" w:type="dxa"/>
            <w:tcBorders>
              <w:tl2br w:val="nil"/>
              <w:tr2bl w:val="nil"/>
            </w:tcBorders>
            <w:shd w:val="clear" w:color="auto" w:fill="auto"/>
            <w:noWrap/>
            <w:vAlign w:val="center"/>
          </w:tcPr>
          <w:p w14:paraId="5A03AB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 </w:t>
            </w:r>
          </w:p>
        </w:tc>
        <w:tc>
          <w:tcPr>
            <w:tcW w:w="1493" w:type="dxa"/>
            <w:tcBorders>
              <w:tl2br w:val="nil"/>
              <w:tr2bl w:val="nil"/>
            </w:tcBorders>
            <w:shd w:val="clear" w:color="auto" w:fill="auto"/>
            <w:noWrap/>
            <w:vAlign w:val="center"/>
          </w:tcPr>
          <w:p w14:paraId="4612A9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4D0375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3186.40 </w:t>
            </w:r>
          </w:p>
        </w:tc>
      </w:tr>
      <w:tr w14:paraId="5A74D0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0754E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3D69C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土方开挖</w:t>
            </w:r>
          </w:p>
        </w:tc>
        <w:tc>
          <w:tcPr>
            <w:tcW w:w="963" w:type="dxa"/>
            <w:tcBorders>
              <w:tl2br w:val="nil"/>
              <w:tr2bl w:val="nil"/>
            </w:tcBorders>
            <w:shd w:val="clear" w:color="auto" w:fill="auto"/>
            <w:noWrap/>
            <w:vAlign w:val="center"/>
          </w:tcPr>
          <w:p w14:paraId="06DD5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7AD7A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8.40 </w:t>
            </w:r>
          </w:p>
        </w:tc>
        <w:tc>
          <w:tcPr>
            <w:tcW w:w="1493" w:type="dxa"/>
            <w:tcBorders>
              <w:tl2br w:val="nil"/>
              <w:tr2bl w:val="nil"/>
            </w:tcBorders>
            <w:shd w:val="clear" w:color="auto" w:fill="auto"/>
            <w:noWrap/>
            <w:vAlign w:val="center"/>
          </w:tcPr>
          <w:p w14:paraId="196B1D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45.94 </w:t>
            </w:r>
          </w:p>
        </w:tc>
        <w:tc>
          <w:tcPr>
            <w:tcW w:w="1916" w:type="dxa"/>
            <w:tcBorders>
              <w:tl2br w:val="nil"/>
              <w:tr2bl w:val="nil"/>
            </w:tcBorders>
            <w:shd w:val="clear" w:color="auto" w:fill="auto"/>
            <w:noWrap/>
            <w:vAlign w:val="center"/>
          </w:tcPr>
          <w:p w14:paraId="79ACCD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385.90 </w:t>
            </w:r>
          </w:p>
        </w:tc>
      </w:tr>
      <w:tr w14:paraId="797A3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8EF7A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7E29F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土方回填</w:t>
            </w:r>
          </w:p>
        </w:tc>
        <w:tc>
          <w:tcPr>
            <w:tcW w:w="963" w:type="dxa"/>
            <w:tcBorders>
              <w:tl2br w:val="nil"/>
              <w:tr2bl w:val="nil"/>
            </w:tcBorders>
            <w:shd w:val="clear" w:color="auto" w:fill="auto"/>
            <w:noWrap/>
            <w:vAlign w:val="center"/>
          </w:tcPr>
          <w:p w14:paraId="37A269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5ED3D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1.60 </w:t>
            </w:r>
          </w:p>
        </w:tc>
        <w:tc>
          <w:tcPr>
            <w:tcW w:w="1493" w:type="dxa"/>
            <w:tcBorders>
              <w:tl2br w:val="nil"/>
              <w:tr2bl w:val="nil"/>
            </w:tcBorders>
            <w:shd w:val="clear" w:color="auto" w:fill="auto"/>
            <w:noWrap/>
            <w:vAlign w:val="center"/>
          </w:tcPr>
          <w:p w14:paraId="3FCE33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63.51 </w:t>
            </w:r>
          </w:p>
        </w:tc>
        <w:tc>
          <w:tcPr>
            <w:tcW w:w="1916" w:type="dxa"/>
            <w:tcBorders>
              <w:tl2br w:val="nil"/>
              <w:tr2bl w:val="nil"/>
            </w:tcBorders>
            <w:shd w:val="clear" w:color="auto" w:fill="auto"/>
            <w:noWrap/>
            <w:vAlign w:val="center"/>
          </w:tcPr>
          <w:p w14:paraId="023220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101.62 </w:t>
            </w:r>
          </w:p>
        </w:tc>
      </w:tr>
      <w:tr w14:paraId="3A6BD4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02A3E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508C04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M7.5砖砌</w:t>
            </w:r>
          </w:p>
        </w:tc>
        <w:tc>
          <w:tcPr>
            <w:tcW w:w="963" w:type="dxa"/>
            <w:tcBorders>
              <w:tl2br w:val="nil"/>
              <w:tr2bl w:val="nil"/>
            </w:tcBorders>
            <w:shd w:val="clear" w:color="auto" w:fill="auto"/>
            <w:noWrap/>
            <w:vAlign w:val="center"/>
          </w:tcPr>
          <w:p w14:paraId="0F450F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063116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2.42 </w:t>
            </w:r>
          </w:p>
        </w:tc>
        <w:tc>
          <w:tcPr>
            <w:tcW w:w="1493" w:type="dxa"/>
            <w:tcBorders>
              <w:tl2br w:val="nil"/>
              <w:tr2bl w:val="nil"/>
            </w:tcBorders>
            <w:shd w:val="clear" w:color="auto" w:fill="auto"/>
            <w:noWrap/>
            <w:vAlign w:val="center"/>
          </w:tcPr>
          <w:p w14:paraId="008DFB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618.10 </w:t>
            </w:r>
          </w:p>
        </w:tc>
        <w:tc>
          <w:tcPr>
            <w:tcW w:w="1916" w:type="dxa"/>
            <w:tcBorders>
              <w:tl2br w:val="nil"/>
              <w:tr2bl w:val="nil"/>
            </w:tcBorders>
            <w:shd w:val="clear" w:color="auto" w:fill="auto"/>
            <w:noWrap/>
            <w:vAlign w:val="center"/>
          </w:tcPr>
          <w:p w14:paraId="3EF743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1495.80 </w:t>
            </w:r>
          </w:p>
        </w:tc>
      </w:tr>
      <w:tr w14:paraId="668CF4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2A977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34AA7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M7.5砂浆抹面</w:t>
            </w:r>
          </w:p>
        </w:tc>
        <w:tc>
          <w:tcPr>
            <w:tcW w:w="963" w:type="dxa"/>
            <w:tcBorders>
              <w:tl2br w:val="nil"/>
              <w:tr2bl w:val="nil"/>
            </w:tcBorders>
            <w:shd w:val="clear" w:color="auto" w:fill="auto"/>
            <w:noWrap/>
            <w:vAlign w:val="center"/>
          </w:tcPr>
          <w:p w14:paraId="563DAA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7A3C8A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31.00 </w:t>
            </w:r>
          </w:p>
        </w:tc>
        <w:tc>
          <w:tcPr>
            <w:tcW w:w="1493" w:type="dxa"/>
            <w:tcBorders>
              <w:tl2br w:val="nil"/>
              <w:tr2bl w:val="nil"/>
            </w:tcBorders>
            <w:shd w:val="clear" w:color="auto" w:fill="auto"/>
            <w:noWrap/>
            <w:vAlign w:val="center"/>
          </w:tcPr>
          <w:p w14:paraId="065686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24.34 </w:t>
            </w:r>
          </w:p>
        </w:tc>
        <w:tc>
          <w:tcPr>
            <w:tcW w:w="1916" w:type="dxa"/>
            <w:tcBorders>
              <w:tl2br w:val="nil"/>
              <w:tr2bl w:val="nil"/>
            </w:tcBorders>
            <w:shd w:val="clear" w:color="auto" w:fill="auto"/>
            <w:noWrap/>
            <w:vAlign w:val="center"/>
          </w:tcPr>
          <w:p w14:paraId="1305E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754.54 </w:t>
            </w:r>
          </w:p>
        </w:tc>
      </w:tr>
      <w:tr w14:paraId="193615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3D2187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0CFB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C20砼</w:t>
            </w:r>
          </w:p>
        </w:tc>
        <w:tc>
          <w:tcPr>
            <w:tcW w:w="963" w:type="dxa"/>
            <w:tcBorders>
              <w:tl2br w:val="nil"/>
              <w:tr2bl w:val="nil"/>
            </w:tcBorders>
            <w:shd w:val="clear" w:color="auto" w:fill="auto"/>
            <w:noWrap/>
            <w:vAlign w:val="center"/>
          </w:tcPr>
          <w:p w14:paraId="7C99DF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1D9129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0.66 </w:t>
            </w:r>
          </w:p>
        </w:tc>
        <w:tc>
          <w:tcPr>
            <w:tcW w:w="1493" w:type="dxa"/>
            <w:tcBorders>
              <w:tl2br w:val="nil"/>
              <w:tr2bl w:val="nil"/>
            </w:tcBorders>
            <w:shd w:val="clear" w:color="auto" w:fill="auto"/>
            <w:noWrap/>
            <w:vAlign w:val="center"/>
          </w:tcPr>
          <w:p w14:paraId="675EE4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679.60 </w:t>
            </w:r>
          </w:p>
        </w:tc>
        <w:tc>
          <w:tcPr>
            <w:tcW w:w="1916" w:type="dxa"/>
            <w:tcBorders>
              <w:tl2br w:val="nil"/>
              <w:tr2bl w:val="nil"/>
            </w:tcBorders>
            <w:shd w:val="clear" w:color="auto" w:fill="auto"/>
            <w:noWrap/>
            <w:vAlign w:val="center"/>
          </w:tcPr>
          <w:p w14:paraId="0B146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448.54 </w:t>
            </w:r>
          </w:p>
        </w:tc>
      </w:tr>
      <w:tr w14:paraId="1F9A1A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0B460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3</w:t>
            </w:r>
          </w:p>
        </w:tc>
        <w:tc>
          <w:tcPr>
            <w:tcW w:w="2555" w:type="dxa"/>
            <w:tcBorders>
              <w:tl2br w:val="nil"/>
              <w:tr2bl w:val="nil"/>
            </w:tcBorders>
            <w:shd w:val="clear" w:color="auto" w:fill="auto"/>
            <w:noWrap/>
            <w:vAlign w:val="center"/>
          </w:tcPr>
          <w:p w14:paraId="222A13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车辆清洗池</w:t>
            </w:r>
          </w:p>
        </w:tc>
        <w:tc>
          <w:tcPr>
            <w:tcW w:w="963" w:type="dxa"/>
            <w:tcBorders>
              <w:tl2br w:val="nil"/>
              <w:tr2bl w:val="nil"/>
            </w:tcBorders>
            <w:shd w:val="clear" w:color="auto" w:fill="auto"/>
            <w:noWrap/>
            <w:vAlign w:val="center"/>
          </w:tcPr>
          <w:p w14:paraId="2BFAFB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座</w:t>
            </w:r>
          </w:p>
        </w:tc>
        <w:tc>
          <w:tcPr>
            <w:tcW w:w="1361" w:type="dxa"/>
            <w:tcBorders>
              <w:tl2br w:val="nil"/>
              <w:tr2bl w:val="nil"/>
            </w:tcBorders>
            <w:shd w:val="clear" w:color="auto" w:fill="auto"/>
            <w:noWrap/>
            <w:vAlign w:val="center"/>
          </w:tcPr>
          <w:p w14:paraId="34DED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 </w:t>
            </w:r>
          </w:p>
        </w:tc>
        <w:tc>
          <w:tcPr>
            <w:tcW w:w="1493" w:type="dxa"/>
            <w:tcBorders>
              <w:tl2br w:val="nil"/>
              <w:tr2bl w:val="nil"/>
            </w:tcBorders>
            <w:shd w:val="clear" w:color="auto" w:fill="auto"/>
            <w:noWrap/>
            <w:vAlign w:val="center"/>
          </w:tcPr>
          <w:p w14:paraId="63D747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426134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18886.99 </w:t>
            </w:r>
          </w:p>
        </w:tc>
      </w:tr>
      <w:tr w14:paraId="40222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7B32D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03130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土方开挖</w:t>
            </w:r>
          </w:p>
        </w:tc>
        <w:tc>
          <w:tcPr>
            <w:tcW w:w="963" w:type="dxa"/>
            <w:tcBorders>
              <w:tl2br w:val="nil"/>
              <w:tr2bl w:val="nil"/>
            </w:tcBorders>
            <w:shd w:val="clear" w:color="auto" w:fill="auto"/>
            <w:noWrap/>
            <w:vAlign w:val="center"/>
          </w:tcPr>
          <w:p w14:paraId="516F3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3771D2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42.00 </w:t>
            </w:r>
          </w:p>
        </w:tc>
        <w:tc>
          <w:tcPr>
            <w:tcW w:w="1493" w:type="dxa"/>
            <w:tcBorders>
              <w:tl2br w:val="nil"/>
              <w:tr2bl w:val="nil"/>
            </w:tcBorders>
            <w:shd w:val="clear" w:color="auto" w:fill="auto"/>
            <w:noWrap/>
            <w:vAlign w:val="center"/>
          </w:tcPr>
          <w:p w14:paraId="590E6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45.94 </w:t>
            </w:r>
          </w:p>
        </w:tc>
        <w:tc>
          <w:tcPr>
            <w:tcW w:w="1916" w:type="dxa"/>
            <w:tcBorders>
              <w:tl2br w:val="nil"/>
              <w:tr2bl w:val="nil"/>
            </w:tcBorders>
            <w:shd w:val="clear" w:color="auto" w:fill="auto"/>
            <w:noWrap/>
            <w:vAlign w:val="center"/>
          </w:tcPr>
          <w:p w14:paraId="2DFE6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1929.48 </w:t>
            </w:r>
          </w:p>
        </w:tc>
      </w:tr>
      <w:tr w14:paraId="0217C5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CE26D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3FB85D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土方回填</w:t>
            </w:r>
          </w:p>
        </w:tc>
        <w:tc>
          <w:tcPr>
            <w:tcW w:w="963" w:type="dxa"/>
            <w:tcBorders>
              <w:tl2br w:val="nil"/>
              <w:tr2bl w:val="nil"/>
            </w:tcBorders>
            <w:shd w:val="clear" w:color="auto" w:fill="auto"/>
            <w:noWrap/>
            <w:vAlign w:val="center"/>
          </w:tcPr>
          <w:p w14:paraId="6CC65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77DCB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10.80 </w:t>
            </w:r>
          </w:p>
        </w:tc>
        <w:tc>
          <w:tcPr>
            <w:tcW w:w="1493" w:type="dxa"/>
            <w:tcBorders>
              <w:tl2br w:val="nil"/>
              <w:tr2bl w:val="nil"/>
            </w:tcBorders>
            <w:shd w:val="clear" w:color="auto" w:fill="auto"/>
            <w:noWrap/>
            <w:vAlign w:val="center"/>
          </w:tcPr>
          <w:p w14:paraId="6CDEEC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63.51 </w:t>
            </w:r>
          </w:p>
        </w:tc>
        <w:tc>
          <w:tcPr>
            <w:tcW w:w="1916" w:type="dxa"/>
            <w:tcBorders>
              <w:tl2br w:val="nil"/>
              <w:tr2bl w:val="nil"/>
            </w:tcBorders>
            <w:shd w:val="clear" w:color="auto" w:fill="auto"/>
            <w:noWrap/>
            <w:vAlign w:val="center"/>
          </w:tcPr>
          <w:p w14:paraId="19634F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685.91 </w:t>
            </w:r>
          </w:p>
        </w:tc>
      </w:tr>
      <w:tr w14:paraId="03C6F0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4DFB6A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59E5F9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C20砼</w:t>
            </w:r>
          </w:p>
        </w:tc>
        <w:tc>
          <w:tcPr>
            <w:tcW w:w="963" w:type="dxa"/>
            <w:tcBorders>
              <w:tl2br w:val="nil"/>
              <w:tr2bl w:val="nil"/>
            </w:tcBorders>
            <w:shd w:val="clear" w:color="auto" w:fill="auto"/>
            <w:noWrap/>
            <w:vAlign w:val="center"/>
          </w:tcPr>
          <w:p w14:paraId="216EF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46D9E3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21.00 </w:t>
            </w:r>
          </w:p>
        </w:tc>
        <w:tc>
          <w:tcPr>
            <w:tcW w:w="1493" w:type="dxa"/>
            <w:tcBorders>
              <w:tl2br w:val="nil"/>
              <w:tr2bl w:val="nil"/>
            </w:tcBorders>
            <w:shd w:val="clear" w:color="auto" w:fill="auto"/>
            <w:noWrap/>
            <w:vAlign w:val="center"/>
          </w:tcPr>
          <w:p w14:paraId="24D41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679.60 </w:t>
            </w:r>
          </w:p>
        </w:tc>
        <w:tc>
          <w:tcPr>
            <w:tcW w:w="1916" w:type="dxa"/>
            <w:tcBorders>
              <w:tl2br w:val="nil"/>
              <w:tr2bl w:val="nil"/>
            </w:tcBorders>
            <w:shd w:val="clear" w:color="auto" w:fill="auto"/>
            <w:noWrap/>
            <w:vAlign w:val="center"/>
          </w:tcPr>
          <w:p w14:paraId="78A66E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14271.60 </w:t>
            </w:r>
          </w:p>
        </w:tc>
      </w:tr>
      <w:tr w14:paraId="715CD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5E969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4</w:t>
            </w:r>
          </w:p>
        </w:tc>
        <w:tc>
          <w:tcPr>
            <w:tcW w:w="2555" w:type="dxa"/>
            <w:tcBorders>
              <w:tl2br w:val="nil"/>
              <w:tr2bl w:val="nil"/>
            </w:tcBorders>
            <w:shd w:val="clear" w:color="auto" w:fill="auto"/>
            <w:vAlign w:val="center"/>
          </w:tcPr>
          <w:p w14:paraId="39AB02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车辆冲洗设备</w:t>
            </w:r>
          </w:p>
        </w:tc>
        <w:tc>
          <w:tcPr>
            <w:tcW w:w="963" w:type="dxa"/>
            <w:tcBorders>
              <w:tl2br w:val="nil"/>
              <w:tr2bl w:val="nil"/>
            </w:tcBorders>
            <w:shd w:val="clear" w:color="auto" w:fill="auto"/>
            <w:noWrap/>
            <w:vAlign w:val="center"/>
          </w:tcPr>
          <w:p w14:paraId="3DAD5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套</w:t>
            </w:r>
          </w:p>
        </w:tc>
        <w:tc>
          <w:tcPr>
            <w:tcW w:w="1361" w:type="dxa"/>
            <w:tcBorders>
              <w:tl2br w:val="nil"/>
              <w:tr2bl w:val="nil"/>
            </w:tcBorders>
            <w:shd w:val="clear" w:color="auto" w:fill="auto"/>
            <w:noWrap/>
            <w:vAlign w:val="center"/>
          </w:tcPr>
          <w:p w14:paraId="536160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 </w:t>
            </w:r>
          </w:p>
        </w:tc>
        <w:tc>
          <w:tcPr>
            <w:tcW w:w="1493" w:type="dxa"/>
            <w:tcBorders>
              <w:tl2br w:val="nil"/>
              <w:tr2bl w:val="nil"/>
            </w:tcBorders>
            <w:shd w:val="clear" w:color="auto" w:fill="auto"/>
            <w:noWrap/>
            <w:vAlign w:val="center"/>
          </w:tcPr>
          <w:p w14:paraId="27F028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2000.00 </w:t>
            </w:r>
          </w:p>
        </w:tc>
        <w:tc>
          <w:tcPr>
            <w:tcW w:w="1916" w:type="dxa"/>
            <w:tcBorders>
              <w:tl2br w:val="nil"/>
              <w:tr2bl w:val="nil"/>
            </w:tcBorders>
            <w:shd w:val="clear" w:color="auto" w:fill="auto"/>
            <w:noWrap/>
            <w:vAlign w:val="center"/>
          </w:tcPr>
          <w:p w14:paraId="264A21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2000.00 </w:t>
            </w:r>
          </w:p>
        </w:tc>
      </w:tr>
      <w:tr w14:paraId="6C7A47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51A7B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（三）</w:t>
            </w:r>
          </w:p>
        </w:tc>
        <w:tc>
          <w:tcPr>
            <w:tcW w:w="2555" w:type="dxa"/>
            <w:tcBorders>
              <w:tl2br w:val="nil"/>
              <w:tr2bl w:val="nil"/>
            </w:tcBorders>
            <w:shd w:val="clear" w:color="auto" w:fill="auto"/>
            <w:vAlign w:val="center"/>
          </w:tcPr>
          <w:p w14:paraId="7600F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绿化区</w:t>
            </w:r>
          </w:p>
        </w:tc>
        <w:tc>
          <w:tcPr>
            <w:tcW w:w="963" w:type="dxa"/>
            <w:tcBorders>
              <w:tl2br w:val="nil"/>
              <w:tr2bl w:val="nil"/>
            </w:tcBorders>
            <w:shd w:val="clear" w:color="auto" w:fill="auto"/>
            <w:noWrap/>
            <w:vAlign w:val="center"/>
          </w:tcPr>
          <w:p w14:paraId="3B3F56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1804AB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020CF6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1176D5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27573.72 </w:t>
            </w:r>
          </w:p>
        </w:tc>
      </w:tr>
      <w:tr w14:paraId="371652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CCEB9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1</w:t>
            </w:r>
          </w:p>
        </w:tc>
        <w:tc>
          <w:tcPr>
            <w:tcW w:w="2555" w:type="dxa"/>
            <w:tcBorders>
              <w:tl2br w:val="nil"/>
              <w:tr2bl w:val="nil"/>
            </w:tcBorders>
            <w:shd w:val="clear" w:color="auto" w:fill="auto"/>
            <w:noWrap/>
            <w:vAlign w:val="center"/>
          </w:tcPr>
          <w:p w14:paraId="64AF2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无纺布临时苫盖</w:t>
            </w:r>
          </w:p>
        </w:tc>
        <w:tc>
          <w:tcPr>
            <w:tcW w:w="963" w:type="dxa"/>
            <w:tcBorders>
              <w:tl2br w:val="nil"/>
              <w:tr2bl w:val="nil"/>
            </w:tcBorders>
            <w:shd w:val="clear" w:color="auto" w:fill="auto"/>
            <w:noWrap/>
            <w:vAlign w:val="center"/>
          </w:tcPr>
          <w:p w14:paraId="26D9EB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40CDA5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19FE59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3FB295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9716.00 </w:t>
            </w:r>
          </w:p>
        </w:tc>
      </w:tr>
      <w:tr w14:paraId="45125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09ED5D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2A1830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铺设无纺布</w:t>
            </w:r>
          </w:p>
        </w:tc>
        <w:tc>
          <w:tcPr>
            <w:tcW w:w="963" w:type="dxa"/>
            <w:tcBorders>
              <w:tl2br w:val="nil"/>
              <w:tr2bl w:val="nil"/>
            </w:tcBorders>
            <w:shd w:val="clear" w:color="auto" w:fill="auto"/>
            <w:noWrap/>
            <w:vAlign w:val="center"/>
          </w:tcPr>
          <w:p w14:paraId="4294D3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40248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1400.00 </w:t>
            </w:r>
          </w:p>
        </w:tc>
        <w:tc>
          <w:tcPr>
            <w:tcW w:w="1493" w:type="dxa"/>
            <w:tcBorders>
              <w:tl2br w:val="nil"/>
              <w:tr2bl w:val="nil"/>
            </w:tcBorders>
            <w:shd w:val="clear" w:color="auto" w:fill="auto"/>
            <w:noWrap/>
            <w:vAlign w:val="center"/>
          </w:tcPr>
          <w:p w14:paraId="1E8FD4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6.94 </w:t>
            </w:r>
          </w:p>
        </w:tc>
        <w:tc>
          <w:tcPr>
            <w:tcW w:w="1916" w:type="dxa"/>
            <w:tcBorders>
              <w:tl2br w:val="nil"/>
              <w:tr2bl w:val="nil"/>
            </w:tcBorders>
            <w:shd w:val="clear" w:color="auto" w:fill="auto"/>
            <w:noWrap/>
            <w:vAlign w:val="center"/>
          </w:tcPr>
          <w:p w14:paraId="7E649C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9716.00 </w:t>
            </w:r>
          </w:p>
        </w:tc>
      </w:tr>
      <w:tr w14:paraId="57294E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6F9A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2</w:t>
            </w:r>
          </w:p>
        </w:tc>
        <w:tc>
          <w:tcPr>
            <w:tcW w:w="2555" w:type="dxa"/>
            <w:tcBorders>
              <w:tl2br w:val="nil"/>
              <w:tr2bl w:val="nil"/>
            </w:tcBorders>
            <w:shd w:val="clear" w:color="auto" w:fill="auto"/>
            <w:vAlign w:val="center"/>
          </w:tcPr>
          <w:p w14:paraId="70AAA6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编织袋拦挡</w:t>
            </w:r>
          </w:p>
        </w:tc>
        <w:tc>
          <w:tcPr>
            <w:tcW w:w="963" w:type="dxa"/>
            <w:tcBorders>
              <w:tl2br w:val="nil"/>
              <w:tr2bl w:val="nil"/>
            </w:tcBorders>
            <w:shd w:val="clear" w:color="auto" w:fill="auto"/>
            <w:noWrap/>
            <w:vAlign w:val="center"/>
          </w:tcPr>
          <w:p w14:paraId="7BC1D8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p>
        </w:tc>
        <w:tc>
          <w:tcPr>
            <w:tcW w:w="1361" w:type="dxa"/>
            <w:tcBorders>
              <w:tl2br w:val="nil"/>
              <w:tr2bl w:val="nil"/>
            </w:tcBorders>
            <w:shd w:val="clear" w:color="auto" w:fill="auto"/>
            <w:noWrap/>
            <w:vAlign w:val="center"/>
          </w:tcPr>
          <w:p w14:paraId="3BF062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283 </w:t>
            </w:r>
          </w:p>
        </w:tc>
        <w:tc>
          <w:tcPr>
            <w:tcW w:w="1493" w:type="dxa"/>
            <w:tcBorders>
              <w:tl2br w:val="nil"/>
              <w:tr2bl w:val="nil"/>
            </w:tcBorders>
            <w:shd w:val="clear" w:color="auto" w:fill="auto"/>
            <w:noWrap/>
            <w:vAlign w:val="center"/>
          </w:tcPr>
          <w:p w14:paraId="2F7D6B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6C7D8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13792.12 </w:t>
            </w:r>
          </w:p>
        </w:tc>
      </w:tr>
      <w:tr w14:paraId="5BBEC5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292AB1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1C2CE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编织袋填筑</w:t>
            </w:r>
          </w:p>
        </w:tc>
        <w:tc>
          <w:tcPr>
            <w:tcW w:w="963" w:type="dxa"/>
            <w:tcBorders>
              <w:tl2br w:val="nil"/>
              <w:tr2bl w:val="nil"/>
            </w:tcBorders>
            <w:shd w:val="clear" w:color="auto" w:fill="auto"/>
            <w:noWrap/>
            <w:vAlign w:val="center"/>
          </w:tcPr>
          <w:p w14:paraId="7DDD85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04C275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49.53 </w:t>
            </w:r>
          </w:p>
        </w:tc>
        <w:tc>
          <w:tcPr>
            <w:tcW w:w="1493" w:type="dxa"/>
            <w:tcBorders>
              <w:tl2br w:val="nil"/>
              <w:tr2bl w:val="nil"/>
            </w:tcBorders>
            <w:shd w:val="clear" w:color="auto" w:fill="auto"/>
            <w:noWrap/>
            <w:vAlign w:val="center"/>
          </w:tcPr>
          <w:p w14:paraId="39D0FF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252.34 </w:t>
            </w:r>
          </w:p>
        </w:tc>
        <w:tc>
          <w:tcPr>
            <w:tcW w:w="1916" w:type="dxa"/>
            <w:tcBorders>
              <w:tl2br w:val="nil"/>
              <w:tr2bl w:val="nil"/>
            </w:tcBorders>
            <w:shd w:val="clear" w:color="auto" w:fill="auto"/>
            <w:noWrap/>
            <w:vAlign w:val="center"/>
          </w:tcPr>
          <w:p w14:paraId="7A2FD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12498.40 </w:t>
            </w:r>
          </w:p>
        </w:tc>
      </w:tr>
      <w:tr w14:paraId="6F1D16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4C37CA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0E721A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编织袋拆除</w:t>
            </w:r>
          </w:p>
        </w:tc>
        <w:tc>
          <w:tcPr>
            <w:tcW w:w="963" w:type="dxa"/>
            <w:tcBorders>
              <w:tl2br w:val="nil"/>
              <w:tr2bl w:val="nil"/>
            </w:tcBorders>
            <w:shd w:val="clear" w:color="auto" w:fill="auto"/>
            <w:noWrap/>
            <w:vAlign w:val="center"/>
          </w:tcPr>
          <w:p w14:paraId="671B8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3</w:t>
            </w:r>
          </w:p>
        </w:tc>
        <w:tc>
          <w:tcPr>
            <w:tcW w:w="1361" w:type="dxa"/>
            <w:tcBorders>
              <w:tl2br w:val="nil"/>
              <w:tr2bl w:val="nil"/>
            </w:tcBorders>
            <w:shd w:val="clear" w:color="auto" w:fill="auto"/>
            <w:noWrap/>
            <w:vAlign w:val="center"/>
          </w:tcPr>
          <w:p w14:paraId="47669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49.53 </w:t>
            </w:r>
          </w:p>
        </w:tc>
        <w:tc>
          <w:tcPr>
            <w:tcW w:w="1493" w:type="dxa"/>
            <w:tcBorders>
              <w:tl2br w:val="nil"/>
              <w:tr2bl w:val="nil"/>
            </w:tcBorders>
            <w:shd w:val="clear" w:color="auto" w:fill="auto"/>
            <w:noWrap/>
            <w:vAlign w:val="center"/>
          </w:tcPr>
          <w:p w14:paraId="6D458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26.12 </w:t>
            </w:r>
          </w:p>
        </w:tc>
        <w:tc>
          <w:tcPr>
            <w:tcW w:w="1916" w:type="dxa"/>
            <w:tcBorders>
              <w:tl2br w:val="nil"/>
              <w:tr2bl w:val="nil"/>
            </w:tcBorders>
            <w:shd w:val="clear" w:color="auto" w:fill="auto"/>
            <w:noWrap/>
            <w:vAlign w:val="center"/>
          </w:tcPr>
          <w:p w14:paraId="1B22D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1293.72 </w:t>
            </w:r>
          </w:p>
        </w:tc>
      </w:tr>
      <w:tr w14:paraId="58E1F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199B83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3</w:t>
            </w:r>
          </w:p>
        </w:tc>
        <w:tc>
          <w:tcPr>
            <w:tcW w:w="2555" w:type="dxa"/>
            <w:tcBorders>
              <w:tl2br w:val="nil"/>
              <w:tr2bl w:val="nil"/>
            </w:tcBorders>
            <w:shd w:val="clear" w:color="auto" w:fill="auto"/>
            <w:noWrap/>
            <w:vAlign w:val="center"/>
          </w:tcPr>
          <w:p w14:paraId="63387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彩条布临时苫盖</w:t>
            </w:r>
          </w:p>
        </w:tc>
        <w:tc>
          <w:tcPr>
            <w:tcW w:w="963" w:type="dxa"/>
            <w:tcBorders>
              <w:tl2br w:val="nil"/>
              <w:tr2bl w:val="nil"/>
            </w:tcBorders>
            <w:shd w:val="clear" w:color="auto" w:fill="auto"/>
            <w:noWrap/>
            <w:vAlign w:val="center"/>
          </w:tcPr>
          <w:p w14:paraId="5C3B13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393D28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75C0C4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21C98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4065.60 </w:t>
            </w:r>
          </w:p>
        </w:tc>
      </w:tr>
      <w:tr w14:paraId="6D743A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70E66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2555" w:type="dxa"/>
            <w:tcBorders>
              <w:tl2br w:val="nil"/>
              <w:tr2bl w:val="nil"/>
            </w:tcBorders>
            <w:shd w:val="clear" w:color="auto" w:fill="auto"/>
            <w:noWrap/>
            <w:vAlign w:val="center"/>
          </w:tcPr>
          <w:p w14:paraId="7931F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彩条布铺设</w:t>
            </w:r>
          </w:p>
        </w:tc>
        <w:tc>
          <w:tcPr>
            <w:tcW w:w="963" w:type="dxa"/>
            <w:tcBorders>
              <w:tl2br w:val="nil"/>
              <w:tr2bl w:val="nil"/>
            </w:tcBorders>
            <w:shd w:val="clear" w:color="auto" w:fill="auto"/>
            <w:noWrap/>
            <w:vAlign w:val="center"/>
          </w:tcPr>
          <w:p w14:paraId="480F3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m</w:t>
            </w:r>
            <w:r>
              <w:rPr>
                <w:rFonts w:hint="default" w:ascii="Times New Roman" w:hAnsi="Times New Roman" w:eastAsia="仿宋_GB2312" w:cs="Times New Roman"/>
                <w:b w:val="0"/>
                <w:bCs w:val="0"/>
                <w:i w:val="0"/>
                <w:iCs w:val="0"/>
                <w:color w:val="000000"/>
                <w:kern w:val="0"/>
                <w:sz w:val="21"/>
                <w:szCs w:val="21"/>
                <w:u w:val="none"/>
                <w:vertAlign w:val="superscript"/>
                <w:lang w:val="en-US" w:eastAsia="zh-CN" w:bidi="ar"/>
              </w:rPr>
              <w:t>2</w:t>
            </w:r>
          </w:p>
        </w:tc>
        <w:tc>
          <w:tcPr>
            <w:tcW w:w="1361" w:type="dxa"/>
            <w:tcBorders>
              <w:tl2br w:val="nil"/>
              <w:tr2bl w:val="nil"/>
            </w:tcBorders>
            <w:shd w:val="clear" w:color="auto" w:fill="auto"/>
            <w:noWrap/>
            <w:vAlign w:val="center"/>
          </w:tcPr>
          <w:p w14:paraId="470DFC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739.20 </w:t>
            </w:r>
          </w:p>
        </w:tc>
        <w:tc>
          <w:tcPr>
            <w:tcW w:w="1493" w:type="dxa"/>
            <w:tcBorders>
              <w:tl2br w:val="nil"/>
              <w:tr2bl w:val="nil"/>
            </w:tcBorders>
            <w:shd w:val="clear" w:color="auto" w:fill="auto"/>
            <w:noWrap/>
            <w:vAlign w:val="center"/>
          </w:tcPr>
          <w:p w14:paraId="6BD8DB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5.50 </w:t>
            </w:r>
          </w:p>
        </w:tc>
        <w:tc>
          <w:tcPr>
            <w:tcW w:w="1916" w:type="dxa"/>
            <w:tcBorders>
              <w:tl2br w:val="nil"/>
              <w:tr2bl w:val="nil"/>
            </w:tcBorders>
            <w:shd w:val="clear" w:color="auto" w:fill="auto"/>
            <w:noWrap/>
            <w:vAlign w:val="center"/>
          </w:tcPr>
          <w:p w14:paraId="6F0AFE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4065.60 </w:t>
            </w:r>
          </w:p>
        </w:tc>
      </w:tr>
      <w:tr w14:paraId="7C3D6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1278" w:type="dxa"/>
            <w:tcBorders>
              <w:tl2br w:val="nil"/>
              <w:tr2bl w:val="nil"/>
            </w:tcBorders>
            <w:shd w:val="clear" w:color="auto" w:fill="auto"/>
            <w:vAlign w:val="center"/>
          </w:tcPr>
          <w:p w14:paraId="7FAFF3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三</w:t>
            </w:r>
          </w:p>
        </w:tc>
        <w:tc>
          <w:tcPr>
            <w:tcW w:w="2555" w:type="dxa"/>
            <w:tcBorders>
              <w:tl2br w:val="nil"/>
              <w:tr2bl w:val="nil"/>
            </w:tcBorders>
            <w:shd w:val="clear" w:color="auto" w:fill="auto"/>
            <w:noWrap/>
            <w:vAlign w:val="center"/>
          </w:tcPr>
          <w:p w14:paraId="083C7B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其他临时措施</w:t>
            </w:r>
          </w:p>
        </w:tc>
        <w:tc>
          <w:tcPr>
            <w:tcW w:w="963" w:type="dxa"/>
            <w:tcBorders>
              <w:tl2br w:val="nil"/>
              <w:tr2bl w:val="nil"/>
            </w:tcBorders>
            <w:shd w:val="clear" w:color="auto" w:fill="auto"/>
            <w:noWrap/>
            <w:vAlign w:val="center"/>
          </w:tcPr>
          <w:p w14:paraId="4669A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w:t>
            </w:r>
          </w:p>
        </w:tc>
        <w:tc>
          <w:tcPr>
            <w:tcW w:w="1361" w:type="dxa"/>
            <w:tcBorders>
              <w:tl2br w:val="nil"/>
              <w:tr2bl w:val="nil"/>
            </w:tcBorders>
            <w:shd w:val="clear" w:color="auto" w:fill="auto"/>
            <w:noWrap/>
            <w:vAlign w:val="center"/>
          </w:tcPr>
          <w:p w14:paraId="2B0C3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2</w:t>
            </w:r>
          </w:p>
        </w:tc>
        <w:tc>
          <w:tcPr>
            <w:tcW w:w="1493" w:type="dxa"/>
            <w:tcBorders>
              <w:tl2br w:val="nil"/>
              <w:tr2bl w:val="nil"/>
            </w:tcBorders>
            <w:shd w:val="clear" w:color="auto" w:fill="auto"/>
            <w:noWrap/>
            <w:vAlign w:val="center"/>
          </w:tcPr>
          <w:p w14:paraId="66E742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451984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r>
      <w:tr w14:paraId="233454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833" w:type="dxa"/>
            <w:gridSpan w:val="2"/>
            <w:tcBorders>
              <w:tl2br w:val="nil"/>
              <w:tr2bl w:val="nil"/>
            </w:tcBorders>
            <w:shd w:val="clear" w:color="auto" w:fill="auto"/>
            <w:vAlign w:val="center"/>
          </w:tcPr>
          <w:p w14:paraId="04F09C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合计</w:t>
            </w:r>
          </w:p>
        </w:tc>
        <w:tc>
          <w:tcPr>
            <w:tcW w:w="963" w:type="dxa"/>
            <w:tcBorders>
              <w:tl2br w:val="nil"/>
              <w:tr2bl w:val="nil"/>
            </w:tcBorders>
            <w:shd w:val="clear" w:color="auto" w:fill="auto"/>
            <w:vAlign w:val="center"/>
          </w:tcPr>
          <w:p w14:paraId="49AD52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361" w:type="dxa"/>
            <w:tcBorders>
              <w:tl2br w:val="nil"/>
              <w:tr2bl w:val="nil"/>
            </w:tcBorders>
            <w:shd w:val="clear" w:color="auto" w:fill="auto"/>
            <w:noWrap/>
            <w:vAlign w:val="center"/>
          </w:tcPr>
          <w:p w14:paraId="56880A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493" w:type="dxa"/>
            <w:tcBorders>
              <w:tl2br w:val="nil"/>
              <w:tr2bl w:val="nil"/>
            </w:tcBorders>
            <w:shd w:val="clear" w:color="auto" w:fill="auto"/>
            <w:noWrap/>
            <w:vAlign w:val="center"/>
          </w:tcPr>
          <w:p w14:paraId="76B070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sz w:val="21"/>
                <w:szCs w:val="21"/>
                <w:u w:val="none"/>
              </w:rPr>
            </w:pPr>
          </w:p>
        </w:tc>
        <w:tc>
          <w:tcPr>
            <w:tcW w:w="1916" w:type="dxa"/>
            <w:tcBorders>
              <w:tl2br w:val="nil"/>
              <w:tr2bl w:val="nil"/>
            </w:tcBorders>
            <w:shd w:val="clear" w:color="auto" w:fill="auto"/>
            <w:noWrap/>
            <w:vAlign w:val="center"/>
          </w:tcPr>
          <w:p w14:paraId="5F4BA5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sz w:val="21"/>
                <w:szCs w:val="21"/>
                <w:u w:val="none"/>
              </w:rPr>
            </w:pPr>
            <w:r>
              <w:rPr>
                <w:rFonts w:hint="default" w:ascii="Times New Roman" w:hAnsi="Times New Roman" w:eastAsia="仿宋_GB2312" w:cs="Times New Roman"/>
                <w:b w:val="0"/>
                <w:bCs w:val="0"/>
                <w:i w:val="0"/>
                <w:iCs w:val="0"/>
                <w:color w:val="000000"/>
                <w:kern w:val="0"/>
                <w:sz w:val="21"/>
                <w:szCs w:val="21"/>
                <w:u w:val="none"/>
                <w:lang w:val="en-US" w:eastAsia="zh-CN" w:bidi="ar"/>
              </w:rPr>
              <w:t xml:space="preserve">93901.10 </w:t>
            </w:r>
          </w:p>
        </w:tc>
      </w:tr>
    </w:tbl>
    <w:p w14:paraId="39B1A708">
      <w:pPr>
        <w:pStyle w:val="83"/>
        <w:jc w:val="left"/>
        <w:rPr>
          <w:rFonts w:hint="default" w:ascii="Times New Roman" w:hAnsi="Times New Roman" w:eastAsia="仿宋_GB2312" w:cs="Times New Roman"/>
          <w:b/>
          <w:bCs w:val="0"/>
          <w:highlight w:val="none"/>
        </w:rPr>
      </w:pPr>
    </w:p>
    <w:p w14:paraId="76659AB3">
      <w:pPr>
        <w:pStyle w:val="83"/>
        <w:jc w:val="left"/>
        <w:rPr>
          <w:rFonts w:hint="default" w:ascii="Times New Roman" w:hAnsi="Times New Roman" w:eastAsia="仿宋_GB2312" w:cs="Times New Roman"/>
          <w:b/>
          <w:bCs w:val="0"/>
          <w:highlight w:val="none"/>
        </w:rPr>
      </w:pPr>
    </w:p>
    <w:p w14:paraId="1FF8B902">
      <w:pPr>
        <w:pStyle w:val="83"/>
        <w:jc w:val="left"/>
        <w:rPr>
          <w:rFonts w:hint="default" w:ascii="Times New Roman" w:hAnsi="Times New Roman" w:eastAsia="仿宋_GB2312" w:cs="Times New Roman"/>
          <w:b/>
          <w:bCs w:val="0"/>
          <w:highlight w:val="none"/>
        </w:rPr>
      </w:pPr>
      <w:r>
        <w:rPr>
          <w:rFonts w:hint="default" w:ascii="Times New Roman" w:hAnsi="Times New Roman" w:eastAsia="仿宋_GB2312" w:cs="Times New Roman"/>
          <w:b/>
          <w:bCs w:val="0"/>
          <w:highlight w:val="none"/>
        </w:rPr>
        <w:t>表7-10                     主体工程已列水土保持</w:t>
      </w:r>
      <w:r>
        <w:rPr>
          <w:rFonts w:hint="eastAsia" w:eastAsia="仿宋_GB2312" w:cs="Times New Roman"/>
          <w:b/>
          <w:bCs w:val="0"/>
          <w:highlight w:val="none"/>
          <w:lang w:eastAsia="zh-CN"/>
        </w:rPr>
        <w:t>概算</w:t>
      </w:r>
      <w:r>
        <w:rPr>
          <w:rFonts w:hint="default" w:ascii="Times New Roman" w:hAnsi="Times New Roman" w:eastAsia="仿宋_GB2312" w:cs="Times New Roman"/>
          <w:b/>
          <w:bCs w:val="0"/>
          <w:highlight w:val="none"/>
        </w:rPr>
        <w:t>投资表</w:t>
      </w:r>
    </w:p>
    <w:tbl>
      <w:tblPr>
        <w:tblStyle w:val="27"/>
        <w:tblW w:w="956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3"/>
        <w:gridCol w:w="1535"/>
        <w:gridCol w:w="2096"/>
        <w:gridCol w:w="840"/>
        <w:gridCol w:w="913"/>
        <w:gridCol w:w="984"/>
        <w:gridCol w:w="743"/>
        <w:gridCol w:w="708"/>
        <w:gridCol w:w="874"/>
      </w:tblGrid>
      <w:tr w14:paraId="376B8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rPr>
        <w:tc>
          <w:tcPr>
            <w:tcW w:w="873" w:type="dxa"/>
            <w:vMerge w:val="restart"/>
            <w:tcBorders>
              <w:tl2br w:val="nil"/>
              <w:tr2bl w:val="nil"/>
            </w:tcBorders>
            <w:shd w:val="clear" w:color="auto" w:fill="auto"/>
            <w:noWrap/>
            <w:vAlign w:val="center"/>
          </w:tcPr>
          <w:p w14:paraId="0268E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35" w:type="dxa"/>
            <w:vMerge w:val="restart"/>
            <w:tcBorders>
              <w:tl2br w:val="nil"/>
              <w:tr2bl w:val="nil"/>
            </w:tcBorders>
            <w:shd w:val="clear" w:color="auto" w:fill="auto"/>
            <w:noWrap/>
            <w:vAlign w:val="center"/>
          </w:tcPr>
          <w:p w14:paraId="354DF7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2096" w:type="dxa"/>
            <w:vMerge w:val="restart"/>
            <w:tcBorders>
              <w:tl2br w:val="nil"/>
              <w:tr2bl w:val="nil"/>
            </w:tcBorders>
            <w:shd w:val="clear" w:color="auto" w:fill="auto"/>
            <w:noWrap/>
            <w:vAlign w:val="center"/>
          </w:tcPr>
          <w:p w14:paraId="31DC02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措施名称</w:t>
            </w:r>
          </w:p>
        </w:tc>
        <w:tc>
          <w:tcPr>
            <w:tcW w:w="1753" w:type="dxa"/>
            <w:gridSpan w:val="2"/>
            <w:tcBorders>
              <w:tl2br w:val="nil"/>
              <w:tr2bl w:val="nil"/>
            </w:tcBorders>
            <w:shd w:val="clear" w:color="auto" w:fill="auto"/>
            <w:noWrap/>
            <w:vAlign w:val="center"/>
          </w:tcPr>
          <w:p w14:paraId="0DDD54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措施数量</w:t>
            </w:r>
          </w:p>
        </w:tc>
        <w:tc>
          <w:tcPr>
            <w:tcW w:w="1727" w:type="dxa"/>
            <w:gridSpan w:val="2"/>
            <w:tcBorders>
              <w:tl2br w:val="nil"/>
              <w:tr2bl w:val="nil"/>
            </w:tcBorders>
            <w:shd w:val="clear" w:color="auto" w:fill="auto"/>
            <w:noWrap/>
            <w:vAlign w:val="center"/>
          </w:tcPr>
          <w:p w14:paraId="390D9D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综合单价</w:t>
            </w:r>
          </w:p>
        </w:tc>
        <w:tc>
          <w:tcPr>
            <w:tcW w:w="708" w:type="dxa"/>
            <w:tcBorders>
              <w:tl2br w:val="nil"/>
              <w:tr2bl w:val="nil"/>
            </w:tcBorders>
            <w:shd w:val="clear" w:color="auto" w:fill="auto"/>
            <w:noWrap/>
            <w:vAlign w:val="center"/>
          </w:tcPr>
          <w:p w14:paraId="2BBFC2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投资</w:t>
            </w:r>
          </w:p>
        </w:tc>
        <w:tc>
          <w:tcPr>
            <w:tcW w:w="874" w:type="dxa"/>
            <w:vMerge w:val="restart"/>
            <w:tcBorders>
              <w:tl2br w:val="nil"/>
              <w:tr2bl w:val="nil"/>
            </w:tcBorders>
            <w:shd w:val="clear" w:color="auto" w:fill="auto"/>
            <w:noWrap/>
            <w:vAlign w:val="center"/>
          </w:tcPr>
          <w:p w14:paraId="302C8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备注</w:t>
            </w:r>
          </w:p>
        </w:tc>
      </w:tr>
      <w:tr w14:paraId="5D5F0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74CCBB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4AAF9A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vMerge w:val="continue"/>
            <w:tcBorders>
              <w:tl2br w:val="nil"/>
              <w:tr2bl w:val="nil"/>
            </w:tcBorders>
            <w:shd w:val="clear" w:color="auto" w:fill="auto"/>
            <w:noWrap/>
            <w:vAlign w:val="center"/>
          </w:tcPr>
          <w:p w14:paraId="6E72FC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34CDB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913" w:type="dxa"/>
            <w:tcBorders>
              <w:tl2br w:val="nil"/>
              <w:tr2bl w:val="nil"/>
            </w:tcBorders>
            <w:shd w:val="clear" w:color="auto" w:fill="auto"/>
            <w:noWrap/>
            <w:vAlign w:val="center"/>
          </w:tcPr>
          <w:p w14:paraId="1CFD9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数量</w:t>
            </w:r>
          </w:p>
        </w:tc>
        <w:tc>
          <w:tcPr>
            <w:tcW w:w="984" w:type="dxa"/>
            <w:tcBorders>
              <w:tl2br w:val="nil"/>
              <w:tr2bl w:val="nil"/>
            </w:tcBorders>
            <w:shd w:val="clear" w:color="auto" w:fill="auto"/>
            <w:noWrap/>
            <w:vAlign w:val="center"/>
          </w:tcPr>
          <w:p w14:paraId="55A342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单价</w:t>
            </w:r>
          </w:p>
        </w:tc>
        <w:tc>
          <w:tcPr>
            <w:tcW w:w="743" w:type="dxa"/>
            <w:tcBorders>
              <w:tl2br w:val="nil"/>
              <w:tr2bl w:val="nil"/>
            </w:tcBorders>
            <w:shd w:val="clear" w:color="auto" w:fill="auto"/>
            <w:noWrap/>
            <w:vAlign w:val="center"/>
          </w:tcPr>
          <w:p w14:paraId="7C4BDD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单位</w:t>
            </w:r>
          </w:p>
        </w:tc>
        <w:tc>
          <w:tcPr>
            <w:tcW w:w="708" w:type="dxa"/>
            <w:tcBorders>
              <w:tl2br w:val="nil"/>
              <w:tr2bl w:val="nil"/>
            </w:tcBorders>
            <w:shd w:val="clear" w:color="auto" w:fill="auto"/>
            <w:noWrap/>
            <w:vAlign w:val="center"/>
          </w:tcPr>
          <w:p w14:paraId="22F5A2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万元</w:t>
            </w:r>
          </w:p>
        </w:tc>
        <w:tc>
          <w:tcPr>
            <w:tcW w:w="874" w:type="dxa"/>
            <w:vMerge w:val="continue"/>
            <w:tcBorders>
              <w:tl2br w:val="nil"/>
              <w:tr2bl w:val="nil"/>
            </w:tcBorders>
            <w:shd w:val="clear" w:color="auto" w:fill="auto"/>
            <w:noWrap/>
            <w:vAlign w:val="center"/>
          </w:tcPr>
          <w:p w14:paraId="5B8128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3976A0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restart"/>
            <w:tcBorders>
              <w:tl2br w:val="nil"/>
              <w:tr2bl w:val="nil"/>
            </w:tcBorders>
            <w:shd w:val="clear" w:color="auto" w:fill="auto"/>
            <w:noWrap/>
            <w:vAlign w:val="center"/>
          </w:tcPr>
          <w:p w14:paraId="6043B2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35" w:type="dxa"/>
            <w:tcBorders>
              <w:tl2br w:val="nil"/>
              <w:tr2bl w:val="nil"/>
            </w:tcBorders>
            <w:shd w:val="clear" w:color="auto" w:fill="auto"/>
            <w:noWrap/>
            <w:vAlign w:val="center"/>
          </w:tcPr>
          <w:p w14:paraId="66ECC0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96" w:type="dxa"/>
            <w:tcBorders>
              <w:tl2br w:val="nil"/>
              <w:tr2bl w:val="nil"/>
            </w:tcBorders>
            <w:shd w:val="clear" w:color="auto" w:fill="auto"/>
            <w:noWrap/>
            <w:vAlign w:val="center"/>
          </w:tcPr>
          <w:p w14:paraId="211EB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1623BB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11DA15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105</w:t>
            </w:r>
          </w:p>
        </w:tc>
        <w:tc>
          <w:tcPr>
            <w:tcW w:w="984" w:type="dxa"/>
            <w:tcBorders>
              <w:tl2br w:val="nil"/>
              <w:tr2bl w:val="nil"/>
            </w:tcBorders>
            <w:shd w:val="clear" w:color="auto" w:fill="auto"/>
            <w:vAlign w:val="center"/>
          </w:tcPr>
          <w:p w14:paraId="18A0D1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5322F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5CD6BF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0.07 </w:t>
            </w:r>
          </w:p>
        </w:tc>
        <w:tc>
          <w:tcPr>
            <w:tcW w:w="874" w:type="dxa"/>
            <w:tcBorders>
              <w:tl2br w:val="nil"/>
              <w:tr2bl w:val="nil"/>
            </w:tcBorders>
            <w:shd w:val="clear" w:color="auto" w:fill="auto"/>
            <w:noWrap/>
            <w:vAlign w:val="center"/>
          </w:tcPr>
          <w:p w14:paraId="05B1C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212F58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727943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411B05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96" w:type="dxa"/>
            <w:tcBorders>
              <w:tl2br w:val="nil"/>
              <w:tr2bl w:val="nil"/>
            </w:tcBorders>
            <w:shd w:val="clear" w:color="auto" w:fill="auto"/>
            <w:noWrap/>
            <w:vAlign w:val="center"/>
          </w:tcPr>
          <w:p w14:paraId="49D43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399456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4A7012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315</w:t>
            </w:r>
          </w:p>
        </w:tc>
        <w:tc>
          <w:tcPr>
            <w:tcW w:w="984" w:type="dxa"/>
            <w:tcBorders>
              <w:tl2br w:val="nil"/>
              <w:tr2bl w:val="nil"/>
            </w:tcBorders>
            <w:shd w:val="clear" w:color="auto" w:fill="auto"/>
            <w:vAlign w:val="center"/>
          </w:tcPr>
          <w:p w14:paraId="176BCA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0EC93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20A16F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874" w:type="dxa"/>
            <w:tcBorders>
              <w:tl2br w:val="nil"/>
              <w:tr2bl w:val="nil"/>
            </w:tcBorders>
            <w:shd w:val="clear" w:color="auto" w:fill="auto"/>
            <w:noWrap/>
            <w:vAlign w:val="center"/>
          </w:tcPr>
          <w:p w14:paraId="7ADBBB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50A38C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037EA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C2DB6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3CF15E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雨水管网（DN400）</w:t>
            </w:r>
          </w:p>
        </w:tc>
        <w:tc>
          <w:tcPr>
            <w:tcW w:w="840" w:type="dxa"/>
            <w:tcBorders>
              <w:tl2br w:val="nil"/>
              <w:tr2bl w:val="nil"/>
            </w:tcBorders>
            <w:shd w:val="clear" w:color="auto" w:fill="auto"/>
            <w:noWrap/>
            <w:vAlign w:val="center"/>
          </w:tcPr>
          <w:p w14:paraId="040E6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6D27C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135 </w:t>
            </w:r>
          </w:p>
        </w:tc>
        <w:tc>
          <w:tcPr>
            <w:tcW w:w="984" w:type="dxa"/>
            <w:tcBorders>
              <w:tl2br w:val="nil"/>
              <w:tr2bl w:val="nil"/>
            </w:tcBorders>
            <w:shd w:val="clear" w:color="auto" w:fill="auto"/>
            <w:noWrap/>
            <w:vAlign w:val="center"/>
          </w:tcPr>
          <w:p w14:paraId="4F53B0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193.76</w:t>
            </w:r>
          </w:p>
        </w:tc>
        <w:tc>
          <w:tcPr>
            <w:tcW w:w="743" w:type="dxa"/>
            <w:tcBorders>
              <w:tl2br w:val="nil"/>
              <w:tr2bl w:val="nil"/>
            </w:tcBorders>
            <w:shd w:val="clear" w:color="auto" w:fill="auto"/>
            <w:noWrap/>
            <w:vAlign w:val="center"/>
          </w:tcPr>
          <w:p w14:paraId="21354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11C510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2.62 </w:t>
            </w:r>
          </w:p>
        </w:tc>
        <w:tc>
          <w:tcPr>
            <w:tcW w:w="874" w:type="dxa"/>
            <w:tcBorders>
              <w:tl2br w:val="nil"/>
              <w:tr2bl w:val="nil"/>
            </w:tcBorders>
            <w:shd w:val="clear" w:color="auto" w:fill="auto"/>
            <w:noWrap/>
            <w:vAlign w:val="center"/>
          </w:tcPr>
          <w:p w14:paraId="7D7CE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DE6E6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10686A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12A6DA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7DD083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雨水管网（DN500）</w:t>
            </w:r>
          </w:p>
        </w:tc>
        <w:tc>
          <w:tcPr>
            <w:tcW w:w="840" w:type="dxa"/>
            <w:tcBorders>
              <w:tl2br w:val="nil"/>
              <w:tr2bl w:val="nil"/>
            </w:tcBorders>
            <w:shd w:val="clear" w:color="auto" w:fill="auto"/>
            <w:noWrap/>
            <w:vAlign w:val="center"/>
          </w:tcPr>
          <w:p w14:paraId="441EE0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7E46F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65 </w:t>
            </w:r>
          </w:p>
        </w:tc>
        <w:tc>
          <w:tcPr>
            <w:tcW w:w="984" w:type="dxa"/>
            <w:tcBorders>
              <w:tl2br w:val="nil"/>
              <w:tr2bl w:val="nil"/>
            </w:tcBorders>
            <w:shd w:val="clear" w:color="auto" w:fill="auto"/>
            <w:noWrap/>
            <w:vAlign w:val="center"/>
          </w:tcPr>
          <w:p w14:paraId="17AF5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265.68</w:t>
            </w:r>
          </w:p>
        </w:tc>
        <w:tc>
          <w:tcPr>
            <w:tcW w:w="743" w:type="dxa"/>
            <w:tcBorders>
              <w:tl2br w:val="nil"/>
              <w:tr2bl w:val="nil"/>
            </w:tcBorders>
            <w:shd w:val="clear" w:color="auto" w:fill="auto"/>
            <w:noWrap/>
            <w:vAlign w:val="center"/>
          </w:tcPr>
          <w:p w14:paraId="3150C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0FAD7A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1.73 </w:t>
            </w:r>
          </w:p>
        </w:tc>
        <w:tc>
          <w:tcPr>
            <w:tcW w:w="874" w:type="dxa"/>
            <w:tcBorders>
              <w:tl2br w:val="nil"/>
              <w:tr2bl w:val="nil"/>
            </w:tcBorders>
            <w:shd w:val="clear" w:color="auto" w:fill="auto"/>
            <w:noWrap/>
            <w:vAlign w:val="center"/>
          </w:tcPr>
          <w:p w14:paraId="760879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0867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3A5CC8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57FDA2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96" w:type="dxa"/>
            <w:tcBorders>
              <w:tl2br w:val="nil"/>
              <w:tr2bl w:val="nil"/>
            </w:tcBorders>
            <w:shd w:val="clear" w:color="auto" w:fill="auto"/>
            <w:noWrap/>
            <w:vAlign w:val="center"/>
          </w:tcPr>
          <w:p w14:paraId="38D30F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340D01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1DC887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135</w:t>
            </w:r>
          </w:p>
        </w:tc>
        <w:tc>
          <w:tcPr>
            <w:tcW w:w="984" w:type="dxa"/>
            <w:tcBorders>
              <w:tl2br w:val="nil"/>
              <w:tr2bl w:val="nil"/>
            </w:tcBorders>
            <w:shd w:val="clear" w:color="auto" w:fill="auto"/>
            <w:vAlign w:val="center"/>
          </w:tcPr>
          <w:p w14:paraId="3DC8B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4910F1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79596C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874" w:type="dxa"/>
            <w:tcBorders>
              <w:tl2br w:val="nil"/>
              <w:tr2bl w:val="nil"/>
            </w:tcBorders>
            <w:shd w:val="clear" w:color="auto" w:fill="auto"/>
            <w:noWrap/>
            <w:vAlign w:val="center"/>
          </w:tcPr>
          <w:p w14:paraId="32CDAF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11B4E8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546360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4A73D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6F72EF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840" w:type="dxa"/>
            <w:tcBorders>
              <w:tl2br w:val="nil"/>
              <w:tr2bl w:val="nil"/>
            </w:tcBorders>
            <w:shd w:val="clear" w:color="auto" w:fill="auto"/>
            <w:noWrap/>
            <w:vAlign w:val="center"/>
          </w:tcPr>
          <w:p w14:paraId="1CA523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913" w:type="dxa"/>
            <w:tcBorders>
              <w:tl2br w:val="nil"/>
              <w:tr2bl w:val="nil"/>
            </w:tcBorders>
            <w:shd w:val="clear" w:color="auto" w:fill="auto"/>
            <w:noWrap/>
            <w:vAlign w:val="center"/>
          </w:tcPr>
          <w:p w14:paraId="310AB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984" w:type="dxa"/>
            <w:tcBorders>
              <w:tl2br w:val="nil"/>
              <w:tr2bl w:val="nil"/>
            </w:tcBorders>
            <w:shd w:val="clear" w:color="auto" w:fill="auto"/>
            <w:noWrap/>
            <w:vAlign w:val="center"/>
          </w:tcPr>
          <w:p w14:paraId="70EEA9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1200000 </w:t>
            </w:r>
          </w:p>
        </w:tc>
        <w:tc>
          <w:tcPr>
            <w:tcW w:w="743" w:type="dxa"/>
            <w:tcBorders>
              <w:tl2br w:val="nil"/>
              <w:tr2bl w:val="nil"/>
            </w:tcBorders>
            <w:shd w:val="clear" w:color="auto" w:fill="auto"/>
            <w:noWrap/>
            <w:vAlign w:val="center"/>
          </w:tcPr>
          <w:p w14:paraId="42655F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708" w:type="dxa"/>
            <w:tcBorders>
              <w:tl2br w:val="nil"/>
              <w:tr2bl w:val="nil"/>
            </w:tcBorders>
            <w:shd w:val="clear" w:color="auto" w:fill="auto"/>
            <w:noWrap/>
            <w:vAlign w:val="center"/>
          </w:tcPr>
          <w:p w14:paraId="5EB15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10.80 </w:t>
            </w:r>
          </w:p>
        </w:tc>
        <w:tc>
          <w:tcPr>
            <w:tcW w:w="874" w:type="dxa"/>
            <w:tcBorders>
              <w:tl2br w:val="nil"/>
              <w:tr2bl w:val="nil"/>
            </w:tcBorders>
            <w:shd w:val="clear" w:color="auto" w:fill="auto"/>
            <w:noWrap/>
            <w:vAlign w:val="center"/>
          </w:tcPr>
          <w:p w14:paraId="18073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527B2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774388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10A42B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96" w:type="dxa"/>
            <w:tcBorders>
              <w:tl2br w:val="nil"/>
              <w:tr2bl w:val="nil"/>
            </w:tcBorders>
            <w:shd w:val="clear" w:color="auto" w:fill="auto"/>
            <w:noWrap/>
            <w:vAlign w:val="center"/>
          </w:tcPr>
          <w:p w14:paraId="5C1107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51E211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76A38E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6B4588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6A8E16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63C740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15.51 </w:t>
            </w:r>
          </w:p>
        </w:tc>
        <w:tc>
          <w:tcPr>
            <w:tcW w:w="874" w:type="dxa"/>
            <w:tcBorders>
              <w:tl2br w:val="nil"/>
              <w:tr2bl w:val="nil"/>
            </w:tcBorders>
            <w:shd w:val="clear" w:color="auto" w:fill="auto"/>
            <w:noWrap/>
            <w:vAlign w:val="center"/>
          </w:tcPr>
          <w:p w14:paraId="08CA13C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BEB20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restart"/>
            <w:tcBorders>
              <w:tl2br w:val="nil"/>
              <w:tr2bl w:val="nil"/>
            </w:tcBorders>
            <w:shd w:val="clear" w:color="auto" w:fill="auto"/>
            <w:noWrap/>
            <w:vAlign w:val="center"/>
          </w:tcPr>
          <w:p w14:paraId="18C8AD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35" w:type="dxa"/>
            <w:tcBorders>
              <w:tl2br w:val="nil"/>
              <w:tr2bl w:val="nil"/>
            </w:tcBorders>
            <w:shd w:val="clear" w:color="auto" w:fill="auto"/>
            <w:noWrap/>
            <w:vAlign w:val="center"/>
          </w:tcPr>
          <w:p w14:paraId="6A1B21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096" w:type="dxa"/>
            <w:tcBorders>
              <w:tl2br w:val="nil"/>
              <w:tr2bl w:val="nil"/>
            </w:tcBorders>
            <w:shd w:val="clear" w:color="auto" w:fill="auto"/>
            <w:noWrap/>
            <w:vAlign w:val="center"/>
          </w:tcPr>
          <w:p w14:paraId="3B2A9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770F55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4C04E2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855</w:t>
            </w:r>
          </w:p>
        </w:tc>
        <w:tc>
          <w:tcPr>
            <w:tcW w:w="984" w:type="dxa"/>
            <w:tcBorders>
              <w:tl2br w:val="nil"/>
              <w:tr2bl w:val="nil"/>
            </w:tcBorders>
            <w:shd w:val="clear" w:color="auto" w:fill="auto"/>
            <w:vAlign w:val="center"/>
          </w:tcPr>
          <w:p w14:paraId="29AFF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4EC875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514D2C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0.56 </w:t>
            </w:r>
          </w:p>
        </w:tc>
        <w:tc>
          <w:tcPr>
            <w:tcW w:w="874" w:type="dxa"/>
            <w:tcBorders>
              <w:tl2br w:val="nil"/>
              <w:tr2bl w:val="nil"/>
            </w:tcBorders>
            <w:shd w:val="clear" w:color="auto" w:fill="auto"/>
            <w:noWrap/>
            <w:vAlign w:val="center"/>
          </w:tcPr>
          <w:p w14:paraId="39080C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3AF248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0155A6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0F43E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096" w:type="dxa"/>
            <w:tcBorders>
              <w:tl2br w:val="nil"/>
              <w:tr2bl w:val="nil"/>
            </w:tcBorders>
            <w:shd w:val="clear" w:color="auto" w:fill="auto"/>
            <w:noWrap/>
            <w:vAlign w:val="center"/>
          </w:tcPr>
          <w:p w14:paraId="7ABF96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4A65F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347AAF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984" w:type="dxa"/>
            <w:tcBorders>
              <w:tl2br w:val="nil"/>
              <w:tr2bl w:val="nil"/>
            </w:tcBorders>
            <w:shd w:val="clear" w:color="auto" w:fill="auto"/>
            <w:vAlign w:val="center"/>
          </w:tcPr>
          <w:p w14:paraId="3672FF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08A53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116C9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874" w:type="dxa"/>
            <w:tcBorders>
              <w:tl2br w:val="nil"/>
              <w:tr2bl w:val="nil"/>
            </w:tcBorders>
            <w:shd w:val="clear" w:color="auto" w:fill="auto"/>
            <w:noWrap/>
            <w:vAlign w:val="center"/>
          </w:tcPr>
          <w:p w14:paraId="73DA1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610724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74809A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6AFF60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0DC828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雨水管网（DN400）</w:t>
            </w:r>
          </w:p>
        </w:tc>
        <w:tc>
          <w:tcPr>
            <w:tcW w:w="840" w:type="dxa"/>
            <w:tcBorders>
              <w:tl2br w:val="nil"/>
              <w:tr2bl w:val="nil"/>
            </w:tcBorders>
            <w:shd w:val="clear" w:color="auto" w:fill="auto"/>
            <w:noWrap/>
            <w:vAlign w:val="center"/>
          </w:tcPr>
          <w:p w14:paraId="4B7F5D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7D730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165 </w:t>
            </w:r>
          </w:p>
        </w:tc>
        <w:tc>
          <w:tcPr>
            <w:tcW w:w="984" w:type="dxa"/>
            <w:tcBorders>
              <w:tl2br w:val="nil"/>
              <w:tr2bl w:val="nil"/>
            </w:tcBorders>
            <w:shd w:val="clear" w:color="auto" w:fill="auto"/>
            <w:noWrap/>
            <w:vAlign w:val="center"/>
          </w:tcPr>
          <w:p w14:paraId="74F65B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193.76</w:t>
            </w:r>
          </w:p>
        </w:tc>
        <w:tc>
          <w:tcPr>
            <w:tcW w:w="743" w:type="dxa"/>
            <w:tcBorders>
              <w:tl2br w:val="nil"/>
              <w:tr2bl w:val="nil"/>
            </w:tcBorders>
            <w:shd w:val="clear" w:color="auto" w:fill="auto"/>
            <w:noWrap/>
            <w:vAlign w:val="center"/>
          </w:tcPr>
          <w:p w14:paraId="454B1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27B83C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3.20 </w:t>
            </w:r>
          </w:p>
        </w:tc>
        <w:tc>
          <w:tcPr>
            <w:tcW w:w="874" w:type="dxa"/>
            <w:tcBorders>
              <w:tl2br w:val="nil"/>
              <w:tr2bl w:val="nil"/>
            </w:tcBorders>
            <w:shd w:val="clear" w:color="auto" w:fill="auto"/>
            <w:noWrap/>
            <w:vAlign w:val="center"/>
          </w:tcPr>
          <w:p w14:paraId="65D0A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67C71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6E3B70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2CFAAD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194628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雨水管网（DN500）</w:t>
            </w:r>
          </w:p>
        </w:tc>
        <w:tc>
          <w:tcPr>
            <w:tcW w:w="840" w:type="dxa"/>
            <w:tcBorders>
              <w:tl2br w:val="nil"/>
              <w:tr2bl w:val="nil"/>
            </w:tcBorders>
            <w:shd w:val="clear" w:color="auto" w:fill="auto"/>
            <w:noWrap/>
            <w:vAlign w:val="center"/>
          </w:tcPr>
          <w:p w14:paraId="283280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p>
        </w:tc>
        <w:tc>
          <w:tcPr>
            <w:tcW w:w="913" w:type="dxa"/>
            <w:tcBorders>
              <w:tl2br w:val="nil"/>
              <w:tr2bl w:val="nil"/>
            </w:tcBorders>
            <w:shd w:val="clear" w:color="auto" w:fill="auto"/>
            <w:noWrap/>
            <w:vAlign w:val="center"/>
          </w:tcPr>
          <w:p w14:paraId="6096E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80 </w:t>
            </w:r>
          </w:p>
        </w:tc>
        <w:tc>
          <w:tcPr>
            <w:tcW w:w="984" w:type="dxa"/>
            <w:tcBorders>
              <w:tl2br w:val="nil"/>
              <w:tr2bl w:val="nil"/>
            </w:tcBorders>
            <w:shd w:val="clear" w:color="auto" w:fill="auto"/>
            <w:noWrap/>
            <w:vAlign w:val="center"/>
          </w:tcPr>
          <w:p w14:paraId="77795B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265.68</w:t>
            </w:r>
          </w:p>
        </w:tc>
        <w:tc>
          <w:tcPr>
            <w:tcW w:w="743" w:type="dxa"/>
            <w:tcBorders>
              <w:tl2br w:val="nil"/>
              <w:tr2bl w:val="nil"/>
            </w:tcBorders>
            <w:shd w:val="clear" w:color="auto" w:fill="auto"/>
            <w:noWrap/>
            <w:vAlign w:val="center"/>
          </w:tcPr>
          <w:p w14:paraId="2BF025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p>
        </w:tc>
        <w:tc>
          <w:tcPr>
            <w:tcW w:w="708" w:type="dxa"/>
            <w:tcBorders>
              <w:tl2br w:val="nil"/>
              <w:tr2bl w:val="nil"/>
            </w:tcBorders>
            <w:shd w:val="clear" w:color="auto" w:fill="auto"/>
            <w:noWrap/>
            <w:vAlign w:val="center"/>
          </w:tcPr>
          <w:p w14:paraId="361E15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2.13 </w:t>
            </w:r>
          </w:p>
        </w:tc>
        <w:tc>
          <w:tcPr>
            <w:tcW w:w="874" w:type="dxa"/>
            <w:tcBorders>
              <w:tl2br w:val="nil"/>
              <w:tr2bl w:val="nil"/>
            </w:tcBorders>
            <w:shd w:val="clear" w:color="auto" w:fill="auto"/>
            <w:noWrap/>
            <w:vAlign w:val="center"/>
          </w:tcPr>
          <w:p w14:paraId="01F4A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765815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0FE292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restart"/>
            <w:tcBorders>
              <w:tl2br w:val="nil"/>
              <w:tr2bl w:val="nil"/>
            </w:tcBorders>
            <w:shd w:val="clear" w:color="auto" w:fill="auto"/>
            <w:noWrap/>
            <w:vAlign w:val="center"/>
          </w:tcPr>
          <w:p w14:paraId="1389B2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096" w:type="dxa"/>
            <w:tcBorders>
              <w:tl2br w:val="nil"/>
              <w:tr2bl w:val="nil"/>
            </w:tcBorders>
            <w:shd w:val="clear" w:color="auto" w:fill="auto"/>
            <w:noWrap/>
            <w:vAlign w:val="center"/>
          </w:tcPr>
          <w:p w14:paraId="7ABD5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表土剥离</w:t>
            </w:r>
          </w:p>
        </w:tc>
        <w:tc>
          <w:tcPr>
            <w:tcW w:w="840" w:type="dxa"/>
            <w:tcBorders>
              <w:tl2br w:val="nil"/>
              <w:tr2bl w:val="nil"/>
            </w:tcBorders>
            <w:shd w:val="clear" w:color="auto" w:fill="auto"/>
            <w:noWrap/>
            <w:vAlign w:val="center"/>
          </w:tcPr>
          <w:p w14:paraId="07BD0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913" w:type="dxa"/>
            <w:tcBorders>
              <w:tl2br w:val="nil"/>
              <w:tr2bl w:val="nil"/>
            </w:tcBorders>
            <w:shd w:val="clear" w:color="auto" w:fill="auto"/>
            <w:noWrap/>
            <w:vAlign w:val="center"/>
          </w:tcPr>
          <w:p w14:paraId="590A7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210</w:t>
            </w:r>
          </w:p>
        </w:tc>
        <w:tc>
          <w:tcPr>
            <w:tcW w:w="984" w:type="dxa"/>
            <w:tcBorders>
              <w:tl2br w:val="nil"/>
              <w:tr2bl w:val="nil"/>
            </w:tcBorders>
            <w:shd w:val="clear" w:color="auto" w:fill="auto"/>
            <w:vAlign w:val="center"/>
          </w:tcPr>
          <w:p w14:paraId="5EEB7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6.5</w:t>
            </w:r>
          </w:p>
        </w:tc>
        <w:tc>
          <w:tcPr>
            <w:tcW w:w="743" w:type="dxa"/>
            <w:tcBorders>
              <w:tl2br w:val="nil"/>
              <w:tr2bl w:val="nil"/>
            </w:tcBorders>
            <w:shd w:val="clear" w:color="auto" w:fill="auto"/>
            <w:noWrap/>
            <w:vAlign w:val="center"/>
          </w:tcPr>
          <w:p w14:paraId="359DF8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3</w:t>
            </w:r>
          </w:p>
        </w:tc>
        <w:tc>
          <w:tcPr>
            <w:tcW w:w="708" w:type="dxa"/>
            <w:tcBorders>
              <w:tl2br w:val="nil"/>
              <w:tr2bl w:val="nil"/>
            </w:tcBorders>
            <w:shd w:val="clear" w:color="auto" w:fill="auto"/>
            <w:noWrap/>
            <w:vAlign w:val="center"/>
          </w:tcPr>
          <w:p w14:paraId="0FDD6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874" w:type="dxa"/>
            <w:tcBorders>
              <w:tl2br w:val="nil"/>
              <w:tr2bl w:val="nil"/>
            </w:tcBorders>
            <w:shd w:val="clear" w:color="auto" w:fill="auto"/>
            <w:noWrap/>
            <w:vAlign w:val="center"/>
          </w:tcPr>
          <w:p w14:paraId="260ABA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已实施</w:t>
            </w:r>
          </w:p>
        </w:tc>
      </w:tr>
      <w:tr w14:paraId="7B611C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5" w:hRule="atLeast"/>
        </w:trPr>
        <w:tc>
          <w:tcPr>
            <w:tcW w:w="873" w:type="dxa"/>
            <w:vMerge w:val="continue"/>
            <w:tcBorders>
              <w:tl2br w:val="nil"/>
              <w:tr2bl w:val="nil"/>
            </w:tcBorders>
            <w:shd w:val="clear" w:color="auto" w:fill="auto"/>
            <w:noWrap/>
            <w:vAlign w:val="center"/>
          </w:tcPr>
          <w:p w14:paraId="44C465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vMerge w:val="continue"/>
            <w:tcBorders>
              <w:tl2br w:val="nil"/>
              <w:tr2bl w:val="nil"/>
            </w:tcBorders>
            <w:shd w:val="clear" w:color="auto" w:fill="auto"/>
            <w:noWrap/>
            <w:vAlign w:val="center"/>
          </w:tcPr>
          <w:p w14:paraId="049D8C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2096" w:type="dxa"/>
            <w:tcBorders>
              <w:tl2br w:val="nil"/>
              <w:tr2bl w:val="nil"/>
            </w:tcBorders>
            <w:shd w:val="clear" w:color="auto" w:fill="auto"/>
            <w:noWrap/>
            <w:vAlign w:val="center"/>
          </w:tcPr>
          <w:p w14:paraId="43F22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w:t>
            </w:r>
          </w:p>
        </w:tc>
        <w:tc>
          <w:tcPr>
            <w:tcW w:w="840" w:type="dxa"/>
            <w:tcBorders>
              <w:tl2br w:val="nil"/>
              <w:tr2bl w:val="nil"/>
            </w:tcBorders>
            <w:shd w:val="clear" w:color="auto" w:fill="auto"/>
            <w:noWrap/>
            <w:vAlign w:val="center"/>
          </w:tcPr>
          <w:p w14:paraId="4501A9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hm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913" w:type="dxa"/>
            <w:tcBorders>
              <w:tl2br w:val="nil"/>
              <w:tr2bl w:val="nil"/>
            </w:tcBorders>
            <w:shd w:val="clear" w:color="auto" w:fill="auto"/>
            <w:noWrap/>
            <w:vAlign w:val="center"/>
          </w:tcPr>
          <w:p w14:paraId="17ED6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984" w:type="dxa"/>
            <w:tcBorders>
              <w:tl2br w:val="nil"/>
              <w:tr2bl w:val="nil"/>
            </w:tcBorders>
            <w:shd w:val="clear" w:color="auto" w:fill="auto"/>
            <w:noWrap/>
            <w:vAlign w:val="center"/>
          </w:tcPr>
          <w:p w14:paraId="2EDFB1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1200000 </w:t>
            </w:r>
          </w:p>
        </w:tc>
        <w:tc>
          <w:tcPr>
            <w:tcW w:w="743" w:type="dxa"/>
            <w:tcBorders>
              <w:tl2br w:val="nil"/>
              <w:tr2bl w:val="nil"/>
            </w:tcBorders>
            <w:shd w:val="clear" w:color="auto" w:fill="auto"/>
            <w:noWrap/>
            <w:vAlign w:val="center"/>
          </w:tcPr>
          <w:p w14:paraId="359C94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元/m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p>
        </w:tc>
        <w:tc>
          <w:tcPr>
            <w:tcW w:w="708" w:type="dxa"/>
            <w:tcBorders>
              <w:tl2br w:val="nil"/>
              <w:tr2bl w:val="nil"/>
            </w:tcBorders>
            <w:shd w:val="clear" w:color="auto" w:fill="auto"/>
            <w:noWrap/>
            <w:vAlign w:val="center"/>
          </w:tcPr>
          <w:p w14:paraId="3D69D3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16.80 </w:t>
            </w:r>
          </w:p>
        </w:tc>
        <w:tc>
          <w:tcPr>
            <w:tcW w:w="874" w:type="dxa"/>
            <w:tcBorders>
              <w:tl2br w:val="nil"/>
              <w:tr2bl w:val="nil"/>
            </w:tcBorders>
            <w:shd w:val="clear" w:color="auto" w:fill="auto"/>
            <w:noWrap/>
            <w:vAlign w:val="center"/>
          </w:tcPr>
          <w:p w14:paraId="327987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未实施</w:t>
            </w:r>
          </w:p>
        </w:tc>
      </w:tr>
      <w:tr w14:paraId="344EF8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873" w:type="dxa"/>
            <w:vMerge w:val="continue"/>
            <w:tcBorders>
              <w:tl2br w:val="nil"/>
              <w:tr2bl w:val="nil"/>
            </w:tcBorders>
            <w:shd w:val="clear" w:color="auto" w:fill="auto"/>
            <w:noWrap/>
            <w:vAlign w:val="center"/>
          </w:tcPr>
          <w:p w14:paraId="56025D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35" w:type="dxa"/>
            <w:tcBorders>
              <w:tl2br w:val="nil"/>
              <w:tr2bl w:val="nil"/>
            </w:tcBorders>
            <w:shd w:val="clear" w:color="auto" w:fill="auto"/>
            <w:noWrap/>
            <w:vAlign w:val="center"/>
          </w:tcPr>
          <w:p w14:paraId="7DBED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096" w:type="dxa"/>
            <w:tcBorders>
              <w:tl2br w:val="nil"/>
              <w:tr2bl w:val="nil"/>
            </w:tcBorders>
            <w:shd w:val="clear" w:color="auto" w:fill="auto"/>
            <w:noWrap/>
            <w:vAlign w:val="center"/>
          </w:tcPr>
          <w:p w14:paraId="27B48D8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623C386C">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50621C68">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5D43B039">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421A84B3">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792F9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23.03</w:t>
            </w:r>
          </w:p>
        </w:tc>
        <w:tc>
          <w:tcPr>
            <w:tcW w:w="874" w:type="dxa"/>
            <w:tcBorders>
              <w:tl2br w:val="nil"/>
              <w:tr2bl w:val="nil"/>
            </w:tcBorders>
            <w:shd w:val="clear" w:color="auto" w:fill="auto"/>
            <w:noWrap/>
            <w:vAlign w:val="center"/>
          </w:tcPr>
          <w:p w14:paraId="2940725D">
            <w:pPr>
              <w:keepNext w:val="0"/>
              <w:keepLines w:val="0"/>
              <w:pageBreakBefore w:val="0"/>
              <w:widowControl/>
              <w:kinsoku/>
              <w:wordWrap/>
              <w:overflowPunct/>
              <w:topLinePunct w:val="0"/>
              <w:autoSpaceDE/>
              <w:autoSpaceDN/>
              <w:bidi w:val="0"/>
              <w:adjustRightInd/>
              <w:snapToGrid/>
              <w:spacing w:line="240" w:lineRule="auto"/>
              <w:ind w:firstLine="0" w:firstLineChars="0"/>
              <w:rPr>
                <w:rFonts w:hint="default" w:ascii="Times New Roman" w:hAnsi="Times New Roman" w:eastAsia="仿宋_GB2312" w:cs="Times New Roman"/>
                <w:i w:val="0"/>
                <w:iCs w:val="0"/>
                <w:color w:val="000000"/>
                <w:sz w:val="21"/>
                <w:szCs w:val="21"/>
                <w:u w:val="none"/>
              </w:rPr>
            </w:pPr>
          </w:p>
        </w:tc>
      </w:tr>
      <w:tr w14:paraId="00DDC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408" w:type="dxa"/>
            <w:gridSpan w:val="2"/>
            <w:tcBorders>
              <w:tl2br w:val="nil"/>
              <w:tr2bl w:val="nil"/>
            </w:tcBorders>
            <w:shd w:val="clear" w:color="auto" w:fill="auto"/>
            <w:noWrap/>
            <w:vAlign w:val="center"/>
          </w:tcPr>
          <w:p w14:paraId="72455C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096" w:type="dxa"/>
            <w:tcBorders>
              <w:tl2br w:val="nil"/>
              <w:tr2bl w:val="nil"/>
            </w:tcBorders>
            <w:shd w:val="clear" w:color="auto" w:fill="auto"/>
            <w:noWrap/>
            <w:vAlign w:val="center"/>
          </w:tcPr>
          <w:p w14:paraId="5C9B2E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840" w:type="dxa"/>
            <w:tcBorders>
              <w:tl2br w:val="nil"/>
              <w:tr2bl w:val="nil"/>
            </w:tcBorders>
            <w:shd w:val="clear" w:color="auto" w:fill="auto"/>
            <w:noWrap/>
            <w:vAlign w:val="center"/>
          </w:tcPr>
          <w:p w14:paraId="2304E5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13" w:type="dxa"/>
            <w:tcBorders>
              <w:tl2br w:val="nil"/>
              <w:tr2bl w:val="nil"/>
            </w:tcBorders>
            <w:shd w:val="clear" w:color="auto" w:fill="auto"/>
            <w:noWrap/>
            <w:vAlign w:val="center"/>
          </w:tcPr>
          <w:p w14:paraId="431A71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984" w:type="dxa"/>
            <w:tcBorders>
              <w:tl2br w:val="nil"/>
              <w:tr2bl w:val="nil"/>
            </w:tcBorders>
            <w:shd w:val="clear" w:color="auto" w:fill="auto"/>
            <w:noWrap/>
            <w:vAlign w:val="center"/>
          </w:tcPr>
          <w:p w14:paraId="6C59F3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43" w:type="dxa"/>
            <w:tcBorders>
              <w:tl2br w:val="nil"/>
              <w:tr2bl w:val="nil"/>
            </w:tcBorders>
            <w:shd w:val="clear" w:color="auto" w:fill="auto"/>
            <w:noWrap/>
            <w:vAlign w:val="center"/>
          </w:tcPr>
          <w:p w14:paraId="536700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08" w:type="dxa"/>
            <w:tcBorders>
              <w:tl2br w:val="nil"/>
              <w:tr2bl w:val="nil"/>
            </w:tcBorders>
            <w:shd w:val="clear" w:color="auto" w:fill="auto"/>
            <w:noWrap/>
            <w:vAlign w:val="center"/>
          </w:tcPr>
          <w:p w14:paraId="3309D5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eastAsia" w:ascii="Times New Roman" w:hAnsi="Times New Roman" w:cs="Times New Roman"/>
                <w:i w:val="0"/>
                <w:iCs w:val="0"/>
                <w:color w:val="000000"/>
                <w:kern w:val="0"/>
                <w:sz w:val="21"/>
                <w:szCs w:val="21"/>
                <w:u w:val="none"/>
                <w:lang w:val="en-US" w:eastAsia="zh-CN" w:bidi="ar"/>
              </w:rPr>
              <w:t>38.54</w:t>
            </w:r>
            <w:r>
              <w:rPr>
                <w:rFonts w:hint="default" w:ascii="Times New Roman" w:hAnsi="Times New Roman" w:eastAsia="仿宋_GB2312" w:cs="Times New Roman"/>
                <w:i w:val="0"/>
                <w:iCs w:val="0"/>
                <w:color w:val="000000"/>
                <w:kern w:val="0"/>
                <w:sz w:val="21"/>
                <w:szCs w:val="21"/>
                <w:u w:val="none"/>
                <w:lang w:val="en-US" w:eastAsia="zh-CN" w:bidi="ar"/>
              </w:rPr>
              <w:t xml:space="preserve"> </w:t>
            </w:r>
          </w:p>
        </w:tc>
        <w:tc>
          <w:tcPr>
            <w:tcW w:w="874" w:type="dxa"/>
            <w:tcBorders>
              <w:tl2br w:val="nil"/>
              <w:tr2bl w:val="nil"/>
            </w:tcBorders>
            <w:shd w:val="clear" w:color="auto" w:fill="auto"/>
            <w:noWrap/>
            <w:vAlign w:val="center"/>
          </w:tcPr>
          <w:p w14:paraId="27B161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bl>
    <w:p w14:paraId="5AC338E0">
      <w:pPr>
        <w:pStyle w:val="83"/>
        <w:jc w:val="left"/>
        <w:rPr>
          <w:rFonts w:hint="default" w:ascii="Times New Roman" w:hAnsi="Times New Roman" w:eastAsia="仿宋_GB2312" w:cs="Times New Roman"/>
          <w:b/>
          <w:bCs w:val="0"/>
          <w:highlight w:val="none"/>
        </w:rPr>
      </w:pPr>
      <w:r>
        <w:rPr>
          <w:rFonts w:hint="default" w:ascii="Times New Roman" w:hAnsi="Times New Roman" w:eastAsia="仿宋_GB2312" w:cs="Times New Roman"/>
          <w:b/>
          <w:bCs w:val="0"/>
          <w:highlight w:val="none"/>
        </w:rPr>
        <w:t>表7-11                             独立费用</w:t>
      </w:r>
      <w:r>
        <w:rPr>
          <w:rFonts w:hint="eastAsia" w:eastAsia="仿宋_GB2312" w:cs="Times New Roman"/>
          <w:b/>
          <w:bCs w:val="0"/>
          <w:highlight w:val="none"/>
          <w:lang w:eastAsia="zh-CN"/>
        </w:rPr>
        <w:t>概算</w:t>
      </w:r>
      <w:r>
        <w:rPr>
          <w:rFonts w:hint="default" w:ascii="Times New Roman" w:hAnsi="Times New Roman" w:eastAsia="仿宋_GB2312" w:cs="Times New Roman"/>
          <w:b/>
          <w:bCs w:val="0"/>
          <w:highlight w:val="none"/>
        </w:rPr>
        <w:t>表</w:t>
      </w:r>
    </w:p>
    <w:tbl>
      <w:tblPr>
        <w:tblStyle w:val="27"/>
        <w:tblW w:w="93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23"/>
        <w:gridCol w:w="1468"/>
        <w:gridCol w:w="3715"/>
        <w:gridCol w:w="680"/>
        <w:gridCol w:w="1447"/>
        <w:gridCol w:w="1447"/>
      </w:tblGrid>
      <w:tr w14:paraId="4E06D6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23" w:type="dxa"/>
            <w:tcBorders>
              <w:tl2br w:val="nil"/>
              <w:tr2bl w:val="nil"/>
            </w:tcBorders>
            <w:shd w:val="clear" w:color="auto" w:fill="auto"/>
            <w:noWrap/>
            <w:vAlign w:val="center"/>
          </w:tcPr>
          <w:p w14:paraId="14022B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序号</w:t>
            </w:r>
          </w:p>
        </w:tc>
        <w:tc>
          <w:tcPr>
            <w:tcW w:w="1468" w:type="dxa"/>
            <w:tcBorders>
              <w:tl2br w:val="nil"/>
              <w:tr2bl w:val="nil"/>
            </w:tcBorders>
            <w:shd w:val="clear" w:color="auto" w:fill="auto"/>
            <w:noWrap/>
            <w:vAlign w:val="center"/>
          </w:tcPr>
          <w:p w14:paraId="4BB40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费用名称</w:t>
            </w:r>
          </w:p>
        </w:tc>
        <w:tc>
          <w:tcPr>
            <w:tcW w:w="3715" w:type="dxa"/>
            <w:tcBorders>
              <w:tl2br w:val="nil"/>
              <w:tr2bl w:val="nil"/>
            </w:tcBorders>
            <w:shd w:val="clear" w:color="auto" w:fill="auto"/>
            <w:noWrap/>
            <w:vAlign w:val="center"/>
          </w:tcPr>
          <w:p w14:paraId="5A3598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编制依据及计算公式</w:t>
            </w:r>
          </w:p>
        </w:tc>
        <w:tc>
          <w:tcPr>
            <w:tcW w:w="680" w:type="dxa"/>
            <w:tcBorders>
              <w:tl2br w:val="nil"/>
              <w:tr2bl w:val="nil"/>
            </w:tcBorders>
            <w:shd w:val="clear" w:color="auto" w:fill="auto"/>
            <w:noWrap/>
            <w:vAlign w:val="center"/>
          </w:tcPr>
          <w:p w14:paraId="1B5A2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数量</w:t>
            </w:r>
          </w:p>
        </w:tc>
        <w:tc>
          <w:tcPr>
            <w:tcW w:w="1447" w:type="dxa"/>
            <w:tcBorders>
              <w:tl2br w:val="nil"/>
              <w:tr2bl w:val="nil"/>
            </w:tcBorders>
            <w:shd w:val="clear" w:color="auto" w:fill="auto"/>
            <w:noWrap/>
            <w:vAlign w:val="center"/>
          </w:tcPr>
          <w:p w14:paraId="25969D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单价（万元）</w:t>
            </w:r>
          </w:p>
        </w:tc>
        <w:tc>
          <w:tcPr>
            <w:tcW w:w="1447" w:type="dxa"/>
            <w:tcBorders>
              <w:tl2br w:val="nil"/>
              <w:tr2bl w:val="nil"/>
            </w:tcBorders>
            <w:shd w:val="clear" w:color="auto" w:fill="auto"/>
            <w:noWrap/>
            <w:vAlign w:val="center"/>
          </w:tcPr>
          <w:p w14:paraId="0F3F67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合计（万元）</w:t>
            </w:r>
          </w:p>
        </w:tc>
      </w:tr>
      <w:tr w14:paraId="3D0378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23" w:type="dxa"/>
            <w:tcBorders>
              <w:tl2br w:val="nil"/>
              <w:tr2bl w:val="nil"/>
            </w:tcBorders>
            <w:shd w:val="clear" w:color="auto" w:fill="auto"/>
            <w:noWrap/>
            <w:vAlign w:val="center"/>
          </w:tcPr>
          <w:p w14:paraId="6A503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1468" w:type="dxa"/>
            <w:tcBorders>
              <w:tl2br w:val="nil"/>
              <w:tr2bl w:val="nil"/>
            </w:tcBorders>
            <w:shd w:val="clear" w:color="auto" w:fill="auto"/>
            <w:noWrap/>
            <w:vAlign w:val="center"/>
          </w:tcPr>
          <w:p w14:paraId="3913C6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建设管理费</w:t>
            </w:r>
          </w:p>
        </w:tc>
        <w:tc>
          <w:tcPr>
            <w:tcW w:w="3715" w:type="dxa"/>
            <w:tcBorders>
              <w:tl2br w:val="nil"/>
              <w:tr2bl w:val="nil"/>
            </w:tcBorders>
            <w:shd w:val="clear" w:color="auto" w:fill="auto"/>
            <w:noWrap/>
            <w:vAlign w:val="center"/>
          </w:tcPr>
          <w:p w14:paraId="57414D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第一部分至第三部分之和的2%</w:t>
            </w:r>
          </w:p>
        </w:tc>
        <w:tc>
          <w:tcPr>
            <w:tcW w:w="680" w:type="dxa"/>
            <w:tcBorders>
              <w:tl2br w:val="nil"/>
              <w:tr2bl w:val="nil"/>
            </w:tcBorders>
            <w:shd w:val="clear" w:color="auto" w:fill="auto"/>
            <w:noWrap/>
            <w:vAlign w:val="center"/>
          </w:tcPr>
          <w:p w14:paraId="354B8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w:t>
            </w:r>
          </w:p>
        </w:tc>
        <w:tc>
          <w:tcPr>
            <w:tcW w:w="1447" w:type="dxa"/>
            <w:tcBorders>
              <w:tl2br w:val="nil"/>
              <w:tr2bl w:val="nil"/>
            </w:tcBorders>
            <w:shd w:val="clear" w:color="auto" w:fill="auto"/>
            <w:noWrap/>
            <w:vAlign w:val="center"/>
          </w:tcPr>
          <w:p w14:paraId="7E2AFA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9.39 </w:t>
            </w:r>
          </w:p>
        </w:tc>
        <w:tc>
          <w:tcPr>
            <w:tcW w:w="1447" w:type="dxa"/>
            <w:tcBorders>
              <w:tl2br w:val="nil"/>
              <w:tr2bl w:val="nil"/>
            </w:tcBorders>
            <w:shd w:val="clear" w:color="auto" w:fill="auto"/>
            <w:noWrap/>
            <w:vAlign w:val="center"/>
          </w:tcPr>
          <w:p w14:paraId="0BA14F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r>
      <w:tr w14:paraId="6D614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23" w:type="dxa"/>
            <w:tcBorders>
              <w:tl2br w:val="nil"/>
              <w:tr2bl w:val="nil"/>
            </w:tcBorders>
            <w:shd w:val="clear" w:color="auto" w:fill="auto"/>
            <w:noWrap/>
            <w:vAlign w:val="center"/>
          </w:tcPr>
          <w:p w14:paraId="3ED8AA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1468" w:type="dxa"/>
            <w:tcBorders>
              <w:tl2br w:val="nil"/>
              <w:tr2bl w:val="nil"/>
            </w:tcBorders>
            <w:shd w:val="clear" w:color="auto" w:fill="auto"/>
            <w:vAlign w:val="center"/>
          </w:tcPr>
          <w:p w14:paraId="2169D3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水土保持工程建设监理费</w:t>
            </w:r>
          </w:p>
        </w:tc>
        <w:tc>
          <w:tcPr>
            <w:tcW w:w="3715" w:type="dxa"/>
            <w:tcBorders>
              <w:tl2br w:val="nil"/>
              <w:tr2bl w:val="nil"/>
            </w:tcBorders>
            <w:shd w:val="clear" w:color="auto" w:fill="auto"/>
            <w:vAlign w:val="center"/>
          </w:tcPr>
          <w:p w14:paraId="77345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参照（发改价格〔2007〕670号文）并结合工程实际需要</w:t>
            </w:r>
          </w:p>
        </w:tc>
        <w:tc>
          <w:tcPr>
            <w:tcW w:w="680" w:type="dxa"/>
            <w:tcBorders>
              <w:tl2br w:val="nil"/>
              <w:tr2bl w:val="nil"/>
            </w:tcBorders>
            <w:shd w:val="clear" w:color="auto" w:fill="auto"/>
            <w:noWrap/>
            <w:vAlign w:val="center"/>
          </w:tcPr>
          <w:p w14:paraId="345465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w:t>
            </w:r>
          </w:p>
        </w:tc>
        <w:tc>
          <w:tcPr>
            <w:tcW w:w="1447" w:type="dxa"/>
            <w:tcBorders>
              <w:tl2br w:val="nil"/>
              <w:tr2bl w:val="nil"/>
            </w:tcBorders>
            <w:shd w:val="clear" w:color="auto" w:fill="auto"/>
            <w:noWrap/>
            <w:vAlign w:val="center"/>
          </w:tcPr>
          <w:p w14:paraId="25137D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 </w:t>
            </w:r>
          </w:p>
        </w:tc>
        <w:tc>
          <w:tcPr>
            <w:tcW w:w="1447" w:type="dxa"/>
            <w:tcBorders>
              <w:tl2br w:val="nil"/>
              <w:tr2bl w:val="nil"/>
            </w:tcBorders>
            <w:shd w:val="clear" w:color="auto" w:fill="auto"/>
            <w:noWrap/>
            <w:vAlign w:val="center"/>
          </w:tcPr>
          <w:p w14:paraId="469A2C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r>
      <w:tr w14:paraId="474A8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23" w:type="dxa"/>
            <w:tcBorders>
              <w:tl2br w:val="nil"/>
              <w:tr2bl w:val="nil"/>
            </w:tcBorders>
            <w:shd w:val="clear" w:color="auto" w:fill="auto"/>
            <w:noWrap/>
            <w:vAlign w:val="center"/>
          </w:tcPr>
          <w:p w14:paraId="48D34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1468" w:type="dxa"/>
            <w:tcBorders>
              <w:tl2br w:val="nil"/>
              <w:tr2bl w:val="nil"/>
            </w:tcBorders>
            <w:shd w:val="clear" w:color="auto" w:fill="auto"/>
            <w:vAlign w:val="center"/>
          </w:tcPr>
          <w:p w14:paraId="3FC1B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水土保持监测费</w:t>
            </w:r>
          </w:p>
        </w:tc>
        <w:tc>
          <w:tcPr>
            <w:tcW w:w="3715" w:type="dxa"/>
            <w:tcBorders>
              <w:tl2br w:val="nil"/>
              <w:tr2bl w:val="nil"/>
            </w:tcBorders>
            <w:shd w:val="clear" w:color="auto" w:fill="auto"/>
            <w:vAlign w:val="center"/>
          </w:tcPr>
          <w:p w14:paraId="4BE240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按“云水保监字[2010]7号文”，参照同类工程</w:t>
            </w:r>
          </w:p>
        </w:tc>
        <w:tc>
          <w:tcPr>
            <w:tcW w:w="680" w:type="dxa"/>
            <w:tcBorders>
              <w:tl2br w:val="nil"/>
              <w:tr2bl w:val="nil"/>
            </w:tcBorders>
            <w:shd w:val="clear" w:color="auto" w:fill="auto"/>
            <w:noWrap/>
            <w:vAlign w:val="center"/>
          </w:tcPr>
          <w:p w14:paraId="70200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w:t>
            </w:r>
          </w:p>
        </w:tc>
        <w:tc>
          <w:tcPr>
            <w:tcW w:w="1447" w:type="dxa"/>
            <w:tcBorders>
              <w:tl2br w:val="nil"/>
              <w:tr2bl w:val="nil"/>
            </w:tcBorders>
            <w:shd w:val="clear" w:color="auto" w:fill="auto"/>
            <w:noWrap/>
            <w:vAlign w:val="center"/>
          </w:tcPr>
          <w:p w14:paraId="1247E6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c>
          <w:tcPr>
            <w:tcW w:w="1447" w:type="dxa"/>
            <w:tcBorders>
              <w:tl2br w:val="nil"/>
              <w:tr2bl w:val="nil"/>
            </w:tcBorders>
            <w:shd w:val="clear" w:color="auto" w:fill="auto"/>
            <w:noWrap/>
            <w:vAlign w:val="center"/>
          </w:tcPr>
          <w:p w14:paraId="0FA991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r>
      <w:tr w14:paraId="155589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23" w:type="dxa"/>
            <w:tcBorders>
              <w:tl2br w:val="nil"/>
              <w:tr2bl w:val="nil"/>
            </w:tcBorders>
            <w:shd w:val="clear" w:color="auto" w:fill="auto"/>
            <w:noWrap/>
            <w:vAlign w:val="center"/>
          </w:tcPr>
          <w:p w14:paraId="6BC156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四</w:t>
            </w:r>
          </w:p>
        </w:tc>
        <w:tc>
          <w:tcPr>
            <w:tcW w:w="1468" w:type="dxa"/>
            <w:tcBorders>
              <w:tl2br w:val="nil"/>
              <w:tr2bl w:val="nil"/>
            </w:tcBorders>
            <w:shd w:val="clear" w:color="auto" w:fill="auto"/>
            <w:vAlign w:val="center"/>
          </w:tcPr>
          <w:p w14:paraId="41D43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科研勘测设计费</w:t>
            </w:r>
          </w:p>
        </w:tc>
        <w:tc>
          <w:tcPr>
            <w:tcW w:w="3715" w:type="dxa"/>
            <w:tcBorders>
              <w:tl2br w:val="nil"/>
              <w:tr2bl w:val="nil"/>
            </w:tcBorders>
            <w:shd w:val="clear" w:color="auto" w:fill="auto"/>
            <w:noWrap/>
            <w:vAlign w:val="center"/>
          </w:tcPr>
          <w:p w14:paraId="54441B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按水土保持方案编制费实际合同计列</w:t>
            </w:r>
          </w:p>
        </w:tc>
        <w:tc>
          <w:tcPr>
            <w:tcW w:w="680" w:type="dxa"/>
            <w:tcBorders>
              <w:tl2br w:val="nil"/>
              <w:tr2bl w:val="nil"/>
            </w:tcBorders>
            <w:shd w:val="clear" w:color="auto" w:fill="FFFFFF"/>
            <w:noWrap/>
            <w:vAlign w:val="center"/>
          </w:tcPr>
          <w:p w14:paraId="1C9E1D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w:t>
            </w:r>
          </w:p>
        </w:tc>
        <w:tc>
          <w:tcPr>
            <w:tcW w:w="1447" w:type="dxa"/>
            <w:tcBorders>
              <w:tl2br w:val="nil"/>
              <w:tr2bl w:val="nil"/>
            </w:tcBorders>
            <w:shd w:val="clear" w:color="auto" w:fill="FFFFFF"/>
            <w:noWrap/>
            <w:vAlign w:val="center"/>
          </w:tcPr>
          <w:p w14:paraId="56A7E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 </w:t>
            </w:r>
          </w:p>
        </w:tc>
        <w:tc>
          <w:tcPr>
            <w:tcW w:w="1447" w:type="dxa"/>
            <w:tcBorders>
              <w:tl2br w:val="nil"/>
              <w:tr2bl w:val="nil"/>
            </w:tcBorders>
            <w:shd w:val="clear" w:color="auto" w:fill="auto"/>
            <w:noWrap/>
            <w:vAlign w:val="center"/>
          </w:tcPr>
          <w:p w14:paraId="6E7B00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r>
      <w:tr w14:paraId="4C360C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23" w:type="dxa"/>
            <w:tcBorders>
              <w:tl2br w:val="nil"/>
              <w:tr2bl w:val="nil"/>
            </w:tcBorders>
            <w:shd w:val="clear" w:color="auto" w:fill="auto"/>
            <w:noWrap/>
            <w:vAlign w:val="center"/>
          </w:tcPr>
          <w:p w14:paraId="35C5C2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五</w:t>
            </w:r>
          </w:p>
        </w:tc>
        <w:tc>
          <w:tcPr>
            <w:tcW w:w="1468" w:type="dxa"/>
            <w:tcBorders>
              <w:tl2br w:val="nil"/>
              <w:tr2bl w:val="nil"/>
            </w:tcBorders>
            <w:shd w:val="clear" w:color="auto" w:fill="auto"/>
            <w:vAlign w:val="center"/>
          </w:tcPr>
          <w:p w14:paraId="481244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水土保持验收报告编制费</w:t>
            </w:r>
          </w:p>
        </w:tc>
        <w:tc>
          <w:tcPr>
            <w:tcW w:w="3715" w:type="dxa"/>
            <w:tcBorders>
              <w:tl2br w:val="nil"/>
              <w:tr2bl w:val="nil"/>
            </w:tcBorders>
            <w:shd w:val="clear" w:color="auto" w:fill="auto"/>
            <w:noWrap/>
            <w:vAlign w:val="center"/>
          </w:tcPr>
          <w:p w14:paraId="58F64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根据项目类型，参照现行行业市场标准</w:t>
            </w:r>
          </w:p>
        </w:tc>
        <w:tc>
          <w:tcPr>
            <w:tcW w:w="680" w:type="dxa"/>
            <w:tcBorders>
              <w:tl2br w:val="nil"/>
              <w:tr2bl w:val="nil"/>
            </w:tcBorders>
            <w:shd w:val="clear" w:color="auto" w:fill="FFFFFF"/>
            <w:noWrap/>
            <w:vAlign w:val="center"/>
          </w:tcPr>
          <w:p w14:paraId="41FBBE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w:t>
            </w:r>
          </w:p>
        </w:tc>
        <w:tc>
          <w:tcPr>
            <w:tcW w:w="1447" w:type="dxa"/>
            <w:tcBorders>
              <w:tl2br w:val="nil"/>
              <w:tr2bl w:val="nil"/>
            </w:tcBorders>
            <w:shd w:val="clear" w:color="auto" w:fill="FFFFFF"/>
            <w:noWrap/>
            <w:vAlign w:val="center"/>
          </w:tcPr>
          <w:p w14:paraId="64CBDD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 </w:t>
            </w:r>
          </w:p>
        </w:tc>
        <w:tc>
          <w:tcPr>
            <w:tcW w:w="1447" w:type="dxa"/>
            <w:tcBorders>
              <w:tl2br w:val="nil"/>
              <w:tr2bl w:val="nil"/>
            </w:tcBorders>
            <w:shd w:val="clear" w:color="auto" w:fill="auto"/>
            <w:noWrap/>
            <w:vAlign w:val="center"/>
          </w:tcPr>
          <w:p w14:paraId="6CCC90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r>
      <w:tr w14:paraId="0AECEC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2091" w:type="dxa"/>
            <w:gridSpan w:val="2"/>
            <w:tcBorders>
              <w:tl2br w:val="nil"/>
              <w:tr2bl w:val="nil"/>
            </w:tcBorders>
            <w:shd w:val="clear" w:color="auto" w:fill="auto"/>
            <w:noWrap/>
            <w:vAlign w:val="center"/>
          </w:tcPr>
          <w:p w14:paraId="10275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合计</w:t>
            </w:r>
          </w:p>
        </w:tc>
        <w:tc>
          <w:tcPr>
            <w:tcW w:w="3715" w:type="dxa"/>
            <w:tcBorders>
              <w:tl2br w:val="nil"/>
              <w:tr2bl w:val="nil"/>
            </w:tcBorders>
            <w:shd w:val="clear" w:color="auto" w:fill="auto"/>
            <w:noWrap/>
            <w:vAlign w:val="center"/>
          </w:tcPr>
          <w:p w14:paraId="1D0FAC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680" w:type="dxa"/>
            <w:tcBorders>
              <w:tl2br w:val="nil"/>
              <w:tr2bl w:val="nil"/>
            </w:tcBorders>
            <w:shd w:val="clear" w:color="auto" w:fill="auto"/>
            <w:noWrap/>
            <w:vAlign w:val="center"/>
          </w:tcPr>
          <w:p w14:paraId="1E4CFB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47" w:type="dxa"/>
            <w:tcBorders>
              <w:tl2br w:val="nil"/>
              <w:tr2bl w:val="nil"/>
            </w:tcBorders>
            <w:shd w:val="clear" w:color="auto" w:fill="auto"/>
            <w:noWrap/>
            <w:vAlign w:val="center"/>
          </w:tcPr>
          <w:p w14:paraId="3B3778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447" w:type="dxa"/>
            <w:tcBorders>
              <w:tl2br w:val="nil"/>
              <w:tr2bl w:val="nil"/>
            </w:tcBorders>
            <w:shd w:val="clear" w:color="auto" w:fill="auto"/>
            <w:noWrap/>
            <w:vAlign w:val="center"/>
          </w:tcPr>
          <w:p w14:paraId="203D94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12.19 </w:t>
            </w:r>
          </w:p>
        </w:tc>
      </w:tr>
    </w:tbl>
    <w:p w14:paraId="1010F7F1">
      <w:pPr>
        <w:pStyle w:val="4"/>
        <w:rPr>
          <w:rFonts w:hint="default" w:ascii="Times New Roman" w:hAnsi="Times New Roman" w:cs="Times New Roman"/>
        </w:rPr>
      </w:pPr>
      <w:r>
        <w:rPr>
          <w:rFonts w:hint="default" w:ascii="Times New Roman" w:hAnsi="Times New Roman" w:cs="Times New Roman"/>
        </w:rPr>
        <w:t>分年度投资安排</w:t>
      </w:r>
    </w:p>
    <w:p w14:paraId="0328E741">
      <w:pPr>
        <w:pStyle w:val="93"/>
        <w:rPr>
          <w:rFonts w:hint="default" w:ascii="Times New Roman" w:hAnsi="Times New Roman" w:cs="Times New Roman"/>
        </w:rPr>
      </w:pPr>
      <w:r>
        <w:rPr>
          <w:rFonts w:hint="default" w:ascii="Times New Roman" w:hAnsi="Times New Roman" w:cs="Times New Roman"/>
        </w:rPr>
        <w:t>依据本工程施工总进度计划和水土保持方案进度计划，本工程分年度投资安排如下表。</w:t>
      </w:r>
    </w:p>
    <w:p w14:paraId="1B24A6C0">
      <w:pPr>
        <w:pStyle w:val="83"/>
        <w:jc w:val="left"/>
        <w:rPr>
          <w:rFonts w:hint="default" w:ascii="Times New Roman" w:hAnsi="Times New Roman" w:eastAsia="仿宋_GB2312" w:cs="Times New Roman"/>
          <w:b/>
          <w:bCs w:val="0"/>
        </w:rPr>
      </w:pPr>
      <w:r>
        <w:rPr>
          <w:rFonts w:hint="default" w:ascii="Times New Roman" w:hAnsi="Times New Roman" w:eastAsia="仿宋_GB2312" w:cs="Times New Roman"/>
          <w:b/>
          <w:bCs w:val="0"/>
        </w:rPr>
        <w:t>表7-13                          分年度投资</w:t>
      </w:r>
      <w:r>
        <w:rPr>
          <w:rFonts w:hint="eastAsia" w:eastAsia="仿宋_GB2312" w:cs="Times New Roman"/>
          <w:b/>
          <w:bCs w:val="0"/>
          <w:lang w:eastAsia="zh-CN"/>
        </w:rPr>
        <w:t>概算</w:t>
      </w:r>
      <w:r>
        <w:rPr>
          <w:rFonts w:hint="default" w:ascii="Times New Roman" w:hAnsi="Times New Roman" w:eastAsia="仿宋_GB2312" w:cs="Times New Roman"/>
          <w:b/>
          <w:bCs w:val="0"/>
        </w:rPr>
        <w:t>表                   单位：万元</w:t>
      </w:r>
    </w:p>
    <w:tbl>
      <w:tblPr>
        <w:tblStyle w:val="27"/>
        <w:tblW w:w="9566"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1354"/>
        <w:gridCol w:w="2142"/>
        <w:gridCol w:w="2410"/>
        <w:gridCol w:w="2414"/>
        <w:gridCol w:w="1246"/>
      </w:tblGrid>
      <w:tr w14:paraId="1585860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tblHeader/>
          <w:jc w:val="center"/>
        </w:trPr>
        <w:tc>
          <w:tcPr>
            <w:tcW w:w="1354" w:type="dxa"/>
            <w:vMerge w:val="restart"/>
            <w:tcBorders>
              <w:tl2br w:val="nil"/>
              <w:tr2bl w:val="nil"/>
            </w:tcBorders>
            <w:shd w:val="clear" w:color="auto" w:fill="auto"/>
            <w:vAlign w:val="center"/>
          </w:tcPr>
          <w:p w14:paraId="5310F7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编号</w:t>
            </w:r>
          </w:p>
        </w:tc>
        <w:tc>
          <w:tcPr>
            <w:tcW w:w="2142" w:type="dxa"/>
            <w:vMerge w:val="restart"/>
            <w:tcBorders>
              <w:tl2br w:val="nil"/>
              <w:tr2bl w:val="nil"/>
            </w:tcBorders>
            <w:shd w:val="clear" w:color="auto" w:fill="auto"/>
            <w:vAlign w:val="center"/>
          </w:tcPr>
          <w:p w14:paraId="0D72AA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工程和费用名称</w:t>
            </w:r>
          </w:p>
        </w:tc>
        <w:tc>
          <w:tcPr>
            <w:tcW w:w="4824" w:type="dxa"/>
            <w:gridSpan w:val="2"/>
            <w:tcBorders>
              <w:tl2br w:val="nil"/>
              <w:tr2bl w:val="nil"/>
            </w:tcBorders>
            <w:shd w:val="clear" w:color="auto" w:fill="auto"/>
            <w:vAlign w:val="center"/>
          </w:tcPr>
          <w:p w14:paraId="0BEC06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水土保持年度投资（万元）</w:t>
            </w:r>
          </w:p>
        </w:tc>
        <w:tc>
          <w:tcPr>
            <w:tcW w:w="1246" w:type="dxa"/>
            <w:vMerge w:val="restart"/>
            <w:tcBorders>
              <w:tl2br w:val="nil"/>
              <w:tr2bl w:val="nil"/>
            </w:tcBorders>
            <w:shd w:val="clear" w:color="auto" w:fill="auto"/>
            <w:noWrap/>
            <w:vAlign w:val="center"/>
          </w:tcPr>
          <w:p w14:paraId="6B075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合计</w:t>
            </w:r>
          </w:p>
        </w:tc>
      </w:tr>
      <w:tr w14:paraId="7D9F349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blHeader/>
          <w:jc w:val="center"/>
        </w:trPr>
        <w:tc>
          <w:tcPr>
            <w:tcW w:w="1354" w:type="dxa"/>
            <w:vMerge w:val="continue"/>
            <w:tcBorders>
              <w:tl2br w:val="nil"/>
              <w:tr2bl w:val="nil"/>
            </w:tcBorders>
            <w:shd w:val="clear" w:color="auto" w:fill="auto"/>
            <w:vAlign w:val="center"/>
          </w:tcPr>
          <w:p w14:paraId="3D804C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142" w:type="dxa"/>
            <w:vMerge w:val="continue"/>
            <w:tcBorders>
              <w:tl2br w:val="nil"/>
              <w:tr2bl w:val="nil"/>
            </w:tcBorders>
            <w:shd w:val="clear" w:color="auto" w:fill="auto"/>
            <w:vAlign w:val="center"/>
          </w:tcPr>
          <w:p w14:paraId="1DE760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0" w:type="dxa"/>
            <w:tcBorders>
              <w:tl2br w:val="nil"/>
              <w:tr2bl w:val="nil"/>
            </w:tcBorders>
            <w:shd w:val="clear" w:color="auto" w:fill="auto"/>
            <w:vAlign w:val="center"/>
          </w:tcPr>
          <w:p w14:paraId="0205CF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2024年</w:t>
            </w:r>
          </w:p>
        </w:tc>
        <w:tc>
          <w:tcPr>
            <w:tcW w:w="2414" w:type="dxa"/>
            <w:tcBorders>
              <w:tl2br w:val="nil"/>
              <w:tr2bl w:val="nil"/>
            </w:tcBorders>
            <w:shd w:val="clear" w:color="auto" w:fill="auto"/>
            <w:vAlign w:val="center"/>
          </w:tcPr>
          <w:p w14:paraId="030A4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2025年</w:t>
            </w:r>
          </w:p>
        </w:tc>
        <w:tc>
          <w:tcPr>
            <w:tcW w:w="1246" w:type="dxa"/>
            <w:vMerge w:val="continue"/>
            <w:tcBorders>
              <w:tl2br w:val="nil"/>
              <w:tr2bl w:val="nil"/>
            </w:tcBorders>
            <w:shd w:val="clear" w:color="auto" w:fill="auto"/>
            <w:noWrap/>
            <w:vAlign w:val="center"/>
          </w:tcPr>
          <w:p w14:paraId="596BAB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6BCBAC2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2AF21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第一部分 工程措施</w:t>
            </w:r>
          </w:p>
        </w:tc>
        <w:tc>
          <w:tcPr>
            <w:tcW w:w="2410" w:type="dxa"/>
            <w:tcBorders>
              <w:tl2br w:val="nil"/>
              <w:tr2bl w:val="nil"/>
            </w:tcBorders>
            <w:shd w:val="clear" w:color="auto" w:fill="auto"/>
            <w:noWrap/>
            <w:vAlign w:val="center"/>
          </w:tcPr>
          <w:p w14:paraId="672224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6.09</w:t>
            </w:r>
          </w:p>
        </w:tc>
        <w:tc>
          <w:tcPr>
            <w:tcW w:w="2414" w:type="dxa"/>
            <w:tcBorders>
              <w:tl2br w:val="nil"/>
              <w:tr2bl w:val="nil"/>
            </w:tcBorders>
            <w:shd w:val="clear" w:color="auto" w:fill="auto"/>
            <w:noWrap/>
            <w:vAlign w:val="center"/>
          </w:tcPr>
          <w:p w14:paraId="7BCF97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4.85</w:t>
            </w:r>
          </w:p>
        </w:tc>
        <w:tc>
          <w:tcPr>
            <w:tcW w:w="1246" w:type="dxa"/>
            <w:tcBorders>
              <w:tl2br w:val="nil"/>
              <w:tr2bl w:val="nil"/>
            </w:tcBorders>
            <w:shd w:val="clear" w:color="auto" w:fill="auto"/>
            <w:noWrap/>
            <w:vAlign w:val="center"/>
          </w:tcPr>
          <w:p w14:paraId="030E9D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10.94 </w:t>
            </w:r>
          </w:p>
        </w:tc>
      </w:tr>
      <w:tr w14:paraId="338869A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43D5C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noWrap/>
            <w:vAlign w:val="center"/>
          </w:tcPr>
          <w:p w14:paraId="5F9518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2410" w:type="dxa"/>
            <w:tcBorders>
              <w:tl2br w:val="nil"/>
              <w:tr2bl w:val="nil"/>
            </w:tcBorders>
            <w:shd w:val="clear" w:color="auto" w:fill="auto"/>
            <w:noWrap/>
            <w:vAlign w:val="center"/>
          </w:tcPr>
          <w:p w14:paraId="0CD837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2.53</w:t>
            </w:r>
          </w:p>
        </w:tc>
        <w:tc>
          <w:tcPr>
            <w:tcW w:w="2414" w:type="dxa"/>
            <w:tcBorders>
              <w:tl2br w:val="nil"/>
              <w:tr2bl w:val="nil"/>
            </w:tcBorders>
            <w:shd w:val="clear" w:color="auto" w:fill="auto"/>
            <w:noWrap/>
            <w:vAlign w:val="center"/>
          </w:tcPr>
          <w:p w14:paraId="24EAF5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2.18</w:t>
            </w:r>
          </w:p>
        </w:tc>
        <w:tc>
          <w:tcPr>
            <w:tcW w:w="1246" w:type="dxa"/>
            <w:tcBorders>
              <w:tl2br w:val="nil"/>
              <w:tr2bl w:val="nil"/>
            </w:tcBorders>
            <w:shd w:val="clear" w:color="auto" w:fill="auto"/>
            <w:noWrap/>
            <w:vAlign w:val="center"/>
          </w:tcPr>
          <w:p w14:paraId="49A3A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4.71 </w:t>
            </w:r>
          </w:p>
        </w:tc>
      </w:tr>
      <w:tr w14:paraId="7099A07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7D31CF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vAlign w:val="center"/>
          </w:tcPr>
          <w:p w14:paraId="3B1887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2410" w:type="dxa"/>
            <w:tcBorders>
              <w:tl2br w:val="nil"/>
              <w:tr2bl w:val="nil"/>
            </w:tcBorders>
            <w:shd w:val="clear" w:color="auto" w:fill="auto"/>
            <w:noWrap/>
            <w:vAlign w:val="center"/>
          </w:tcPr>
          <w:p w14:paraId="50BC9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0.07</w:t>
            </w:r>
          </w:p>
        </w:tc>
        <w:tc>
          <w:tcPr>
            <w:tcW w:w="2414" w:type="dxa"/>
            <w:tcBorders>
              <w:tl2br w:val="nil"/>
              <w:tr2bl w:val="nil"/>
            </w:tcBorders>
            <w:shd w:val="clear" w:color="auto" w:fill="auto"/>
            <w:noWrap/>
            <w:vAlign w:val="center"/>
          </w:tcPr>
          <w:p w14:paraId="0F1553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589963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0.07 </w:t>
            </w:r>
          </w:p>
        </w:tc>
      </w:tr>
      <w:tr w14:paraId="2473E4C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5BA39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vAlign w:val="center"/>
          </w:tcPr>
          <w:p w14:paraId="424E9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2410" w:type="dxa"/>
            <w:tcBorders>
              <w:tl2br w:val="nil"/>
              <w:tr2bl w:val="nil"/>
            </w:tcBorders>
            <w:shd w:val="clear" w:color="auto" w:fill="auto"/>
            <w:noWrap/>
            <w:vAlign w:val="center"/>
          </w:tcPr>
          <w:p w14:paraId="37EE71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2.37</w:t>
            </w:r>
          </w:p>
        </w:tc>
        <w:tc>
          <w:tcPr>
            <w:tcW w:w="2414" w:type="dxa"/>
            <w:tcBorders>
              <w:tl2br w:val="nil"/>
              <w:tr2bl w:val="nil"/>
            </w:tcBorders>
            <w:shd w:val="clear" w:color="auto" w:fill="auto"/>
            <w:noWrap/>
            <w:vAlign w:val="center"/>
          </w:tcPr>
          <w:p w14:paraId="2136C8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2.18 </w:t>
            </w:r>
          </w:p>
        </w:tc>
        <w:tc>
          <w:tcPr>
            <w:tcW w:w="1246" w:type="dxa"/>
            <w:tcBorders>
              <w:tl2br w:val="nil"/>
              <w:tr2bl w:val="nil"/>
            </w:tcBorders>
            <w:shd w:val="clear" w:color="auto" w:fill="auto"/>
            <w:noWrap/>
            <w:vAlign w:val="center"/>
          </w:tcPr>
          <w:p w14:paraId="039C1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4.55 </w:t>
            </w:r>
          </w:p>
        </w:tc>
      </w:tr>
      <w:tr w14:paraId="3D88F3C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00AA62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42" w:type="dxa"/>
            <w:tcBorders>
              <w:tl2br w:val="nil"/>
              <w:tr2bl w:val="nil"/>
            </w:tcBorders>
            <w:shd w:val="clear" w:color="auto" w:fill="auto"/>
            <w:vAlign w:val="center"/>
          </w:tcPr>
          <w:p w14:paraId="470BF4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2410" w:type="dxa"/>
            <w:tcBorders>
              <w:tl2br w:val="nil"/>
              <w:tr2bl w:val="nil"/>
            </w:tcBorders>
            <w:shd w:val="clear" w:color="auto" w:fill="auto"/>
            <w:noWrap/>
            <w:vAlign w:val="center"/>
          </w:tcPr>
          <w:p w14:paraId="37DAA3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0.09</w:t>
            </w:r>
          </w:p>
        </w:tc>
        <w:tc>
          <w:tcPr>
            <w:tcW w:w="2414" w:type="dxa"/>
            <w:tcBorders>
              <w:tl2br w:val="nil"/>
              <w:tr2bl w:val="nil"/>
            </w:tcBorders>
            <w:shd w:val="clear" w:color="auto" w:fill="auto"/>
            <w:noWrap/>
            <w:vAlign w:val="center"/>
          </w:tcPr>
          <w:p w14:paraId="6839EA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00721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0.09 </w:t>
            </w:r>
          </w:p>
        </w:tc>
      </w:tr>
      <w:tr w14:paraId="6AE84A6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3205F2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noWrap/>
            <w:vAlign w:val="center"/>
          </w:tcPr>
          <w:p w14:paraId="5B751C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2410" w:type="dxa"/>
            <w:tcBorders>
              <w:tl2br w:val="nil"/>
              <w:tr2bl w:val="nil"/>
            </w:tcBorders>
            <w:shd w:val="clear" w:color="auto" w:fill="auto"/>
            <w:noWrap/>
            <w:vAlign w:val="center"/>
          </w:tcPr>
          <w:p w14:paraId="0467F0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3.56</w:t>
            </w:r>
          </w:p>
        </w:tc>
        <w:tc>
          <w:tcPr>
            <w:tcW w:w="2414" w:type="dxa"/>
            <w:tcBorders>
              <w:tl2br w:val="nil"/>
              <w:tr2bl w:val="nil"/>
            </w:tcBorders>
            <w:shd w:val="clear" w:color="auto" w:fill="auto"/>
            <w:noWrap/>
            <w:vAlign w:val="center"/>
          </w:tcPr>
          <w:p w14:paraId="5AF88B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2.67</w:t>
            </w:r>
          </w:p>
        </w:tc>
        <w:tc>
          <w:tcPr>
            <w:tcW w:w="1246" w:type="dxa"/>
            <w:tcBorders>
              <w:tl2br w:val="nil"/>
              <w:tr2bl w:val="nil"/>
            </w:tcBorders>
            <w:shd w:val="clear" w:color="auto" w:fill="auto"/>
            <w:noWrap/>
            <w:vAlign w:val="center"/>
          </w:tcPr>
          <w:p w14:paraId="67F5E2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6.23 </w:t>
            </w:r>
          </w:p>
        </w:tc>
      </w:tr>
      <w:tr w14:paraId="43A82B7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71C447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vAlign w:val="center"/>
          </w:tcPr>
          <w:p w14:paraId="6BA873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2410" w:type="dxa"/>
            <w:tcBorders>
              <w:tl2br w:val="nil"/>
              <w:tr2bl w:val="nil"/>
            </w:tcBorders>
            <w:shd w:val="clear" w:color="auto" w:fill="auto"/>
            <w:noWrap/>
            <w:vAlign w:val="center"/>
          </w:tcPr>
          <w:p w14:paraId="739015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0.56</w:t>
            </w:r>
          </w:p>
        </w:tc>
        <w:tc>
          <w:tcPr>
            <w:tcW w:w="2414" w:type="dxa"/>
            <w:tcBorders>
              <w:tl2br w:val="nil"/>
              <w:tr2bl w:val="nil"/>
            </w:tcBorders>
            <w:shd w:val="clear" w:color="auto" w:fill="auto"/>
            <w:noWrap/>
            <w:vAlign w:val="center"/>
          </w:tcPr>
          <w:p w14:paraId="0DCBDC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4F3E11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0.56 </w:t>
            </w:r>
          </w:p>
        </w:tc>
      </w:tr>
      <w:tr w14:paraId="50537C1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1123C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vAlign w:val="center"/>
          </w:tcPr>
          <w:p w14:paraId="78FD68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2410" w:type="dxa"/>
            <w:tcBorders>
              <w:tl2br w:val="nil"/>
              <w:tr2bl w:val="nil"/>
            </w:tcBorders>
            <w:shd w:val="clear" w:color="auto" w:fill="auto"/>
            <w:noWrap/>
            <w:vAlign w:val="center"/>
          </w:tcPr>
          <w:p w14:paraId="6AA62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2.86</w:t>
            </w:r>
          </w:p>
        </w:tc>
        <w:tc>
          <w:tcPr>
            <w:tcW w:w="2414" w:type="dxa"/>
            <w:tcBorders>
              <w:tl2br w:val="nil"/>
              <w:tr2bl w:val="nil"/>
            </w:tcBorders>
            <w:shd w:val="clear" w:color="auto" w:fill="auto"/>
            <w:noWrap/>
            <w:vAlign w:val="center"/>
          </w:tcPr>
          <w:p w14:paraId="7FCFD8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2.67 </w:t>
            </w:r>
          </w:p>
        </w:tc>
        <w:tc>
          <w:tcPr>
            <w:tcW w:w="1246" w:type="dxa"/>
            <w:tcBorders>
              <w:tl2br w:val="nil"/>
              <w:tr2bl w:val="nil"/>
            </w:tcBorders>
            <w:shd w:val="clear" w:color="auto" w:fill="auto"/>
            <w:noWrap/>
            <w:vAlign w:val="center"/>
          </w:tcPr>
          <w:p w14:paraId="6F5147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5.53 </w:t>
            </w:r>
          </w:p>
        </w:tc>
      </w:tr>
      <w:tr w14:paraId="7871D07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2F029F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42" w:type="dxa"/>
            <w:tcBorders>
              <w:tl2br w:val="nil"/>
              <w:tr2bl w:val="nil"/>
            </w:tcBorders>
            <w:shd w:val="clear" w:color="auto" w:fill="auto"/>
            <w:vAlign w:val="center"/>
          </w:tcPr>
          <w:p w14:paraId="7A42D4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2410" w:type="dxa"/>
            <w:tcBorders>
              <w:tl2br w:val="nil"/>
              <w:tr2bl w:val="nil"/>
            </w:tcBorders>
            <w:shd w:val="clear" w:color="auto" w:fill="auto"/>
            <w:noWrap/>
            <w:vAlign w:val="center"/>
          </w:tcPr>
          <w:p w14:paraId="23137A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0.14</w:t>
            </w:r>
          </w:p>
        </w:tc>
        <w:tc>
          <w:tcPr>
            <w:tcW w:w="2414" w:type="dxa"/>
            <w:tcBorders>
              <w:tl2br w:val="nil"/>
              <w:tr2bl w:val="nil"/>
            </w:tcBorders>
            <w:shd w:val="clear" w:color="auto" w:fill="auto"/>
            <w:noWrap/>
            <w:vAlign w:val="center"/>
          </w:tcPr>
          <w:p w14:paraId="3A49A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236A28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0.14 </w:t>
            </w:r>
          </w:p>
        </w:tc>
      </w:tr>
      <w:tr w14:paraId="3EDF518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02E19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第二部分 植物措施</w:t>
            </w:r>
          </w:p>
        </w:tc>
        <w:tc>
          <w:tcPr>
            <w:tcW w:w="2410" w:type="dxa"/>
            <w:tcBorders>
              <w:tl2br w:val="nil"/>
              <w:tr2bl w:val="nil"/>
            </w:tcBorders>
            <w:shd w:val="clear" w:color="auto" w:fill="auto"/>
            <w:noWrap/>
            <w:vAlign w:val="center"/>
          </w:tcPr>
          <w:p w14:paraId="274D9F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04003C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27.60 </w:t>
            </w:r>
          </w:p>
        </w:tc>
        <w:tc>
          <w:tcPr>
            <w:tcW w:w="1246" w:type="dxa"/>
            <w:tcBorders>
              <w:tl2br w:val="nil"/>
              <w:tr2bl w:val="nil"/>
            </w:tcBorders>
            <w:shd w:val="clear" w:color="auto" w:fill="auto"/>
            <w:noWrap/>
            <w:vAlign w:val="center"/>
          </w:tcPr>
          <w:p w14:paraId="6F03CB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27.60 </w:t>
            </w:r>
          </w:p>
        </w:tc>
      </w:tr>
      <w:tr w14:paraId="3B7A861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5B66C2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noWrap/>
            <w:vAlign w:val="center"/>
          </w:tcPr>
          <w:p w14:paraId="67C87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2410" w:type="dxa"/>
            <w:tcBorders>
              <w:tl2br w:val="nil"/>
              <w:tr2bl w:val="nil"/>
            </w:tcBorders>
            <w:shd w:val="clear" w:color="auto" w:fill="auto"/>
            <w:noWrap/>
            <w:vAlign w:val="center"/>
          </w:tcPr>
          <w:p w14:paraId="0278A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2BE84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c>
          <w:tcPr>
            <w:tcW w:w="1246" w:type="dxa"/>
            <w:tcBorders>
              <w:tl2br w:val="nil"/>
              <w:tr2bl w:val="nil"/>
            </w:tcBorders>
            <w:shd w:val="clear" w:color="auto" w:fill="auto"/>
            <w:noWrap/>
            <w:vAlign w:val="center"/>
          </w:tcPr>
          <w:p w14:paraId="7F6D42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r>
      <w:tr w14:paraId="45E7ACC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240B1E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vAlign w:val="center"/>
          </w:tcPr>
          <w:p w14:paraId="529411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2410" w:type="dxa"/>
            <w:tcBorders>
              <w:tl2br w:val="nil"/>
              <w:tr2bl w:val="nil"/>
            </w:tcBorders>
            <w:shd w:val="clear" w:color="auto" w:fill="auto"/>
            <w:noWrap/>
            <w:vAlign w:val="center"/>
          </w:tcPr>
          <w:p w14:paraId="5AA11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7956A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c>
          <w:tcPr>
            <w:tcW w:w="1246" w:type="dxa"/>
            <w:tcBorders>
              <w:tl2br w:val="nil"/>
              <w:tr2bl w:val="nil"/>
            </w:tcBorders>
            <w:shd w:val="clear" w:color="auto" w:fill="auto"/>
            <w:noWrap/>
            <w:vAlign w:val="center"/>
          </w:tcPr>
          <w:p w14:paraId="0DE2C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10.80 </w:t>
            </w:r>
          </w:p>
        </w:tc>
      </w:tr>
      <w:tr w14:paraId="4F60F60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1A2324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noWrap/>
            <w:vAlign w:val="center"/>
          </w:tcPr>
          <w:p w14:paraId="76ADA6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2410" w:type="dxa"/>
            <w:tcBorders>
              <w:tl2br w:val="nil"/>
              <w:tr2bl w:val="nil"/>
            </w:tcBorders>
            <w:shd w:val="clear" w:color="auto" w:fill="auto"/>
            <w:noWrap/>
            <w:vAlign w:val="center"/>
          </w:tcPr>
          <w:p w14:paraId="1AE71F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7F983F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c>
          <w:tcPr>
            <w:tcW w:w="1246" w:type="dxa"/>
            <w:tcBorders>
              <w:tl2br w:val="nil"/>
              <w:tr2bl w:val="nil"/>
            </w:tcBorders>
            <w:shd w:val="clear" w:color="auto" w:fill="auto"/>
            <w:noWrap/>
            <w:vAlign w:val="center"/>
          </w:tcPr>
          <w:p w14:paraId="4EDDF6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r>
      <w:tr w14:paraId="6C670D9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2112E1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vAlign w:val="center"/>
          </w:tcPr>
          <w:p w14:paraId="066D6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2410" w:type="dxa"/>
            <w:tcBorders>
              <w:tl2br w:val="nil"/>
              <w:tr2bl w:val="nil"/>
            </w:tcBorders>
            <w:shd w:val="clear" w:color="auto" w:fill="auto"/>
            <w:noWrap/>
            <w:vAlign w:val="center"/>
          </w:tcPr>
          <w:p w14:paraId="49FD17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2B6DBB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c>
          <w:tcPr>
            <w:tcW w:w="1246" w:type="dxa"/>
            <w:tcBorders>
              <w:tl2br w:val="nil"/>
              <w:tr2bl w:val="nil"/>
            </w:tcBorders>
            <w:shd w:val="clear" w:color="auto" w:fill="auto"/>
            <w:noWrap/>
            <w:vAlign w:val="center"/>
          </w:tcPr>
          <w:p w14:paraId="14BB96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16.80 </w:t>
            </w:r>
          </w:p>
        </w:tc>
      </w:tr>
      <w:tr w14:paraId="18A734C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4C1EF3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第三部分 临时措施</w:t>
            </w:r>
          </w:p>
        </w:tc>
        <w:tc>
          <w:tcPr>
            <w:tcW w:w="2410" w:type="dxa"/>
            <w:tcBorders>
              <w:tl2br w:val="nil"/>
              <w:tr2bl w:val="nil"/>
            </w:tcBorders>
            <w:shd w:val="clear" w:color="auto" w:fill="auto"/>
            <w:noWrap/>
            <w:vAlign w:val="center"/>
          </w:tcPr>
          <w:p w14:paraId="542A8A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7.58</w:t>
            </w:r>
          </w:p>
        </w:tc>
        <w:tc>
          <w:tcPr>
            <w:tcW w:w="2414" w:type="dxa"/>
            <w:tcBorders>
              <w:tl2br w:val="nil"/>
              <w:tr2bl w:val="nil"/>
            </w:tcBorders>
            <w:shd w:val="clear" w:color="auto" w:fill="auto"/>
            <w:noWrap/>
            <w:vAlign w:val="center"/>
          </w:tcPr>
          <w:p w14:paraId="783DD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1.81</w:t>
            </w:r>
          </w:p>
        </w:tc>
        <w:tc>
          <w:tcPr>
            <w:tcW w:w="1246" w:type="dxa"/>
            <w:tcBorders>
              <w:tl2br w:val="nil"/>
              <w:tr2bl w:val="nil"/>
            </w:tcBorders>
            <w:shd w:val="clear" w:color="auto" w:fill="auto"/>
            <w:noWrap/>
            <w:vAlign w:val="center"/>
          </w:tcPr>
          <w:p w14:paraId="471BED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9.39 </w:t>
            </w:r>
          </w:p>
        </w:tc>
      </w:tr>
      <w:tr w14:paraId="1AAC229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6D3054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noWrap/>
            <w:vAlign w:val="center"/>
          </w:tcPr>
          <w:p w14:paraId="30F8D0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地块一</w:t>
            </w:r>
          </w:p>
        </w:tc>
        <w:tc>
          <w:tcPr>
            <w:tcW w:w="2410" w:type="dxa"/>
            <w:tcBorders>
              <w:tl2br w:val="nil"/>
              <w:tr2bl w:val="nil"/>
            </w:tcBorders>
            <w:shd w:val="clear" w:color="auto" w:fill="auto"/>
            <w:noWrap/>
            <w:vAlign w:val="center"/>
          </w:tcPr>
          <w:p w14:paraId="265E06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3.17</w:t>
            </w:r>
          </w:p>
        </w:tc>
        <w:tc>
          <w:tcPr>
            <w:tcW w:w="2414" w:type="dxa"/>
            <w:tcBorders>
              <w:tl2br w:val="nil"/>
              <w:tr2bl w:val="nil"/>
            </w:tcBorders>
            <w:shd w:val="clear" w:color="auto" w:fill="auto"/>
            <w:noWrap/>
            <w:vAlign w:val="center"/>
          </w:tcPr>
          <w:p w14:paraId="63672C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0.74</w:t>
            </w:r>
          </w:p>
        </w:tc>
        <w:tc>
          <w:tcPr>
            <w:tcW w:w="1246" w:type="dxa"/>
            <w:tcBorders>
              <w:tl2br w:val="nil"/>
              <w:tr2bl w:val="nil"/>
            </w:tcBorders>
            <w:shd w:val="clear" w:color="auto" w:fill="auto"/>
            <w:noWrap/>
            <w:vAlign w:val="center"/>
          </w:tcPr>
          <w:p w14:paraId="4AE35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3.91 </w:t>
            </w:r>
          </w:p>
        </w:tc>
      </w:tr>
      <w:tr w14:paraId="30C79CD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4A2DD4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vAlign w:val="center"/>
          </w:tcPr>
          <w:p w14:paraId="68AC05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2410" w:type="dxa"/>
            <w:tcBorders>
              <w:tl2br w:val="nil"/>
              <w:tr2bl w:val="nil"/>
            </w:tcBorders>
            <w:shd w:val="clear" w:color="auto" w:fill="auto"/>
            <w:noWrap/>
            <w:vAlign w:val="center"/>
          </w:tcPr>
          <w:p w14:paraId="63829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0.05 </w:t>
            </w:r>
          </w:p>
        </w:tc>
        <w:tc>
          <w:tcPr>
            <w:tcW w:w="2414" w:type="dxa"/>
            <w:tcBorders>
              <w:tl2br w:val="nil"/>
              <w:tr2bl w:val="nil"/>
            </w:tcBorders>
            <w:shd w:val="clear" w:color="auto" w:fill="auto"/>
            <w:noWrap/>
            <w:vAlign w:val="center"/>
          </w:tcPr>
          <w:p w14:paraId="208A92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0.05</w:t>
            </w:r>
          </w:p>
        </w:tc>
        <w:tc>
          <w:tcPr>
            <w:tcW w:w="1246" w:type="dxa"/>
            <w:tcBorders>
              <w:tl2br w:val="nil"/>
              <w:tr2bl w:val="nil"/>
            </w:tcBorders>
            <w:shd w:val="clear" w:color="auto" w:fill="auto"/>
            <w:noWrap/>
            <w:vAlign w:val="center"/>
          </w:tcPr>
          <w:p w14:paraId="40D50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0.10 </w:t>
            </w:r>
          </w:p>
        </w:tc>
      </w:tr>
      <w:tr w14:paraId="645C246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0B6C9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vAlign w:val="center"/>
          </w:tcPr>
          <w:p w14:paraId="79304A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2410" w:type="dxa"/>
            <w:tcBorders>
              <w:tl2br w:val="nil"/>
              <w:tr2bl w:val="nil"/>
            </w:tcBorders>
            <w:shd w:val="clear" w:color="auto" w:fill="auto"/>
            <w:noWrap/>
            <w:vAlign w:val="center"/>
          </w:tcPr>
          <w:p w14:paraId="2DB39F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2.46 </w:t>
            </w:r>
          </w:p>
        </w:tc>
        <w:tc>
          <w:tcPr>
            <w:tcW w:w="2414" w:type="dxa"/>
            <w:tcBorders>
              <w:tl2br w:val="nil"/>
              <w:tr2bl w:val="nil"/>
            </w:tcBorders>
            <w:shd w:val="clear" w:color="auto" w:fill="auto"/>
            <w:noWrap/>
            <w:vAlign w:val="center"/>
          </w:tcPr>
          <w:p w14:paraId="08C4E0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0.07 </w:t>
            </w:r>
          </w:p>
        </w:tc>
        <w:tc>
          <w:tcPr>
            <w:tcW w:w="1246" w:type="dxa"/>
            <w:tcBorders>
              <w:tl2br w:val="nil"/>
              <w:tr2bl w:val="nil"/>
            </w:tcBorders>
            <w:shd w:val="clear" w:color="auto" w:fill="auto"/>
            <w:noWrap/>
            <w:vAlign w:val="center"/>
          </w:tcPr>
          <w:p w14:paraId="5DF5E9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2.53 </w:t>
            </w:r>
          </w:p>
        </w:tc>
      </w:tr>
      <w:tr w14:paraId="56CF165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6521E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42" w:type="dxa"/>
            <w:tcBorders>
              <w:tl2br w:val="nil"/>
              <w:tr2bl w:val="nil"/>
            </w:tcBorders>
            <w:shd w:val="clear" w:color="auto" w:fill="auto"/>
            <w:vAlign w:val="center"/>
          </w:tcPr>
          <w:p w14:paraId="58FCD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2410" w:type="dxa"/>
            <w:tcBorders>
              <w:tl2br w:val="nil"/>
              <w:tr2bl w:val="nil"/>
            </w:tcBorders>
            <w:shd w:val="clear" w:color="auto" w:fill="auto"/>
            <w:noWrap/>
            <w:vAlign w:val="center"/>
          </w:tcPr>
          <w:p w14:paraId="1EED32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0.66 </w:t>
            </w:r>
          </w:p>
        </w:tc>
        <w:tc>
          <w:tcPr>
            <w:tcW w:w="2414" w:type="dxa"/>
            <w:tcBorders>
              <w:tl2br w:val="nil"/>
              <w:tr2bl w:val="nil"/>
            </w:tcBorders>
            <w:shd w:val="clear" w:color="auto" w:fill="auto"/>
            <w:noWrap/>
            <w:vAlign w:val="center"/>
          </w:tcPr>
          <w:p w14:paraId="25E88B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0.62</w:t>
            </w:r>
          </w:p>
        </w:tc>
        <w:tc>
          <w:tcPr>
            <w:tcW w:w="1246" w:type="dxa"/>
            <w:tcBorders>
              <w:tl2br w:val="nil"/>
              <w:tr2bl w:val="nil"/>
            </w:tcBorders>
            <w:shd w:val="clear" w:color="auto" w:fill="auto"/>
            <w:noWrap/>
            <w:vAlign w:val="center"/>
          </w:tcPr>
          <w:p w14:paraId="51C85A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1.28 </w:t>
            </w:r>
          </w:p>
        </w:tc>
      </w:tr>
      <w:tr w14:paraId="47DC869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34E40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noWrap/>
            <w:vAlign w:val="center"/>
          </w:tcPr>
          <w:p w14:paraId="54603D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地块二</w:t>
            </w:r>
          </w:p>
        </w:tc>
        <w:tc>
          <w:tcPr>
            <w:tcW w:w="2410" w:type="dxa"/>
            <w:tcBorders>
              <w:tl2br w:val="nil"/>
              <w:tr2bl w:val="nil"/>
            </w:tcBorders>
            <w:shd w:val="clear" w:color="auto" w:fill="auto"/>
            <w:noWrap/>
            <w:vAlign w:val="center"/>
          </w:tcPr>
          <w:p w14:paraId="75DD41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4.41 </w:t>
            </w:r>
          </w:p>
        </w:tc>
        <w:tc>
          <w:tcPr>
            <w:tcW w:w="2414" w:type="dxa"/>
            <w:tcBorders>
              <w:tl2br w:val="nil"/>
              <w:tr2bl w:val="nil"/>
            </w:tcBorders>
            <w:shd w:val="clear" w:color="auto" w:fill="auto"/>
            <w:noWrap/>
            <w:vAlign w:val="center"/>
          </w:tcPr>
          <w:p w14:paraId="6F5DC6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1.07 </w:t>
            </w:r>
          </w:p>
        </w:tc>
        <w:tc>
          <w:tcPr>
            <w:tcW w:w="1246" w:type="dxa"/>
            <w:tcBorders>
              <w:tl2br w:val="nil"/>
              <w:tr2bl w:val="nil"/>
            </w:tcBorders>
            <w:shd w:val="clear" w:color="auto" w:fill="auto"/>
            <w:noWrap/>
            <w:vAlign w:val="center"/>
          </w:tcPr>
          <w:p w14:paraId="107852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5.48 </w:t>
            </w:r>
          </w:p>
        </w:tc>
      </w:tr>
      <w:tr w14:paraId="6D2258C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216D7C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vAlign w:val="center"/>
          </w:tcPr>
          <w:p w14:paraId="0C2A26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建构筑物区</w:t>
            </w:r>
          </w:p>
        </w:tc>
        <w:tc>
          <w:tcPr>
            <w:tcW w:w="2410" w:type="dxa"/>
            <w:tcBorders>
              <w:tl2br w:val="nil"/>
              <w:tr2bl w:val="nil"/>
            </w:tcBorders>
            <w:shd w:val="clear" w:color="auto" w:fill="auto"/>
            <w:noWrap/>
            <w:vAlign w:val="center"/>
          </w:tcPr>
          <w:p w14:paraId="2B21E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0.09</w:t>
            </w:r>
          </w:p>
        </w:tc>
        <w:tc>
          <w:tcPr>
            <w:tcW w:w="2414" w:type="dxa"/>
            <w:tcBorders>
              <w:tl2br w:val="nil"/>
              <w:tr2bl w:val="nil"/>
            </w:tcBorders>
            <w:shd w:val="clear" w:color="auto" w:fill="auto"/>
            <w:noWrap/>
            <w:vAlign w:val="center"/>
          </w:tcPr>
          <w:p w14:paraId="007AE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0.10 </w:t>
            </w:r>
          </w:p>
        </w:tc>
        <w:tc>
          <w:tcPr>
            <w:tcW w:w="1246" w:type="dxa"/>
            <w:tcBorders>
              <w:tl2br w:val="nil"/>
              <w:tr2bl w:val="nil"/>
            </w:tcBorders>
            <w:shd w:val="clear" w:color="auto" w:fill="auto"/>
            <w:noWrap/>
            <w:vAlign w:val="center"/>
          </w:tcPr>
          <w:p w14:paraId="391F45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r>
      <w:tr w14:paraId="2C269FF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3340E8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vAlign w:val="center"/>
          </w:tcPr>
          <w:p w14:paraId="561E4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道路及硬化区</w:t>
            </w:r>
          </w:p>
        </w:tc>
        <w:tc>
          <w:tcPr>
            <w:tcW w:w="2410" w:type="dxa"/>
            <w:tcBorders>
              <w:tl2br w:val="nil"/>
              <w:tr2bl w:val="nil"/>
            </w:tcBorders>
            <w:shd w:val="clear" w:color="auto" w:fill="auto"/>
            <w:noWrap/>
            <w:vAlign w:val="center"/>
          </w:tcPr>
          <w:p w14:paraId="7B30CB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2.53</w:t>
            </w:r>
          </w:p>
        </w:tc>
        <w:tc>
          <w:tcPr>
            <w:tcW w:w="2414" w:type="dxa"/>
            <w:tcBorders>
              <w:tl2br w:val="nil"/>
              <w:tr2bl w:val="nil"/>
            </w:tcBorders>
            <w:shd w:val="clear" w:color="auto" w:fill="auto"/>
            <w:noWrap/>
            <w:vAlign w:val="center"/>
          </w:tcPr>
          <w:p w14:paraId="276184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67003C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2.53 </w:t>
            </w:r>
          </w:p>
        </w:tc>
      </w:tr>
      <w:tr w14:paraId="1034D76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67E62F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42" w:type="dxa"/>
            <w:tcBorders>
              <w:tl2br w:val="nil"/>
              <w:tr2bl w:val="nil"/>
            </w:tcBorders>
            <w:shd w:val="clear" w:color="auto" w:fill="auto"/>
            <w:vAlign w:val="center"/>
          </w:tcPr>
          <w:p w14:paraId="66B5A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绿化区</w:t>
            </w:r>
          </w:p>
        </w:tc>
        <w:tc>
          <w:tcPr>
            <w:tcW w:w="2410" w:type="dxa"/>
            <w:tcBorders>
              <w:tl2br w:val="nil"/>
              <w:tr2bl w:val="nil"/>
            </w:tcBorders>
            <w:shd w:val="clear" w:color="auto" w:fill="auto"/>
            <w:noWrap/>
            <w:vAlign w:val="center"/>
          </w:tcPr>
          <w:p w14:paraId="48F0A2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1.79</w:t>
            </w:r>
          </w:p>
        </w:tc>
        <w:tc>
          <w:tcPr>
            <w:tcW w:w="2414" w:type="dxa"/>
            <w:tcBorders>
              <w:tl2br w:val="nil"/>
              <w:tr2bl w:val="nil"/>
            </w:tcBorders>
            <w:shd w:val="clear" w:color="auto" w:fill="auto"/>
            <w:noWrap/>
            <w:vAlign w:val="center"/>
          </w:tcPr>
          <w:p w14:paraId="261FB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0.97</w:t>
            </w:r>
          </w:p>
        </w:tc>
        <w:tc>
          <w:tcPr>
            <w:tcW w:w="1246" w:type="dxa"/>
            <w:tcBorders>
              <w:tl2br w:val="nil"/>
              <w:tr2bl w:val="nil"/>
            </w:tcBorders>
            <w:shd w:val="clear" w:color="auto" w:fill="auto"/>
            <w:noWrap/>
            <w:vAlign w:val="center"/>
          </w:tcPr>
          <w:p w14:paraId="05E35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2.76 </w:t>
            </w:r>
          </w:p>
        </w:tc>
      </w:tr>
      <w:tr w14:paraId="25CAF5B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noWrap/>
            <w:vAlign w:val="center"/>
          </w:tcPr>
          <w:p w14:paraId="110CA1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42" w:type="dxa"/>
            <w:tcBorders>
              <w:tl2br w:val="nil"/>
              <w:tr2bl w:val="nil"/>
            </w:tcBorders>
            <w:shd w:val="clear" w:color="auto" w:fill="auto"/>
            <w:noWrap/>
            <w:vAlign w:val="center"/>
          </w:tcPr>
          <w:p w14:paraId="243EF3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其他临时工程</w:t>
            </w:r>
          </w:p>
        </w:tc>
        <w:tc>
          <w:tcPr>
            <w:tcW w:w="2410" w:type="dxa"/>
            <w:tcBorders>
              <w:tl2br w:val="nil"/>
              <w:tr2bl w:val="nil"/>
            </w:tcBorders>
            <w:shd w:val="clear" w:color="auto" w:fill="auto"/>
            <w:noWrap/>
            <w:vAlign w:val="center"/>
          </w:tcPr>
          <w:p w14:paraId="182E23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2D53F8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64F89F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r>
      <w:tr w14:paraId="57F8928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6D18B9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一~三部分合计</w:t>
            </w:r>
          </w:p>
        </w:tc>
        <w:tc>
          <w:tcPr>
            <w:tcW w:w="2410" w:type="dxa"/>
            <w:tcBorders>
              <w:tl2br w:val="nil"/>
              <w:tr2bl w:val="nil"/>
            </w:tcBorders>
            <w:shd w:val="clear" w:color="auto" w:fill="auto"/>
            <w:noWrap/>
            <w:vAlign w:val="center"/>
          </w:tcPr>
          <w:p w14:paraId="7E490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13.67</w:t>
            </w:r>
          </w:p>
        </w:tc>
        <w:tc>
          <w:tcPr>
            <w:tcW w:w="2414" w:type="dxa"/>
            <w:tcBorders>
              <w:tl2br w:val="nil"/>
              <w:tr2bl w:val="nil"/>
            </w:tcBorders>
            <w:shd w:val="clear" w:color="auto" w:fill="auto"/>
            <w:noWrap/>
            <w:vAlign w:val="center"/>
          </w:tcPr>
          <w:p w14:paraId="1A6C41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34.26</w:t>
            </w:r>
          </w:p>
        </w:tc>
        <w:tc>
          <w:tcPr>
            <w:tcW w:w="1246" w:type="dxa"/>
            <w:tcBorders>
              <w:tl2br w:val="nil"/>
              <w:tr2bl w:val="nil"/>
            </w:tcBorders>
            <w:shd w:val="clear" w:color="auto" w:fill="auto"/>
            <w:noWrap/>
            <w:vAlign w:val="center"/>
          </w:tcPr>
          <w:p w14:paraId="4F58F9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47.93 </w:t>
            </w:r>
          </w:p>
        </w:tc>
      </w:tr>
      <w:tr w14:paraId="3E2D052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19A035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第四部分 独立费用</w:t>
            </w:r>
          </w:p>
        </w:tc>
        <w:tc>
          <w:tcPr>
            <w:tcW w:w="2410" w:type="dxa"/>
            <w:tcBorders>
              <w:tl2br w:val="nil"/>
              <w:tr2bl w:val="nil"/>
            </w:tcBorders>
            <w:shd w:val="clear" w:color="auto" w:fill="auto"/>
            <w:noWrap/>
            <w:vAlign w:val="center"/>
          </w:tcPr>
          <w:p w14:paraId="29D3A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5.71</w:t>
            </w:r>
          </w:p>
        </w:tc>
        <w:tc>
          <w:tcPr>
            <w:tcW w:w="2414" w:type="dxa"/>
            <w:tcBorders>
              <w:tl2br w:val="nil"/>
              <w:tr2bl w:val="nil"/>
            </w:tcBorders>
            <w:shd w:val="clear" w:color="auto" w:fill="auto"/>
            <w:noWrap/>
            <w:vAlign w:val="center"/>
          </w:tcPr>
          <w:p w14:paraId="5B397E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6.48</w:t>
            </w:r>
          </w:p>
        </w:tc>
        <w:tc>
          <w:tcPr>
            <w:tcW w:w="1246" w:type="dxa"/>
            <w:tcBorders>
              <w:tl2br w:val="nil"/>
              <w:tr2bl w:val="nil"/>
            </w:tcBorders>
            <w:shd w:val="clear" w:color="auto" w:fill="auto"/>
            <w:noWrap/>
            <w:vAlign w:val="center"/>
          </w:tcPr>
          <w:p w14:paraId="349B38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12.19</w:t>
            </w:r>
          </w:p>
        </w:tc>
      </w:tr>
      <w:tr w14:paraId="43C21ED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6213C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w:t>
            </w:r>
          </w:p>
        </w:tc>
        <w:tc>
          <w:tcPr>
            <w:tcW w:w="2142" w:type="dxa"/>
            <w:tcBorders>
              <w:tl2br w:val="nil"/>
              <w:tr2bl w:val="nil"/>
            </w:tcBorders>
            <w:shd w:val="clear" w:color="auto" w:fill="auto"/>
            <w:noWrap/>
            <w:vAlign w:val="center"/>
          </w:tcPr>
          <w:p w14:paraId="48036B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建设管理费</w:t>
            </w:r>
          </w:p>
        </w:tc>
        <w:tc>
          <w:tcPr>
            <w:tcW w:w="2410" w:type="dxa"/>
            <w:tcBorders>
              <w:tl2br w:val="nil"/>
              <w:tr2bl w:val="nil"/>
            </w:tcBorders>
            <w:shd w:val="clear" w:color="auto" w:fill="auto"/>
            <w:noWrap/>
            <w:vAlign w:val="center"/>
          </w:tcPr>
          <w:p w14:paraId="526A3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0.11 </w:t>
            </w:r>
          </w:p>
        </w:tc>
        <w:tc>
          <w:tcPr>
            <w:tcW w:w="2414" w:type="dxa"/>
            <w:tcBorders>
              <w:tl2br w:val="nil"/>
              <w:tr2bl w:val="nil"/>
            </w:tcBorders>
            <w:shd w:val="clear" w:color="auto" w:fill="auto"/>
            <w:noWrap/>
            <w:vAlign w:val="center"/>
          </w:tcPr>
          <w:p w14:paraId="1BBFDD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0.08 </w:t>
            </w:r>
          </w:p>
        </w:tc>
        <w:tc>
          <w:tcPr>
            <w:tcW w:w="1246" w:type="dxa"/>
            <w:tcBorders>
              <w:tl2br w:val="nil"/>
              <w:tr2bl w:val="nil"/>
            </w:tcBorders>
            <w:shd w:val="clear" w:color="auto" w:fill="auto"/>
            <w:noWrap/>
            <w:vAlign w:val="center"/>
          </w:tcPr>
          <w:p w14:paraId="6B929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0.19 </w:t>
            </w:r>
          </w:p>
        </w:tc>
      </w:tr>
      <w:tr w14:paraId="51E007D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1B4BCC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二</w:t>
            </w:r>
          </w:p>
        </w:tc>
        <w:tc>
          <w:tcPr>
            <w:tcW w:w="2142" w:type="dxa"/>
            <w:tcBorders>
              <w:tl2br w:val="nil"/>
              <w:tr2bl w:val="nil"/>
            </w:tcBorders>
            <w:shd w:val="clear" w:color="auto" w:fill="auto"/>
            <w:vAlign w:val="center"/>
          </w:tcPr>
          <w:p w14:paraId="0B04EE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水土保持工程建设监理费</w:t>
            </w:r>
          </w:p>
        </w:tc>
        <w:tc>
          <w:tcPr>
            <w:tcW w:w="2410" w:type="dxa"/>
            <w:tcBorders>
              <w:tl2br w:val="nil"/>
              <w:tr2bl w:val="nil"/>
            </w:tcBorders>
            <w:shd w:val="clear" w:color="auto" w:fill="auto"/>
            <w:noWrap/>
            <w:vAlign w:val="center"/>
          </w:tcPr>
          <w:p w14:paraId="38ACC8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2.40 </w:t>
            </w:r>
          </w:p>
        </w:tc>
        <w:tc>
          <w:tcPr>
            <w:tcW w:w="2414" w:type="dxa"/>
            <w:tcBorders>
              <w:tl2br w:val="nil"/>
              <w:tr2bl w:val="nil"/>
            </w:tcBorders>
            <w:shd w:val="clear" w:color="auto" w:fill="auto"/>
            <w:noWrap/>
            <w:vAlign w:val="center"/>
          </w:tcPr>
          <w:p w14:paraId="62B09C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1.60 </w:t>
            </w:r>
          </w:p>
        </w:tc>
        <w:tc>
          <w:tcPr>
            <w:tcW w:w="1246" w:type="dxa"/>
            <w:tcBorders>
              <w:tl2br w:val="nil"/>
              <w:tr2bl w:val="nil"/>
            </w:tcBorders>
            <w:shd w:val="clear" w:color="auto" w:fill="auto"/>
            <w:noWrap/>
            <w:vAlign w:val="center"/>
          </w:tcPr>
          <w:p w14:paraId="6AC309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r>
      <w:tr w14:paraId="5C991DD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5DE0A9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三</w:t>
            </w:r>
          </w:p>
        </w:tc>
        <w:tc>
          <w:tcPr>
            <w:tcW w:w="2142" w:type="dxa"/>
            <w:tcBorders>
              <w:tl2br w:val="nil"/>
              <w:tr2bl w:val="nil"/>
            </w:tcBorders>
            <w:shd w:val="clear" w:color="auto" w:fill="auto"/>
            <w:vAlign w:val="center"/>
          </w:tcPr>
          <w:p w14:paraId="55B18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水土保持监测费</w:t>
            </w:r>
          </w:p>
        </w:tc>
        <w:tc>
          <w:tcPr>
            <w:tcW w:w="2410" w:type="dxa"/>
            <w:tcBorders>
              <w:tl2br w:val="nil"/>
              <w:tr2bl w:val="nil"/>
            </w:tcBorders>
            <w:shd w:val="clear" w:color="auto" w:fill="auto"/>
            <w:noWrap/>
            <w:vAlign w:val="center"/>
          </w:tcPr>
          <w:p w14:paraId="7DA36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1.20 </w:t>
            </w:r>
          </w:p>
        </w:tc>
        <w:tc>
          <w:tcPr>
            <w:tcW w:w="2414" w:type="dxa"/>
            <w:tcBorders>
              <w:tl2br w:val="nil"/>
              <w:tr2bl w:val="nil"/>
            </w:tcBorders>
            <w:shd w:val="clear" w:color="auto" w:fill="auto"/>
            <w:noWrap/>
            <w:vAlign w:val="center"/>
          </w:tcPr>
          <w:p w14:paraId="104F6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0.80 </w:t>
            </w:r>
          </w:p>
        </w:tc>
        <w:tc>
          <w:tcPr>
            <w:tcW w:w="1246" w:type="dxa"/>
            <w:tcBorders>
              <w:tl2br w:val="nil"/>
              <w:tr2bl w:val="nil"/>
            </w:tcBorders>
            <w:shd w:val="clear" w:color="auto" w:fill="auto"/>
            <w:noWrap/>
            <w:vAlign w:val="center"/>
          </w:tcPr>
          <w:p w14:paraId="3039C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r>
      <w:tr w14:paraId="45959FF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748B65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四</w:t>
            </w:r>
          </w:p>
        </w:tc>
        <w:tc>
          <w:tcPr>
            <w:tcW w:w="2142" w:type="dxa"/>
            <w:tcBorders>
              <w:tl2br w:val="nil"/>
              <w:tr2bl w:val="nil"/>
            </w:tcBorders>
            <w:shd w:val="clear" w:color="auto" w:fill="auto"/>
            <w:vAlign w:val="center"/>
          </w:tcPr>
          <w:p w14:paraId="14C589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科研勘测设计费</w:t>
            </w:r>
          </w:p>
        </w:tc>
        <w:tc>
          <w:tcPr>
            <w:tcW w:w="2410" w:type="dxa"/>
            <w:tcBorders>
              <w:tl2br w:val="nil"/>
              <w:tr2bl w:val="nil"/>
            </w:tcBorders>
            <w:shd w:val="clear" w:color="auto" w:fill="auto"/>
            <w:noWrap/>
            <w:vAlign w:val="center"/>
          </w:tcPr>
          <w:p w14:paraId="5EF98A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c>
          <w:tcPr>
            <w:tcW w:w="2414" w:type="dxa"/>
            <w:tcBorders>
              <w:tl2br w:val="nil"/>
              <w:tr2bl w:val="nil"/>
            </w:tcBorders>
            <w:shd w:val="clear" w:color="auto" w:fill="auto"/>
            <w:noWrap/>
            <w:vAlign w:val="center"/>
          </w:tcPr>
          <w:p w14:paraId="76153C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15828C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2.00 </w:t>
            </w:r>
          </w:p>
        </w:tc>
      </w:tr>
      <w:tr w14:paraId="5CD8993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1354" w:type="dxa"/>
            <w:tcBorders>
              <w:tl2br w:val="nil"/>
              <w:tr2bl w:val="nil"/>
            </w:tcBorders>
            <w:shd w:val="clear" w:color="auto" w:fill="auto"/>
            <w:vAlign w:val="center"/>
          </w:tcPr>
          <w:p w14:paraId="35CC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五</w:t>
            </w:r>
          </w:p>
        </w:tc>
        <w:tc>
          <w:tcPr>
            <w:tcW w:w="2142" w:type="dxa"/>
            <w:tcBorders>
              <w:tl2br w:val="nil"/>
              <w:tr2bl w:val="nil"/>
            </w:tcBorders>
            <w:shd w:val="clear" w:color="auto" w:fill="auto"/>
            <w:vAlign w:val="center"/>
          </w:tcPr>
          <w:p w14:paraId="4FF618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水土保持验收报告编制费</w:t>
            </w:r>
          </w:p>
        </w:tc>
        <w:tc>
          <w:tcPr>
            <w:tcW w:w="2410" w:type="dxa"/>
            <w:tcBorders>
              <w:tl2br w:val="nil"/>
              <w:tr2bl w:val="nil"/>
            </w:tcBorders>
            <w:shd w:val="clear" w:color="auto" w:fill="auto"/>
            <w:noWrap/>
            <w:vAlign w:val="center"/>
          </w:tcPr>
          <w:p w14:paraId="145A95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2414" w:type="dxa"/>
            <w:tcBorders>
              <w:tl2br w:val="nil"/>
              <w:tr2bl w:val="nil"/>
            </w:tcBorders>
            <w:shd w:val="clear" w:color="auto" w:fill="auto"/>
            <w:noWrap/>
            <w:vAlign w:val="center"/>
          </w:tcPr>
          <w:p w14:paraId="751B4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c>
          <w:tcPr>
            <w:tcW w:w="1246" w:type="dxa"/>
            <w:tcBorders>
              <w:tl2br w:val="nil"/>
              <w:tr2bl w:val="nil"/>
            </w:tcBorders>
            <w:shd w:val="clear" w:color="auto" w:fill="auto"/>
            <w:noWrap/>
            <w:vAlign w:val="center"/>
          </w:tcPr>
          <w:p w14:paraId="31B3D5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4.00 </w:t>
            </w:r>
          </w:p>
        </w:tc>
      </w:tr>
      <w:tr w14:paraId="63C1092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4120F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一至四部分合计</w:t>
            </w:r>
          </w:p>
        </w:tc>
        <w:tc>
          <w:tcPr>
            <w:tcW w:w="2410" w:type="dxa"/>
            <w:tcBorders>
              <w:tl2br w:val="nil"/>
              <w:tr2bl w:val="nil"/>
            </w:tcBorders>
            <w:shd w:val="clear" w:color="auto" w:fill="auto"/>
            <w:noWrap/>
            <w:vAlign w:val="center"/>
          </w:tcPr>
          <w:p w14:paraId="0565E0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19.38</w:t>
            </w:r>
          </w:p>
        </w:tc>
        <w:tc>
          <w:tcPr>
            <w:tcW w:w="2414" w:type="dxa"/>
            <w:tcBorders>
              <w:tl2br w:val="nil"/>
              <w:tr2bl w:val="nil"/>
            </w:tcBorders>
            <w:shd w:val="clear" w:color="auto" w:fill="auto"/>
            <w:noWrap/>
            <w:vAlign w:val="center"/>
          </w:tcPr>
          <w:p w14:paraId="280449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40.74</w:t>
            </w:r>
          </w:p>
        </w:tc>
        <w:tc>
          <w:tcPr>
            <w:tcW w:w="1246" w:type="dxa"/>
            <w:tcBorders>
              <w:tl2br w:val="nil"/>
              <w:tr2bl w:val="nil"/>
            </w:tcBorders>
            <w:shd w:val="clear" w:color="auto" w:fill="auto"/>
            <w:noWrap/>
            <w:vAlign w:val="center"/>
          </w:tcPr>
          <w:p w14:paraId="48F7AF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60.12</w:t>
            </w:r>
          </w:p>
        </w:tc>
      </w:tr>
      <w:tr w14:paraId="758D7BF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56869B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第五部分  预备费</w:t>
            </w:r>
          </w:p>
        </w:tc>
        <w:tc>
          <w:tcPr>
            <w:tcW w:w="2410" w:type="dxa"/>
            <w:tcBorders>
              <w:tl2br w:val="nil"/>
              <w:tr2bl w:val="nil"/>
            </w:tcBorders>
            <w:shd w:val="clear" w:color="auto" w:fill="auto"/>
            <w:noWrap/>
            <w:vAlign w:val="center"/>
          </w:tcPr>
          <w:p w14:paraId="3685C8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0.77 </w:t>
            </w:r>
          </w:p>
        </w:tc>
        <w:tc>
          <w:tcPr>
            <w:tcW w:w="2414" w:type="dxa"/>
            <w:tcBorders>
              <w:tl2br w:val="nil"/>
              <w:tr2bl w:val="nil"/>
            </w:tcBorders>
            <w:shd w:val="clear" w:color="auto" w:fill="auto"/>
            <w:noWrap/>
            <w:vAlign w:val="center"/>
          </w:tcPr>
          <w:p w14:paraId="6EBECD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0.52 </w:t>
            </w:r>
          </w:p>
        </w:tc>
        <w:tc>
          <w:tcPr>
            <w:tcW w:w="1246" w:type="dxa"/>
            <w:tcBorders>
              <w:tl2br w:val="nil"/>
              <w:tr2bl w:val="nil"/>
            </w:tcBorders>
            <w:shd w:val="clear" w:color="auto" w:fill="auto"/>
            <w:noWrap/>
            <w:vAlign w:val="center"/>
          </w:tcPr>
          <w:p w14:paraId="0FD982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1.29 </w:t>
            </w:r>
          </w:p>
        </w:tc>
      </w:tr>
      <w:tr w14:paraId="268E04F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00721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第六部分静态总投资</w:t>
            </w:r>
          </w:p>
        </w:tc>
        <w:tc>
          <w:tcPr>
            <w:tcW w:w="2410" w:type="dxa"/>
            <w:tcBorders>
              <w:tl2br w:val="nil"/>
              <w:tr2bl w:val="nil"/>
            </w:tcBorders>
            <w:shd w:val="clear" w:color="auto" w:fill="auto"/>
            <w:noWrap/>
            <w:vAlign w:val="center"/>
          </w:tcPr>
          <w:p w14:paraId="6862D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20.15</w:t>
            </w:r>
          </w:p>
        </w:tc>
        <w:tc>
          <w:tcPr>
            <w:tcW w:w="2414" w:type="dxa"/>
            <w:tcBorders>
              <w:tl2br w:val="nil"/>
              <w:tr2bl w:val="nil"/>
            </w:tcBorders>
            <w:shd w:val="clear" w:color="auto" w:fill="auto"/>
            <w:noWrap/>
            <w:vAlign w:val="center"/>
          </w:tcPr>
          <w:p w14:paraId="77B60E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41.26 </w:t>
            </w:r>
          </w:p>
        </w:tc>
        <w:tc>
          <w:tcPr>
            <w:tcW w:w="1246" w:type="dxa"/>
            <w:tcBorders>
              <w:tl2br w:val="nil"/>
              <w:tr2bl w:val="nil"/>
            </w:tcBorders>
            <w:shd w:val="clear" w:color="auto" w:fill="auto"/>
            <w:noWrap/>
            <w:vAlign w:val="center"/>
          </w:tcPr>
          <w:p w14:paraId="1252EE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61.41</w:t>
            </w:r>
          </w:p>
        </w:tc>
      </w:tr>
      <w:tr w14:paraId="2D863E6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05DB1E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第七部分水土保持补偿费</w:t>
            </w:r>
          </w:p>
        </w:tc>
        <w:tc>
          <w:tcPr>
            <w:tcW w:w="2410" w:type="dxa"/>
            <w:tcBorders>
              <w:tl2br w:val="nil"/>
              <w:tr2bl w:val="nil"/>
            </w:tcBorders>
            <w:shd w:val="clear" w:color="auto" w:fill="auto"/>
            <w:noWrap/>
            <w:vAlign w:val="center"/>
          </w:tcPr>
          <w:p w14:paraId="4CFC8E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1.06</w:t>
            </w:r>
          </w:p>
        </w:tc>
        <w:tc>
          <w:tcPr>
            <w:tcW w:w="2414" w:type="dxa"/>
            <w:tcBorders>
              <w:tl2br w:val="nil"/>
              <w:tr2bl w:val="nil"/>
            </w:tcBorders>
            <w:shd w:val="clear" w:color="auto" w:fill="auto"/>
            <w:noWrap/>
            <w:vAlign w:val="center"/>
          </w:tcPr>
          <w:p w14:paraId="14EE6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themeColor="text1"/>
                <w:sz w:val="21"/>
                <w:szCs w:val="21"/>
                <w:u w:val="none"/>
              </w:rPr>
            </w:pPr>
          </w:p>
        </w:tc>
        <w:tc>
          <w:tcPr>
            <w:tcW w:w="1246" w:type="dxa"/>
            <w:tcBorders>
              <w:tl2br w:val="nil"/>
              <w:tr2bl w:val="nil"/>
            </w:tcBorders>
            <w:shd w:val="clear" w:color="auto" w:fill="auto"/>
            <w:noWrap/>
            <w:vAlign w:val="center"/>
          </w:tcPr>
          <w:p w14:paraId="3C999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1.06 </w:t>
            </w:r>
          </w:p>
        </w:tc>
      </w:tr>
      <w:tr w14:paraId="2EF3208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496" w:type="dxa"/>
            <w:gridSpan w:val="2"/>
            <w:tcBorders>
              <w:tl2br w:val="nil"/>
              <w:tr2bl w:val="nil"/>
            </w:tcBorders>
            <w:shd w:val="clear" w:color="auto" w:fill="auto"/>
            <w:vAlign w:val="center"/>
          </w:tcPr>
          <w:p w14:paraId="31BD5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第八部分水土保持总投资</w:t>
            </w:r>
          </w:p>
        </w:tc>
        <w:tc>
          <w:tcPr>
            <w:tcW w:w="2410" w:type="dxa"/>
            <w:tcBorders>
              <w:tl2br w:val="nil"/>
              <w:tr2bl w:val="nil"/>
            </w:tcBorders>
            <w:shd w:val="clear" w:color="auto" w:fill="auto"/>
            <w:vAlign w:val="center"/>
          </w:tcPr>
          <w:p w14:paraId="6FB23E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21.21 </w:t>
            </w:r>
          </w:p>
        </w:tc>
        <w:tc>
          <w:tcPr>
            <w:tcW w:w="2414" w:type="dxa"/>
            <w:tcBorders>
              <w:tl2br w:val="nil"/>
              <w:tr2bl w:val="nil"/>
            </w:tcBorders>
            <w:shd w:val="clear" w:color="auto" w:fill="auto"/>
            <w:vAlign w:val="center"/>
          </w:tcPr>
          <w:p w14:paraId="006039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41.26 </w:t>
            </w:r>
          </w:p>
        </w:tc>
        <w:tc>
          <w:tcPr>
            <w:tcW w:w="1246" w:type="dxa"/>
            <w:tcBorders>
              <w:tl2br w:val="nil"/>
              <w:tr2bl w:val="nil"/>
            </w:tcBorders>
            <w:shd w:val="clear" w:color="auto" w:fill="auto"/>
            <w:vAlign w:val="center"/>
          </w:tcPr>
          <w:p w14:paraId="30A56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themeColor="text1"/>
                <w:sz w:val="21"/>
                <w:szCs w:val="21"/>
                <w:u w:val="none"/>
              </w:rPr>
            </w:pPr>
            <w:r>
              <w:rPr>
                <w:rFonts w:hint="default" w:ascii="Times New Roman" w:hAnsi="Times New Roman" w:eastAsia="仿宋_GB2312" w:cs="Times New Roman"/>
                <w:i w:val="0"/>
                <w:iCs w:val="0"/>
                <w:color w:val="000000" w:themeColor="text1"/>
                <w:kern w:val="0"/>
                <w:sz w:val="21"/>
                <w:szCs w:val="21"/>
                <w:u w:val="none"/>
                <w:lang w:val="en-US" w:eastAsia="zh-CN" w:bidi="ar"/>
              </w:rPr>
              <w:t xml:space="preserve">62.47 </w:t>
            </w:r>
          </w:p>
        </w:tc>
      </w:tr>
    </w:tbl>
    <w:p w14:paraId="3E994B9D">
      <w:pPr>
        <w:pStyle w:val="3"/>
        <w:rPr>
          <w:rFonts w:hint="default" w:ascii="Times New Roman" w:hAnsi="Times New Roman" w:cs="Times New Roman"/>
        </w:rPr>
      </w:pPr>
      <w:bookmarkStart w:id="108" w:name="_Toc72920058"/>
      <w:bookmarkStart w:id="109" w:name="_Toc165223595"/>
      <w:r>
        <w:rPr>
          <w:rFonts w:hint="default" w:ascii="Times New Roman" w:hAnsi="Times New Roman" w:cs="Times New Roman"/>
        </w:rPr>
        <w:t>效益分析</w:t>
      </w:r>
      <w:bookmarkEnd w:id="108"/>
      <w:bookmarkEnd w:id="109"/>
    </w:p>
    <w:p w14:paraId="35169CB0">
      <w:pPr>
        <w:pStyle w:val="4"/>
        <w:rPr>
          <w:rFonts w:hint="default" w:ascii="Times New Roman" w:hAnsi="Times New Roman" w:cs="Times New Roman"/>
        </w:rPr>
      </w:pPr>
      <w:r>
        <w:rPr>
          <w:rFonts w:hint="default" w:ascii="Times New Roman" w:hAnsi="Times New Roman" w:cs="Times New Roman"/>
        </w:rPr>
        <w:t>分析依据</w:t>
      </w:r>
    </w:p>
    <w:p w14:paraId="5E92A6A7">
      <w:pPr>
        <w:ind w:firstLine="480"/>
        <w:rPr>
          <w:rFonts w:hint="default" w:ascii="Times New Roman" w:hAnsi="Times New Roman" w:cs="Times New Roman"/>
        </w:rPr>
      </w:pPr>
      <w:r>
        <w:rPr>
          <w:rFonts w:hint="default" w:ascii="Times New Roman" w:hAnsi="Times New Roman" w:cs="Times New Roman"/>
        </w:rPr>
        <w:t>水土保持综合治理效益分析的主要依据为：《生产建设项目水土保持技术规范》（GB50433-2018）、《生产建设项目水土流失防治标准》（GB/T50434-2018）及其它相关资料。</w:t>
      </w:r>
    </w:p>
    <w:p w14:paraId="2A9A92AE">
      <w:pPr>
        <w:pStyle w:val="4"/>
        <w:rPr>
          <w:rFonts w:hint="default" w:ascii="Times New Roman" w:hAnsi="Times New Roman" w:cs="Times New Roman"/>
        </w:rPr>
      </w:pPr>
      <w:r>
        <w:rPr>
          <w:rFonts w:hint="default" w:ascii="Times New Roman" w:hAnsi="Times New Roman" w:cs="Times New Roman"/>
        </w:rPr>
        <w:t>分析指标</w:t>
      </w:r>
    </w:p>
    <w:p w14:paraId="60CC6275">
      <w:pPr>
        <w:ind w:firstLine="480"/>
        <w:rPr>
          <w:rFonts w:hint="default" w:ascii="Times New Roman" w:hAnsi="Times New Roman" w:cs="Times New Roman"/>
        </w:rPr>
      </w:pPr>
      <w:r>
        <w:rPr>
          <w:rFonts w:hint="default" w:ascii="Times New Roman" w:hAnsi="Times New Roman" w:cs="Times New Roman"/>
        </w:rPr>
        <w:t>主要对水土保持方案实施后的生态效益进行分析及评价。分析评价内容具体表现在以下几个方面：（1）水土流失治理度；（2）土壤流失控制比；（3）渣土防护率；（4）表土保护率（5）林草植被恢复率；（6）林草覆盖率。</w:t>
      </w:r>
    </w:p>
    <w:p w14:paraId="6A667D35">
      <w:pPr>
        <w:ind w:firstLine="480"/>
        <w:rPr>
          <w:rFonts w:hint="default" w:ascii="Times New Roman" w:hAnsi="Times New Roman" w:cs="Times New Roman"/>
        </w:rPr>
      </w:pPr>
      <w:r>
        <w:rPr>
          <w:rFonts w:hint="default" w:ascii="Times New Roman" w:hAnsi="Times New Roman" w:cs="Times New Roman"/>
        </w:rPr>
        <w:t>以上指标计算方法为：</w:t>
      </w:r>
    </w:p>
    <w:p w14:paraId="3E0D1DAC">
      <w:pPr>
        <w:ind w:firstLine="480"/>
        <w:rPr>
          <w:rFonts w:hint="default" w:ascii="Times New Roman" w:hAnsi="Times New Roman" w:cs="Times New Roman"/>
        </w:rPr>
      </w:pPr>
      <w:r>
        <w:rPr>
          <w:rFonts w:hint="default" w:ascii="Times New Roman" w:hAnsi="Times New Roman" w:cs="Times New Roman"/>
        </w:rPr>
        <w:t>（1）水土流失总治理度（%）=</w:t>
      </w:r>
      <w:r>
        <w:rPr>
          <w:rFonts w:hint="default" w:ascii="Times New Roman" w:hAnsi="Times New Roman" w:cs="Times New Roman"/>
        </w:rPr>
        <w:fldChar w:fldCharType="begin"/>
      </w:r>
      <w:r>
        <w:rPr>
          <w:rFonts w:hint="default" w:ascii="Times New Roman" w:hAnsi="Times New Roman" w:cs="Times New Roman"/>
        </w:rPr>
        <w:instrText xml:space="preserve"> QUOTE </w:instrText>
      </w:r>
      <m:oMath>
        <m:f>
          <m:fPr>
            <m:ctrlPr>
              <w:rPr>
                <w:rFonts w:hint="default" w:ascii="Cambria Math" w:hAnsi="Cambria Math" w:cs="Times New Roman"/>
              </w:rPr>
            </m:ctrlPr>
          </m:fPr>
          <m:num>
            <m:r>
              <m:rPr>
                <m:sty m:val="p"/>
              </m:rPr>
              <w:rPr>
                <w:rFonts w:hint="default" w:ascii="Cambria Math" w:hAnsi="Cambria Math" w:cs="Times New Roman"/>
              </w:rPr>
              <m:t xml:space="preserve">水土流失治理达标面积</m:t>
            </m:r>
            <m:ctrlPr>
              <w:rPr>
                <w:rFonts w:hint="default" w:ascii="Cambria Math" w:hAnsi="Cambria Math" w:cs="Times New Roman"/>
              </w:rPr>
            </m:ctrlPr>
          </m:num>
          <m:den>
            <m:r>
              <m:rPr>
                <m:sty m:val="p"/>
              </m:rPr>
              <w:rPr>
                <w:rFonts w:hint="default" w:ascii="Cambria Math" w:hAnsi="Cambria Math" w:cs="Times New Roman"/>
              </w:rPr>
              <m:t xml:space="preserve">建设区水土流失总面积</m:t>
            </m:r>
            <m:ctrlPr>
              <w:rPr>
                <w:rFonts w:hint="default" w:ascii="Cambria Math" w:hAnsi="Cambria Math" w:cs="Times New Roman"/>
              </w:rPr>
            </m:ctrlPr>
          </m:den>
        </m:f>
      </m:oMath>
      <w:r>
        <w:rPr>
          <w:rFonts w:hint="default" w:ascii="Times New Roman" w:hAnsi="Times New Roman" w:cs="Times New Roman"/>
        </w:rPr>
        <w:instrText xml:space="preserve"> </w:instrText>
      </w:r>
      <w:r>
        <w:rPr>
          <w:rFonts w:hint="default" w:ascii="Times New Roman" w:hAnsi="Times New Roman" w:cs="Times New Roman"/>
        </w:rPr>
        <w:fldChar w:fldCharType="end"/>
      </w:r>
      <w:r>
        <w:rPr>
          <w:rFonts w:hint="default" w:ascii="Times New Roman" w:hAnsi="Times New Roman" w:cs="Times New Roman"/>
        </w:rPr>
        <w:drawing>
          <wp:inline distT="0" distB="0" distL="0" distR="0">
            <wp:extent cx="2072640" cy="426720"/>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072640" cy="426720"/>
                    </a:xfrm>
                    <a:prstGeom prst="rect">
                      <a:avLst/>
                    </a:prstGeom>
                    <a:noFill/>
                    <a:ln>
                      <a:noFill/>
                    </a:ln>
                  </pic:spPr>
                </pic:pic>
              </a:graphicData>
            </a:graphic>
          </wp:inline>
        </w:drawing>
      </w:r>
    </w:p>
    <w:p w14:paraId="2D5B37D9">
      <w:pPr>
        <w:ind w:firstLine="480"/>
        <w:rPr>
          <w:rFonts w:hint="default" w:ascii="Times New Roman" w:hAnsi="Times New Roman" w:cs="Times New Roman"/>
        </w:rPr>
      </w:pPr>
      <w:r>
        <w:rPr>
          <w:rFonts w:hint="default" w:ascii="Times New Roman" w:hAnsi="Times New Roman" w:cs="Times New Roman"/>
        </w:rPr>
        <w:t>（2）土壤流失控制比=</w:t>
      </w:r>
      <w:r>
        <w:rPr>
          <w:rFonts w:hint="default" w:ascii="Times New Roman" w:hAnsi="Times New Roman" w:cs="Times New Roman"/>
        </w:rPr>
        <w:drawing>
          <wp:inline distT="0" distB="0" distL="0" distR="0">
            <wp:extent cx="2956560" cy="4267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956560" cy="426720"/>
                    </a:xfrm>
                    <a:prstGeom prst="rect">
                      <a:avLst/>
                    </a:prstGeom>
                    <a:noFill/>
                    <a:ln>
                      <a:noFill/>
                    </a:ln>
                  </pic:spPr>
                </pic:pic>
              </a:graphicData>
            </a:graphic>
          </wp:inline>
        </w:drawing>
      </w:r>
    </w:p>
    <w:p w14:paraId="6CE45CC1">
      <w:pPr>
        <w:ind w:firstLine="480"/>
        <w:rPr>
          <w:rFonts w:hint="default" w:ascii="Times New Roman" w:hAnsi="Times New Roman" w:cs="Times New Roman"/>
        </w:rPr>
      </w:pPr>
      <w:r>
        <w:rPr>
          <w:rFonts w:hint="default" w:ascii="Times New Roman" w:hAnsi="Times New Roman" w:cs="Times New Roman"/>
        </w:rPr>
        <w:t>（3）渣土防护率（%）=</w:t>
      </w:r>
      <w:r>
        <w:rPr>
          <w:rFonts w:hint="default" w:ascii="Times New Roman" w:hAnsi="Times New Roman" w:cs="Times New Roman"/>
        </w:rPr>
        <w:drawing>
          <wp:inline distT="0" distB="0" distL="0" distR="0">
            <wp:extent cx="2994660" cy="4267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994660" cy="426720"/>
                    </a:xfrm>
                    <a:prstGeom prst="rect">
                      <a:avLst/>
                    </a:prstGeom>
                    <a:noFill/>
                    <a:ln>
                      <a:noFill/>
                    </a:ln>
                  </pic:spPr>
                </pic:pic>
              </a:graphicData>
            </a:graphic>
          </wp:inline>
        </w:drawing>
      </w:r>
      <w:r>
        <w:rPr>
          <w:rFonts w:hint="default" w:ascii="Times New Roman" w:hAnsi="Times New Roman" w:cs="Times New Roman"/>
        </w:rPr>
        <w:fldChar w:fldCharType="begin"/>
      </w:r>
      <w:r>
        <w:rPr>
          <w:rFonts w:hint="default" w:ascii="Times New Roman" w:hAnsi="Times New Roman" w:cs="Times New Roman"/>
        </w:rPr>
        <w:instrText xml:space="preserve"> QUOTE </w:instrText>
      </w:r>
      <m:oMath>
        <m:f>
          <m:fPr>
            <m:ctrlPr>
              <w:rPr>
                <w:rFonts w:hint="default" w:ascii="Cambria Math" w:hAnsi="Cambria Math" w:cs="Times New Roman"/>
              </w:rPr>
            </m:ctrlPr>
          </m:fPr>
          <m:num>
            <m:r>
              <m:rPr>
                <m:sty m:val="p"/>
              </m:rPr>
              <w:rPr>
                <w:rFonts w:hint="default" w:ascii="Cambria Math" w:hAnsi="Cambria Math" w:cs="Times New Roman"/>
              </w:rPr>
              <m:t xml:space="preserve">采取措施后实际拦挡的弃土量</m:t>
            </m:r>
            <m:ctrlPr>
              <w:rPr>
                <w:rFonts w:hint="default" w:ascii="Cambria Math" w:hAnsi="Cambria Math" w:cs="Times New Roman"/>
              </w:rPr>
            </m:ctrlPr>
          </m:num>
          <m:den>
            <m:r>
              <m:rPr>
                <m:sty m:val="p"/>
              </m:rPr>
              <w:rPr>
                <w:rFonts w:hint="default" w:ascii="Cambria Math" w:hAnsi="Cambria Math" w:cs="Times New Roman"/>
              </w:rPr>
              <m:t xml:space="preserve">弃土总量</m:t>
            </m:r>
            <m:ctrlPr>
              <w:rPr>
                <w:rFonts w:hint="default" w:ascii="Cambria Math" w:hAnsi="Cambria Math" w:cs="Times New Roman"/>
              </w:rPr>
            </m:ctrlPr>
          </m:den>
        </m:f>
      </m:oMath>
      <w:r>
        <w:rPr>
          <w:rFonts w:hint="default" w:ascii="Times New Roman" w:hAnsi="Times New Roman" w:cs="Times New Roman"/>
        </w:rPr>
        <w:instrText xml:space="preserve"> </w:instrText>
      </w:r>
      <w:r>
        <w:rPr>
          <w:rFonts w:hint="default" w:ascii="Times New Roman" w:hAnsi="Times New Roman" w:cs="Times New Roman"/>
        </w:rPr>
        <w:fldChar w:fldCharType="end"/>
      </w:r>
    </w:p>
    <w:p w14:paraId="002DDCFE">
      <w:pPr>
        <w:ind w:firstLine="480"/>
        <w:rPr>
          <w:rFonts w:hint="default" w:ascii="Times New Roman" w:hAnsi="Times New Roman" w:cs="Times New Roman"/>
        </w:rPr>
      </w:pPr>
      <w:r>
        <w:rPr>
          <w:rFonts w:hint="default" w:ascii="Times New Roman" w:hAnsi="Times New Roman" w:cs="Times New Roman"/>
        </w:rPr>
        <w:t>（4）表土保护率（%）=</w:t>
      </w:r>
      <w:r>
        <w:rPr>
          <w:rFonts w:hint="default" w:ascii="Times New Roman" w:hAnsi="Times New Roman" w:cs="Times New Roman"/>
        </w:rPr>
        <w:fldChar w:fldCharType="begin"/>
      </w:r>
      <w:r>
        <w:rPr>
          <w:rFonts w:hint="default" w:ascii="Times New Roman" w:hAnsi="Times New Roman" w:cs="Times New Roman"/>
        </w:rPr>
        <w:instrText xml:space="preserve"> QUOTE </w:instrText>
      </w:r>
      <m:oMath>
        <m:f>
          <m:fPr>
            <m:ctrlPr>
              <w:rPr>
                <w:rFonts w:hint="default" w:ascii="Cambria Math" w:hAnsi="Cambria Math" w:cs="Times New Roman"/>
              </w:rPr>
            </m:ctrlPr>
          </m:fPr>
          <m:num>
            <m:r>
              <m:rPr>
                <m:sty m:val="p"/>
              </m:rPr>
              <w:rPr>
                <w:rFonts w:hint="default" w:ascii="Cambria Math" w:hAnsi="Cambria Math" w:cs="Times New Roman"/>
              </w:rPr>
              <m:t xml:space="preserve">保护表土数量</m:t>
            </m:r>
            <m:ctrlPr>
              <w:rPr>
                <w:rFonts w:hint="default" w:ascii="Cambria Math" w:hAnsi="Cambria Math" w:cs="Times New Roman"/>
              </w:rPr>
            </m:ctrlPr>
          </m:num>
          <m:den>
            <m:r>
              <m:rPr>
                <m:sty m:val="p"/>
              </m:rPr>
              <w:rPr>
                <w:rFonts w:hint="default" w:ascii="Cambria Math" w:hAnsi="Cambria Math" w:cs="Times New Roman"/>
              </w:rPr>
              <m:t xml:space="preserve">可剥离表土总量</m:t>
            </m:r>
            <m:ctrlPr>
              <w:rPr>
                <w:rFonts w:hint="default" w:ascii="Cambria Math" w:hAnsi="Cambria Math" w:cs="Times New Roman"/>
              </w:rPr>
            </m:ctrlPr>
          </m:den>
        </m:f>
      </m:oMath>
      <w:r>
        <w:rPr>
          <w:rFonts w:hint="default" w:ascii="Times New Roman" w:hAnsi="Times New Roman" w:cs="Times New Roman"/>
        </w:rPr>
        <w:instrText xml:space="preserve"> </w:instrText>
      </w:r>
      <w:r>
        <w:rPr>
          <w:rFonts w:hint="default" w:ascii="Times New Roman" w:hAnsi="Times New Roman" w:cs="Times New Roman"/>
        </w:rPr>
        <w:fldChar w:fldCharType="end"/>
      </w:r>
      <w:r>
        <w:rPr>
          <w:rFonts w:hint="default" w:ascii="Times New Roman" w:hAnsi="Times New Roman" w:cs="Times New Roman"/>
        </w:rPr>
        <w:drawing>
          <wp:inline distT="0" distB="0" distL="0" distR="0">
            <wp:extent cx="1600200" cy="4267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600200" cy="426720"/>
                    </a:xfrm>
                    <a:prstGeom prst="rect">
                      <a:avLst/>
                    </a:prstGeom>
                    <a:noFill/>
                    <a:ln>
                      <a:noFill/>
                    </a:ln>
                  </pic:spPr>
                </pic:pic>
              </a:graphicData>
            </a:graphic>
          </wp:inline>
        </w:drawing>
      </w:r>
    </w:p>
    <w:p w14:paraId="5D6C5C61">
      <w:pPr>
        <w:ind w:firstLine="480"/>
        <w:rPr>
          <w:rFonts w:hint="default" w:ascii="Times New Roman" w:hAnsi="Times New Roman" w:cs="Times New Roman"/>
        </w:rPr>
      </w:pPr>
      <w:r>
        <w:rPr>
          <w:rFonts w:hint="default" w:ascii="Times New Roman" w:hAnsi="Times New Roman" w:cs="Times New Roman"/>
        </w:rPr>
        <w:t>（5）林草植被恢复率（%）=</w:t>
      </w:r>
      <w:r>
        <w:rPr>
          <w:rFonts w:hint="default" w:ascii="Times New Roman" w:hAnsi="Times New Roman" w:cs="Times New Roman"/>
        </w:rPr>
        <w:fldChar w:fldCharType="begin"/>
      </w:r>
      <w:r>
        <w:rPr>
          <w:rFonts w:hint="default" w:ascii="Times New Roman" w:hAnsi="Times New Roman" w:cs="Times New Roman"/>
        </w:rPr>
        <w:instrText xml:space="preserve"> QUOTE </w:instrText>
      </w:r>
      <m:oMath>
        <m:f>
          <m:fPr>
            <m:ctrlPr>
              <w:rPr>
                <w:rFonts w:hint="default" w:ascii="Cambria Math" w:hAnsi="Cambria Math" w:cs="Times New Roman"/>
              </w:rPr>
            </m:ctrlPr>
          </m:fPr>
          <m:num>
            <m:r>
              <m:rPr>
                <m:sty m:val="p"/>
              </m:rPr>
              <w:rPr>
                <w:rFonts w:hint="default" w:ascii="Cambria Math" w:hAnsi="Cambria Math" w:cs="Times New Roman"/>
              </w:rPr>
              <m:t xml:space="preserve">林草种植面积</m:t>
            </m:r>
            <m:ctrlPr>
              <w:rPr>
                <w:rFonts w:hint="default" w:ascii="Cambria Math" w:hAnsi="Cambria Math" w:cs="Times New Roman"/>
              </w:rPr>
            </m:ctrlPr>
          </m:num>
          <m:den>
            <m:r>
              <m:rPr>
                <m:sty m:val="p"/>
              </m:rPr>
              <w:rPr>
                <w:rFonts w:hint="default" w:ascii="Cambria Math" w:hAnsi="Cambria Math" w:cs="Times New Roman"/>
              </w:rPr>
              <m:t xml:space="preserve">可恢复林草植被面积</m:t>
            </m:r>
            <m:ctrlPr>
              <w:rPr>
                <w:rFonts w:hint="default" w:ascii="Cambria Math" w:hAnsi="Cambria Math" w:cs="Times New Roman"/>
              </w:rPr>
            </m:ctrlPr>
          </m:den>
        </m:f>
      </m:oMath>
      <w:r>
        <w:rPr>
          <w:rFonts w:hint="default" w:ascii="Times New Roman" w:hAnsi="Times New Roman" w:cs="Times New Roman"/>
        </w:rPr>
        <w:instrText xml:space="preserve"> </w:instrText>
      </w:r>
      <w:r>
        <w:rPr>
          <w:rFonts w:hint="default" w:ascii="Times New Roman" w:hAnsi="Times New Roman" w:cs="Times New Roman"/>
        </w:rPr>
        <w:fldChar w:fldCharType="end"/>
      </w:r>
      <w:r>
        <w:rPr>
          <w:rFonts w:hint="default" w:ascii="Times New Roman" w:hAnsi="Times New Roman" w:cs="Times New Roman"/>
        </w:rPr>
        <w:drawing>
          <wp:inline distT="0" distB="0" distL="0" distR="0">
            <wp:extent cx="1882140" cy="426720"/>
            <wp:effectExtent l="0" t="0" r="381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82140" cy="426720"/>
                    </a:xfrm>
                    <a:prstGeom prst="rect">
                      <a:avLst/>
                    </a:prstGeom>
                    <a:noFill/>
                    <a:ln>
                      <a:noFill/>
                    </a:ln>
                  </pic:spPr>
                </pic:pic>
              </a:graphicData>
            </a:graphic>
          </wp:inline>
        </w:drawing>
      </w:r>
    </w:p>
    <w:p w14:paraId="0D5F6AF8">
      <w:pPr>
        <w:ind w:firstLine="480"/>
        <w:rPr>
          <w:rFonts w:hint="default" w:ascii="Times New Roman" w:hAnsi="Times New Roman" w:cs="Times New Roman"/>
        </w:rPr>
      </w:pPr>
      <w:r>
        <w:rPr>
          <w:rFonts w:hint="default" w:ascii="Times New Roman" w:hAnsi="Times New Roman" w:cs="Times New Roman"/>
        </w:rPr>
        <w:t>（6）林草覆盖率（%）=</w:t>
      </w:r>
      <w:r>
        <w:rPr>
          <w:rFonts w:hint="default" w:ascii="Times New Roman" w:hAnsi="Times New Roman" w:cs="Times New Roman"/>
        </w:rPr>
        <w:fldChar w:fldCharType="begin"/>
      </w:r>
      <w:r>
        <w:rPr>
          <w:rFonts w:hint="default" w:ascii="Times New Roman" w:hAnsi="Times New Roman" w:cs="Times New Roman"/>
        </w:rPr>
        <w:instrText xml:space="preserve"> QUOTE </w:instrText>
      </w:r>
      <m:oMath>
        <m:f>
          <m:fPr>
            <m:ctrlPr>
              <w:rPr>
                <w:rFonts w:hint="default" w:ascii="Cambria Math" w:hAnsi="Cambria Math" w:cs="Times New Roman"/>
              </w:rPr>
            </m:ctrlPr>
          </m:fPr>
          <m:num>
            <m:r>
              <m:rPr>
                <m:sty m:val="p"/>
              </m:rPr>
              <w:rPr>
                <w:rFonts w:hint="default" w:ascii="Cambria Math" w:hAnsi="Cambria Math" w:cs="Times New Roman"/>
              </w:rPr>
              <m:t xml:space="preserve">林草植被面积</m:t>
            </m:r>
            <m:ctrlPr>
              <w:rPr>
                <w:rFonts w:hint="default" w:ascii="Cambria Math" w:hAnsi="Cambria Math" w:cs="Times New Roman"/>
              </w:rPr>
            </m:ctrlPr>
          </m:num>
          <m:den>
            <m:r>
              <m:rPr>
                <m:sty m:val="p"/>
              </m:rPr>
              <w:rPr>
                <w:rFonts w:hint="default" w:ascii="Cambria Math" w:hAnsi="Cambria Math" w:cs="Times New Roman"/>
              </w:rPr>
              <m:t xml:space="preserve">项目建设区总面积</m:t>
            </m:r>
            <m:ctrlPr>
              <w:rPr>
                <w:rFonts w:hint="default" w:ascii="Cambria Math" w:hAnsi="Cambria Math" w:cs="Times New Roman"/>
              </w:rPr>
            </m:ctrlPr>
          </m:den>
        </m:f>
      </m:oMath>
      <w:r>
        <w:rPr>
          <w:rFonts w:hint="default" w:ascii="Times New Roman" w:hAnsi="Times New Roman" w:cs="Times New Roman"/>
        </w:rPr>
        <w:instrText xml:space="preserve"> </w:instrText>
      </w:r>
      <w:r>
        <w:rPr>
          <w:rFonts w:hint="default" w:ascii="Times New Roman" w:hAnsi="Times New Roman" w:cs="Times New Roman"/>
        </w:rPr>
        <w:fldChar w:fldCharType="end"/>
      </w:r>
      <w:r>
        <w:rPr>
          <w:rFonts w:hint="default" w:ascii="Times New Roman" w:hAnsi="Times New Roman" w:cs="Times New Roman"/>
        </w:rPr>
        <w:drawing>
          <wp:inline distT="0" distB="0" distL="0" distR="0">
            <wp:extent cx="1600200" cy="4267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00200" cy="426720"/>
                    </a:xfrm>
                    <a:prstGeom prst="rect">
                      <a:avLst/>
                    </a:prstGeom>
                    <a:noFill/>
                    <a:ln>
                      <a:noFill/>
                    </a:ln>
                  </pic:spPr>
                </pic:pic>
              </a:graphicData>
            </a:graphic>
          </wp:inline>
        </w:drawing>
      </w:r>
    </w:p>
    <w:p w14:paraId="00F3448C">
      <w:pPr>
        <w:pStyle w:val="4"/>
        <w:rPr>
          <w:rFonts w:hint="default" w:ascii="Times New Roman" w:hAnsi="Times New Roman" w:cs="Times New Roman"/>
        </w:rPr>
      </w:pPr>
      <w:r>
        <w:rPr>
          <w:rFonts w:hint="default" w:ascii="Times New Roman" w:hAnsi="Times New Roman" w:cs="Times New Roman"/>
        </w:rPr>
        <w:t>指标计算</w:t>
      </w:r>
    </w:p>
    <w:p w14:paraId="2E740B87">
      <w:pPr>
        <w:ind w:firstLine="480"/>
        <w:rPr>
          <w:rFonts w:hint="default" w:ascii="Times New Roman" w:hAnsi="Times New Roman" w:cs="Times New Roman"/>
        </w:rPr>
      </w:pPr>
      <w:r>
        <w:rPr>
          <w:rFonts w:hint="default" w:ascii="Times New Roman" w:hAnsi="Times New Roman" w:cs="Times New Roman"/>
        </w:rPr>
        <w:t>（1）水土流失治理度</w:t>
      </w:r>
    </w:p>
    <w:p w14:paraId="00239B20">
      <w:pPr>
        <w:ind w:firstLine="480"/>
        <w:rPr>
          <w:rFonts w:hint="default" w:ascii="Times New Roman" w:hAnsi="Times New Roman" w:cs="Times New Roman"/>
        </w:rPr>
      </w:pPr>
      <w:r>
        <w:rPr>
          <w:rFonts w:hint="default" w:ascii="Times New Roman" w:hAnsi="Times New Roman" w:cs="Times New Roman"/>
        </w:rPr>
        <w:t>水土流失总治理度为项目建设区内水土流失治理达标面积占水土流失总面积的百分比。项目建设扰动区水土流失面积为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，方案对可能造成水土流失的不同防治区的都做了针对性的水土保持措施，结合主体已设计的水土保持措施，项目区水土流失治理达标面积</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，使本工程水土流失总治理度达到99.9%。具体分析见表7-14。</w:t>
      </w:r>
    </w:p>
    <w:p w14:paraId="167D85CC">
      <w:pPr>
        <w:pStyle w:val="83"/>
        <w:jc w:val="left"/>
        <w:rPr>
          <w:rFonts w:hint="default" w:ascii="Times New Roman" w:hAnsi="Times New Roman" w:eastAsia="仿宋_GB2312" w:cs="Times New Roman"/>
          <w:b/>
          <w:bCs w:val="0"/>
        </w:rPr>
      </w:pPr>
      <w:bookmarkStart w:id="110" w:name="_Ref59472588"/>
      <w:r>
        <w:rPr>
          <w:rFonts w:hint="default" w:ascii="Times New Roman" w:hAnsi="Times New Roman" w:eastAsia="仿宋_GB2312" w:cs="Times New Roman"/>
          <w:b/>
          <w:bCs w:val="0"/>
        </w:rPr>
        <w:t xml:space="preserve">表 </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7</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bookmarkEnd w:id="110"/>
      <w:r>
        <w:rPr>
          <w:rFonts w:hint="default" w:ascii="Times New Roman" w:hAnsi="Times New Roman" w:eastAsia="仿宋_GB2312" w:cs="Times New Roman"/>
          <w:b/>
          <w:bCs w:val="0"/>
        </w:rPr>
        <w:t>14                        水土流失治理度分析结果</w:t>
      </w:r>
    </w:p>
    <w:tbl>
      <w:tblPr>
        <w:tblStyle w:val="27"/>
        <w:tblW w:w="938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50"/>
        <w:gridCol w:w="1270"/>
        <w:gridCol w:w="1638"/>
        <w:gridCol w:w="1743"/>
        <w:gridCol w:w="1257"/>
        <w:gridCol w:w="1136"/>
        <w:gridCol w:w="901"/>
        <w:gridCol w:w="785"/>
      </w:tblGrid>
      <w:tr w14:paraId="3C7E5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tblHeader/>
          <w:jc w:val="center"/>
        </w:trPr>
        <w:tc>
          <w:tcPr>
            <w:tcW w:w="650" w:type="dxa"/>
            <w:vMerge w:val="restart"/>
            <w:tcBorders>
              <w:tl2br w:val="nil"/>
              <w:tr2bl w:val="nil"/>
            </w:tcBorders>
            <w:shd w:val="clear" w:color="auto" w:fill="auto"/>
            <w:noWrap/>
            <w:vAlign w:val="center"/>
          </w:tcPr>
          <w:p w14:paraId="4F099B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270" w:type="dxa"/>
            <w:vMerge w:val="restart"/>
            <w:tcBorders>
              <w:tl2br w:val="nil"/>
              <w:tr2bl w:val="nil"/>
            </w:tcBorders>
            <w:shd w:val="clear" w:color="auto" w:fill="auto"/>
            <w:noWrap/>
            <w:vAlign w:val="center"/>
          </w:tcPr>
          <w:p w14:paraId="374EB7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5774" w:type="dxa"/>
            <w:gridSpan w:val="4"/>
            <w:tcBorders>
              <w:tl2br w:val="nil"/>
              <w:tr2bl w:val="nil"/>
            </w:tcBorders>
            <w:shd w:val="clear" w:color="auto" w:fill="auto"/>
            <w:vAlign w:val="center"/>
          </w:tcPr>
          <w:p w14:paraId="16B5B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水土流失治理达标面积(m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901" w:type="dxa"/>
            <w:vMerge w:val="restart"/>
            <w:tcBorders>
              <w:tl2br w:val="nil"/>
              <w:tr2bl w:val="nil"/>
            </w:tcBorders>
            <w:shd w:val="clear" w:color="auto" w:fill="auto"/>
            <w:vAlign w:val="center"/>
          </w:tcPr>
          <w:p w14:paraId="6BE60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水土流失总面积(m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785" w:type="dxa"/>
            <w:vMerge w:val="restart"/>
            <w:tcBorders>
              <w:tl2br w:val="nil"/>
              <w:tr2bl w:val="nil"/>
            </w:tcBorders>
            <w:shd w:val="clear" w:color="auto" w:fill="auto"/>
            <w:vAlign w:val="center"/>
          </w:tcPr>
          <w:p w14:paraId="3FDFB6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水土流失治理度(%)</w:t>
            </w:r>
          </w:p>
        </w:tc>
      </w:tr>
      <w:tr w14:paraId="16E77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tblHeader/>
          <w:jc w:val="center"/>
        </w:trPr>
        <w:tc>
          <w:tcPr>
            <w:tcW w:w="650" w:type="dxa"/>
            <w:vMerge w:val="continue"/>
            <w:tcBorders>
              <w:tl2br w:val="nil"/>
              <w:tr2bl w:val="nil"/>
            </w:tcBorders>
            <w:shd w:val="clear" w:color="auto" w:fill="auto"/>
            <w:noWrap/>
            <w:vAlign w:val="center"/>
          </w:tcPr>
          <w:p w14:paraId="44F559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vMerge w:val="continue"/>
            <w:tcBorders>
              <w:tl2br w:val="nil"/>
              <w:tr2bl w:val="nil"/>
            </w:tcBorders>
            <w:shd w:val="clear" w:color="auto" w:fill="auto"/>
            <w:noWrap/>
            <w:vAlign w:val="center"/>
          </w:tcPr>
          <w:p w14:paraId="231E87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38" w:type="dxa"/>
            <w:tcBorders>
              <w:tl2br w:val="nil"/>
              <w:tr2bl w:val="nil"/>
            </w:tcBorders>
            <w:shd w:val="clear" w:color="auto" w:fill="auto"/>
            <w:vAlign w:val="center"/>
          </w:tcPr>
          <w:p w14:paraId="69BBDB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①水土保持措施面积</w:t>
            </w:r>
          </w:p>
        </w:tc>
        <w:tc>
          <w:tcPr>
            <w:tcW w:w="1743" w:type="dxa"/>
            <w:tcBorders>
              <w:tl2br w:val="nil"/>
              <w:tr2bl w:val="nil"/>
            </w:tcBorders>
            <w:shd w:val="clear" w:color="auto" w:fill="auto"/>
            <w:vAlign w:val="center"/>
          </w:tcPr>
          <w:p w14:paraId="06C2B2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②永久建筑物面积</w:t>
            </w:r>
          </w:p>
        </w:tc>
        <w:tc>
          <w:tcPr>
            <w:tcW w:w="1257" w:type="dxa"/>
            <w:tcBorders>
              <w:tl2br w:val="nil"/>
              <w:tr2bl w:val="nil"/>
            </w:tcBorders>
            <w:shd w:val="clear" w:color="auto" w:fill="auto"/>
            <w:vAlign w:val="center"/>
          </w:tcPr>
          <w:p w14:paraId="5DD60B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③道路、硬化面积</w:t>
            </w:r>
          </w:p>
        </w:tc>
        <w:tc>
          <w:tcPr>
            <w:tcW w:w="1136" w:type="dxa"/>
            <w:tcBorders>
              <w:tl2br w:val="nil"/>
              <w:tr2bl w:val="nil"/>
            </w:tcBorders>
            <w:shd w:val="clear" w:color="auto" w:fill="auto"/>
            <w:vAlign w:val="center"/>
          </w:tcPr>
          <w:p w14:paraId="5D21F3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结果=(①+②+③)</w:t>
            </w:r>
          </w:p>
        </w:tc>
        <w:tc>
          <w:tcPr>
            <w:tcW w:w="901" w:type="dxa"/>
            <w:vMerge w:val="continue"/>
            <w:tcBorders>
              <w:tl2br w:val="nil"/>
              <w:tr2bl w:val="nil"/>
            </w:tcBorders>
            <w:shd w:val="clear" w:color="auto" w:fill="auto"/>
            <w:vAlign w:val="center"/>
          </w:tcPr>
          <w:p w14:paraId="72AB2D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785" w:type="dxa"/>
            <w:vMerge w:val="continue"/>
            <w:tcBorders>
              <w:tl2br w:val="nil"/>
              <w:tr2bl w:val="nil"/>
            </w:tcBorders>
            <w:shd w:val="clear" w:color="auto" w:fill="auto"/>
            <w:vAlign w:val="center"/>
          </w:tcPr>
          <w:p w14:paraId="654C92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51B9B1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50" w:type="dxa"/>
            <w:vMerge w:val="restart"/>
            <w:tcBorders>
              <w:tl2br w:val="nil"/>
              <w:tr2bl w:val="nil"/>
            </w:tcBorders>
            <w:shd w:val="clear" w:color="auto" w:fill="auto"/>
            <w:noWrap/>
            <w:vAlign w:val="center"/>
          </w:tcPr>
          <w:p w14:paraId="7D4A16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270" w:type="dxa"/>
            <w:tcBorders>
              <w:tl2br w:val="nil"/>
              <w:tr2bl w:val="nil"/>
            </w:tcBorders>
            <w:shd w:val="clear" w:color="auto" w:fill="auto"/>
            <w:noWrap/>
            <w:vAlign w:val="center"/>
          </w:tcPr>
          <w:p w14:paraId="71098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638" w:type="dxa"/>
            <w:tcBorders>
              <w:tl2br w:val="nil"/>
              <w:tr2bl w:val="nil"/>
            </w:tcBorders>
            <w:shd w:val="clear" w:color="auto" w:fill="auto"/>
            <w:noWrap/>
            <w:vAlign w:val="center"/>
          </w:tcPr>
          <w:p w14:paraId="5EB7B3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43" w:type="dxa"/>
            <w:tcBorders>
              <w:tl2br w:val="nil"/>
              <w:tr2bl w:val="nil"/>
            </w:tcBorders>
            <w:shd w:val="clear" w:color="auto" w:fill="auto"/>
            <w:noWrap/>
            <w:vAlign w:val="center"/>
          </w:tcPr>
          <w:p w14:paraId="519E49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1257" w:type="dxa"/>
            <w:tcBorders>
              <w:tl2br w:val="nil"/>
              <w:tr2bl w:val="nil"/>
            </w:tcBorders>
            <w:shd w:val="clear" w:color="auto" w:fill="auto"/>
            <w:noWrap/>
            <w:vAlign w:val="center"/>
          </w:tcPr>
          <w:p w14:paraId="58DAB4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136" w:type="dxa"/>
            <w:tcBorders>
              <w:tl2br w:val="nil"/>
              <w:tr2bl w:val="nil"/>
            </w:tcBorders>
            <w:shd w:val="clear" w:color="auto" w:fill="auto"/>
            <w:noWrap/>
            <w:vAlign w:val="center"/>
          </w:tcPr>
          <w:p w14:paraId="0615A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901" w:type="dxa"/>
            <w:tcBorders>
              <w:tl2br w:val="nil"/>
              <w:tr2bl w:val="nil"/>
            </w:tcBorders>
            <w:shd w:val="clear" w:color="auto" w:fill="auto"/>
            <w:noWrap/>
            <w:vAlign w:val="center"/>
          </w:tcPr>
          <w:p w14:paraId="621DD8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785" w:type="dxa"/>
            <w:tcBorders>
              <w:tl2br w:val="nil"/>
              <w:tr2bl w:val="nil"/>
            </w:tcBorders>
            <w:shd w:val="clear" w:color="auto" w:fill="auto"/>
            <w:vAlign w:val="center"/>
          </w:tcPr>
          <w:p w14:paraId="2A1412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34BF77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50" w:type="dxa"/>
            <w:vMerge w:val="continue"/>
            <w:tcBorders>
              <w:tl2br w:val="nil"/>
              <w:tr2bl w:val="nil"/>
            </w:tcBorders>
            <w:shd w:val="clear" w:color="auto" w:fill="auto"/>
            <w:noWrap/>
            <w:vAlign w:val="center"/>
          </w:tcPr>
          <w:p w14:paraId="7220C5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tcBorders>
              <w:tl2br w:val="nil"/>
              <w:tr2bl w:val="nil"/>
            </w:tcBorders>
            <w:shd w:val="clear" w:color="auto" w:fill="auto"/>
            <w:noWrap/>
            <w:vAlign w:val="center"/>
          </w:tcPr>
          <w:p w14:paraId="499AC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638" w:type="dxa"/>
            <w:tcBorders>
              <w:tl2br w:val="nil"/>
              <w:tr2bl w:val="nil"/>
            </w:tcBorders>
            <w:shd w:val="clear" w:color="auto" w:fill="auto"/>
            <w:noWrap/>
            <w:vAlign w:val="center"/>
          </w:tcPr>
          <w:p w14:paraId="2C693B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43" w:type="dxa"/>
            <w:tcBorders>
              <w:tl2br w:val="nil"/>
              <w:tr2bl w:val="nil"/>
            </w:tcBorders>
            <w:shd w:val="clear" w:color="auto" w:fill="auto"/>
            <w:noWrap/>
            <w:vAlign w:val="center"/>
          </w:tcPr>
          <w:p w14:paraId="005007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7" w:type="dxa"/>
            <w:tcBorders>
              <w:tl2br w:val="nil"/>
              <w:tr2bl w:val="nil"/>
            </w:tcBorders>
            <w:shd w:val="clear" w:color="auto" w:fill="auto"/>
            <w:noWrap/>
            <w:vAlign w:val="center"/>
          </w:tcPr>
          <w:p w14:paraId="6F4FD6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1136" w:type="dxa"/>
            <w:tcBorders>
              <w:tl2br w:val="nil"/>
              <w:tr2bl w:val="nil"/>
            </w:tcBorders>
            <w:shd w:val="clear" w:color="auto" w:fill="auto"/>
            <w:noWrap/>
            <w:vAlign w:val="center"/>
          </w:tcPr>
          <w:p w14:paraId="2C3ADD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901" w:type="dxa"/>
            <w:tcBorders>
              <w:tl2br w:val="nil"/>
              <w:tr2bl w:val="nil"/>
            </w:tcBorders>
            <w:shd w:val="clear" w:color="auto" w:fill="auto"/>
            <w:noWrap/>
            <w:vAlign w:val="center"/>
          </w:tcPr>
          <w:p w14:paraId="6A2434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785" w:type="dxa"/>
            <w:tcBorders>
              <w:tl2br w:val="nil"/>
              <w:tr2bl w:val="nil"/>
            </w:tcBorders>
            <w:shd w:val="clear" w:color="auto" w:fill="auto"/>
            <w:vAlign w:val="center"/>
          </w:tcPr>
          <w:p w14:paraId="7C7C3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55E9B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50" w:type="dxa"/>
            <w:vMerge w:val="continue"/>
            <w:tcBorders>
              <w:tl2br w:val="nil"/>
              <w:tr2bl w:val="nil"/>
            </w:tcBorders>
            <w:shd w:val="clear" w:color="auto" w:fill="auto"/>
            <w:noWrap/>
            <w:vAlign w:val="center"/>
          </w:tcPr>
          <w:p w14:paraId="3D8A6E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tcBorders>
              <w:tl2br w:val="nil"/>
              <w:tr2bl w:val="nil"/>
            </w:tcBorders>
            <w:shd w:val="clear" w:color="auto" w:fill="auto"/>
            <w:noWrap/>
            <w:vAlign w:val="center"/>
          </w:tcPr>
          <w:p w14:paraId="744EA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638" w:type="dxa"/>
            <w:tcBorders>
              <w:tl2br w:val="nil"/>
              <w:tr2bl w:val="nil"/>
            </w:tcBorders>
            <w:shd w:val="clear" w:color="auto" w:fill="auto"/>
            <w:noWrap/>
            <w:vAlign w:val="center"/>
          </w:tcPr>
          <w:p w14:paraId="7008E2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1743" w:type="dxa"/>
            <w:tcBorders>
              <w:tl2br w:val="nil"/>
              <w:tr2bl w:val="nil"/>
            </w:tcBorders>
            <w:shd w:val="clear" w:color="auto" w:fill="auto"/>
            <w:noWrap/>
            <w:vAlign w:val="center"/>
          </w:tcPr>
          <w:p w14:paraId="237C5D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7" w:type="dxa"/>
            <w:tcBorders>
              <w:tl2br w:val="nil"/>
              <w:tr2bl w:val="nil"/>
            </w:tcBorders>
            <w:shd w:val="clear" w:color="auto" w:fill="auto"/>
            <w:noWrap/>
            <w:vAlign w:val="center"/>
          </w:tcPr>
          <w:p w14:paraId="37B738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136" w:type="dxa"/>
            <w:tcBorders>
              <w:tl2br w:val="nil"/>
              <w:tr2bl w:val="nil"/>
            </w:tcBorders>
            <w:shd w:val="clear" w:color="auto" w:fill="auto"/>
            <w:noWrap/>
            <w:vAlign w:val="center"/>
          </w:tcPr>
          <w:p w14:paraId="4EB36C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901" w:type="dxa"/>
            <w:tcBorders>
              <w:tl2br w:val="nil"/>
              <w:tr2bl w:val="nil"/>
            </w:tcBorders>
            <w:shd w:val="clear" w:color="auto" w:fill="auto"/>
            <w:noWrap/>
            <w:vAlign w:val="center"/>
          </w:tcPr>
          <w:p w14:paraId="3628F2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785" w:type="dxa"/>
            <w:tcBorders>
              <w:tl2br w:val="nil"/>
              <w:tr2bl w:val="nil"/>
            </w:tcBorders>
            <w:shd w:val="clear" w:color="auto" w:fill="auto"/>
            <w:vAlign w:val="center"/>
          </w:tcPr>
          <w:p w14:paraId="6E38C9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22FD5D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50" w:type="dxa"/>
            <w:vMerge w:val="continue"/>
            <w:tcBorders>
              <w:tl2br w:val="nil"/>
              <w:tr2bl w:val="nil"/>
            </w:tcBorders>
            <w:shd w:val="clear" w:color="auto" w:fill="auto"/>
            <w:noWrap/>
            <w:vAlign w:val="center"/>
          </w:tcPr>
          <w:p w14:paraId="296814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tcBorders>
              <w:tl2br w:val="nil"/>
              <w:tr2bl w:val="nil"/>
            </w:tcBorders>
            <w:shd w:val="clear" w:color="auto" w:fill="auto"/>
            <w:noWrap/>
            <w:vAlign w:val="center"/>
          </w:tcPr>
          <w:p w14:paraId="73F7E4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638" w:type="dxa"/>
            <w:tcBorders>
              <w:tl2br w:val="nil"/>
              <w:tr2bl w:val="nil"/>
            </w:tcBorders>
            <w:shd w:val="clear" w:color="auto" w:fill="auto"/>
            <w:noWrap/>
            <w:vAlign w:val="center"/>
          </w:tcPr>
          <w:p w14:paraId="217F9F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1743" w:type="dxa"/>
            <w:tcBorders>
              <w:tl2br w:val="nil"/>
              <w:tr2bl w:val="nil"/>
            </w:tcBorders>
            <w:shd w:val="clear" w:color="auto" w:fill="auto"/>
            <w:noWrap/>
            <w:vAlign w:val="center"/>
          </w:tcPr>
          <w:p w14:paraId="6D2C3D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1257" w:type="dxa"/>
            <w:tcBorders>
              <w:tl2br w:val="nil"/>
              <w:tr2bl w:val="nil"/>
            </w:tcBorders>
            <w:shd w:val="clear" w:color="auto" w:fill="auto"/>
            <w:noWrap/>
            <w:vAlign w:val="center"/>
          </w:tcPr>
          <w:p w14:paraId="73ED5C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1136" w:type="dxa"/>
            <w:tcBorders>
              <w:tl2br w:val="nil"/>
              <w:tr2bl w:val="nil"/>
            </w:tcBorders>
            <w:shd w:val="clear" w:color="auto" w:fill="auto"/>
            <w:noWrap/>
            <w:vAlign w:val="center"/>
          </w:tcPr>
          <w:p w14:paraId="2A76A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0.60 </w:t>
            </w:r>
          </w:p>
        </w:tc>
        <w:tc>
          <w:tcPr>
            <w:tcW w:w="901" w:type="dxa"/>
            <w:tcBorders>
              <w:tl2br w:val="nil"/>
              <w:tr2bl w:val="nil"/>
            </w:tcBorders>
            <w:shd w:val="clear" w:color="auto" w:fill="auto"/>
            <w:noWrap/>
            <w:vAlign w:val="center"/>
          </w:tcPr>
          <w:p w14:paraId="743026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0.60 </w:t>
            </w:r>
          </w:p>
        </w:tc>
        <w:tc>
          <w:tcPr>
            <w:tcW w:w="785" w:type="dxa"/>
            <w:tcBorders>
              <w:tl2br w:val="nil"/>
              <w:tr2bl w:val="nil"/>
            </w:tcBorders>
            <w:shd w:val="clear" w:color="auto" w:fill="auto"/>
            <w:vAlign w:val="center"/>
          </w:tcPr>
          <w:p w14:paraId="34096B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7C5635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50" w:type="dxa"/>
            <w:vMerge w:val="restart"/>
            <w:tcBorders>
              <w:tl2br w:val="nil"/>
              <w:tr2bl w:val="nil"/>
            </w:tcBorders>
            <w:shd w:val="clear" w:color="auto" w:fill="auto"/>
            <w:noWrap/>
            <w:vAlign w:val="center"/>
          </w:tcPr>
          <w:p w14:paraId="451791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270" w:type="dxa"/>
            <w:tcBorders>
              <w:tl2br w:val="nil"/>
              <w:tr2bl w:val="nil"/>
            </w:tcBorders>
            <w:shd w:val="clear" w:color="auto" w:fill="auto"/>
            <w:noWrap/>
            <w:vAlign w:val="center"/>
          </w:tcPr>
          <w:p w14:paraId="64FA8B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1638" w:type="dxa"/>
            <w:tcBorders>
              <w:tl2br w:val="nil"/>
              <w:tr2bl w:val="nil"/>
            </w:tcBorders>
            <w:shd w:val="clear" w:color="auto" w:fill="auto"/>
            <w:noWrap/>
            <w:vAlign w:val="center"/>
          </w:tcPr>
          <w:p w14:paraId="2DB8E8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43" w:type="dxa"/>
            <w:tcBorders>
              <w:tl2br w:val="nil"/>
              <w:tr2bl w:val="nil"/>
            </w:tcBorders>
            <w:shd w:val="clear" w:color="auto" w:fill="auto"/>
            <w:noWrap/>
            <w:vAlign w:val="center"/>
          </w:tcPr>
          <w:p w14:paraId="737A9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1257" w:type="dxa"/>
            <w:tcBorders>
              <w:tl2br w:val="nil"/>
              <w:tr2bl w:val="nil"/>
            </w:tcBorders>
            <w:shd w:val="clear" w:color="auto" w:fill="auto"/>
            <w:noWrap/>
            <w:vAlign w:val="center"/>
          </w:tcPr>
          <w:p w14:paraId="004811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136" w:type="dxa"/>
            <w:tcBorders>
              <w:tl2br w:val="nil"/>
              <w:tr2bl w:val="nil"/>
            </w:tcBorders>
            <w:shd w:val="clear" w:color="auto" w:fill="auto"/>
            <w:noWrap/>
            <w:vAlign w:val="center"/>
          </w:tcPr>
          <w:p w14:paraId="47B057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901" w:type="dxa"/>
            <w:tcBorders>
              <w:tl2br w:val="nil"/>
              <w:tr2bl w:val="nil"/>
            </w:tcBorders>
            <w:shd w:val="clear" w:color="auto" w:fill="auto"/>
            <w:noWrap/>
            <w:vAlign w:val="center"/>
          </w:tcPr>
          <w:p w14:paraId="57F72C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785" w:type="dxa"/>
            <w:tcBorders>
              <w:tl2br w:val="nil"/>
              <w:tr2bl w:val="nil"/>
            </w:tcBorders>
            <w:shd w:val="clear" w:color="auto" w:fill="auto"/>
            <w:vAlign w:val="center"/>
          </w:tcPr>
          <w:p w14:paraId="7C1260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384D85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50" w:type="dxa"/>
            <w:vMerge w:val="continue"/>
            <w:tcBorders>
              <w:tl2br w:val="nil"/>
              <w:tr2bl w:val="nil"/>
            </w:tcBorders>
            <w:shd w:val="clear" w:color="auto" w:fill="auto"/>
            <w:noWrap/>
            <w:vAlign w:val="center"/>
          </w:tcPr>
          <w:p w14:paraId="000F02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tcBorders>
              <w:tl2br w:val="nil"/>
              <w:tr2bl w:val="nil"/>
            </w:tcBorders>
            <w:shd w:val="clear" w:color="auto" w:fill="auto"/>
            <w:noWrap/>
            <w:vAlign w:val="center"/>
          </w:tcPr>
          <w:p w14:paraId="06D19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1638" w:type="dxa"/>
            <w:tcBorders>
              <w:tl2br w:val="nil"/>
              <w:tr2bl w:val="nil"/>
            </w:tcBorders>
            <w:shd w:val="clear" w:color="auto" w:fill="auto"/>
            <w:noWrap/>
            <w:vAlign w:val="center"/>
          </w:tcPr>
          <w:p w14:paraId="5FC001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743" w:type="dxa"/>
            <w:tcBorders>
              <w:tl2br w:val="nil"/>
              <w:tr2bl w:val="nil"/>
            </w:tcBorders>
            <w:shd w:val="clear" w:color="auto" w:fill="auto"/>
            <w:noWrap/>
            <w:vAlign w:val="center"/>
          </w:tcPr>
          <w:p w14:paraId="3891AE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7" w:type="dxa"/>
            <w:tcBorders>
              <w:tl2br w:val="nil"/>
              <w:tr2bl w:val="nil"/>
            </w:tcBorders>
            <w:shd w:val="clear" w:color="auto" w:fill="auto"/>
            <w:noWrap/>
            <w:vAlign w:val="center"/>
          </w:tcPr>
          <w:p w14:paraId="10BA0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1136" w:type="dxa"/>
            <w:tcBorders>
              <w:tl2br w:val="nil"/>
              <w:tr2bl w:val="nil"/>
            </w:tcBorders>
            <w:shd w:val="clear" w:color="auto" w:fill="auto"/>
            <w:noWrap/>
            <w:vAlign w:val="center"/>
          </w:tcPr>
          <w:p w14:paraId="131BE8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901" w:type="dxa"/>
            <w:tcBorders>
              <w:tl2br w:val="nil"/>
              <w:tr2bl w:val="nil"/>
            </w:tcBorders>
            <w:shd w:val="clear" w:color="auto" w:fill="auto"/>
            <w:noWrap/>
            <w:vAlign w:val="center"/>
          </w:tcPr>
          <w:p w14:paraId="3E13E4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785" w:type="dxa"/>
            <w:tcBorders>
              <w:tl2br w:val="nil"/>
              <w:tr2bl w:val="nil"/>
            </w:tcBorders>
            <w:shd w:val="clear" w:color="auto" w:fill="auto"/>
            <w:vAlign w:val="center"/>
          </w:tcPr>
          <w:p w14:paraId="6F603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204ADE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50" w:type="dxa"/>
            <w:vMerge w:val="continue"/>
            <w:tcBorders>
              <w:tl2br w:val="nil"/>
              <w:tr2bl w:val="nil"/>
            </w:tcBorders>
            <w:shd w:val="clear" w:color="auto" w:fill="auto"/>
            <w:noWrap/>
            <w:vAlign w:val="center"/>
          </w:tcPr>
          <w:p w14:paraId="4C1F04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tcBorders>
              <w:tl2br w:val="nil"/>
              <w:tr2bl w:val="nil"/>
            </w:tcBorders>
            <w:shd w:val="clear" w:color="auto" w:fill="auto"/>
            <w:noWrap/>
            <w:vAlign w:val="center"/>
          </w:tcPr>
          <w:p w14:paraId="3DFF3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1638" w:type="dxa"/>
            <w:tcBorders>
              <w:tl2br w:val="nil"/>
              <w:tr2bl w:val="nil"/>
            </w:tcBorders>
            <w:shd w:val="clear" w:color="auto" w:fill="auto"/>
            <w:noWrap/>
            <w:vAlign w:val="center"/>
          </w:tcPr>
          <w:p w14:paraId="0235AC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1743" w:type="dxa"/>
            <w:tcBorders>
              <w:tl2br w:val="nil"/>
              <w:tr2bl w:val="nil"/>
            </w:tcBorders>
            <w:shd w:val="clear" w:color="auto" w:fill="auto"/>
            <w:noWrap/>
            <w:vAlign w:val="center"/>
          </w:tcPr>
          <w:p w14:paraId="468891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57" w:type="dxa"/>
            <w:tcBorders>
              <w:tl2br w:val="nil"/>
              <w:tr2bl w:val="nil"/>
            </w:tcBorders>
            <w:shd w:val="clear" w:color="auto" w:fill="auto"/>
            <w:noWrap/>
            <w:vAlign w:val="center"/>
          </w:tcPr>
          <w:p w14:paraId="19397F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136" w:type="dxa"/>
            <w:tcBorders>
              <w:tl2br w:val="nil"/>
              <w:tr2bl w:val="nil"/>
            </w:tcBorders>
            <w:shd w:val="clear" w:color="auto" w:fill="auto"/>
            <w:noWrap/>
            <w:vAlign w:val="center"/>
          </w:tcPr>
          <w:p w14:paraId="2C125C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901" w:type="dxa"/>
            <w:tcBorders>
              <w:tl2br w:val="nil"/>
              <w:tr2bl w:val="nil"/>
            </w:tcBorders>
            <w:shd w:val="clear" w:color="auto" w:fill="auto"/>
            <w:noWrap/>
            <w:vAlign w:val="center"/>
          </w:tcPr>
          <w:p w14:paraId="1C1055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785" w:type="dxa"/>
            <w:tcBorders>
              <w:tl2br w:val="nil"/>
              <w:tr2bl w:val="nil"/>
            </w:tcBorders>
            <w:shd w:val="clear" w:color="auto" w:fill="auto"/>
            <w:vAlign w:val="center"/>
          </w:tcPr>
          <w:p w14:paraId="479650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464FBA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27" w:hRule="atLeast"/>
          <w:jc w:val="center"/>
        </w:trPr>
        <w:tc>
          <w:tcPr>
            <w:tcW w:w="650" w:type="dxa"/>
            <w:vMerge w:val="continue"/>
            <w:tcBorders>
              <w:tl2br w:val="nil"/>
              <w:tr2bl w:val="nil"/>
            </w:tcBorders>
            <w:shd w:val="clear" w:color="auto" w:fill="auto"/>
            <w:noWrap/>
            <w:vAlign w:val="center"/>
          </w:tcPr>
          <w:p w14:paraId="5A1880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70" w:type="dxa"/>
            <w:tcBorders>
              <w:tl2br w:val="nil"/>
              <w:tr2bl w:val="nil"/>
            </w:tcBorders>
            <w:shd w:val="clear" w:color="auto" w:fill="auto"/>
            <w:noWrap/>
            <w:vAlign w:val="center"/>
          </w:tcPr>
          <w:p w14:paraId="1E46DF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1638" w:type="dxa"/>
            <w:tcBorders>
              <w:tl2br w:val="nil"/>
              <w:tr2bl w:val="nil"/>
            </w:tcBorders>
            <w:shd w:val="clear" w:color="auto" w:fill="auto"/>
            <w:noWrap/>
            <w:vAlign w:val="center"/>
          </w:tcPr>
          <w:p w14:paraId="7863C7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1743" w:type="dxa"/>
            <w:tcBorders>
              <w:tl2br w:val="nil"/>
              <w:tr2bl w:val="nil"/>
            </w:tcBorders>
            <w:shd w:val="clear" w:color="auto" w:fill="auto"/>
            <w:noWrap/>
            <w:vAlign w:val="center"/>
          </w:tcPr>
          <w:p w14:paraId="7691A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1257" w:type="dxa"/>
            <w:tcBorders>
              <w:tl2br w:val="nil"/>
              <w:tr2bl w:val="nil"/>
            </w:tcBorders>
            <w:shd w:val="clear" w:color="auto" w:fill="auto"/>
            <w:noWrap/>
            <w:vAlign w:val="center"/>
          </w:tcPr>
          <w:p w14:paraId="01404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1136" w:type="dxa"/>
            <w:tcBorders>
              <w:tl2br w:val="nil"/>
              <w:tr2bl w:val="nil"/>
            </w:tcBorders>
            <w:shd w:val="clear" w:color="auto" w:fill="auto"/>
            <w:noWrap/>
            <w:vAlign w:val="center"/>
          </w:tcPr>
          <w:p w14:paraId="3D282A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0.91 </w:t>
            </w:r>
          </w:p>
        </w:tc>
        <w:tc>
          <w:tcPr>
            <w:tcW w:w="901" w:type="dxa"/>
            <w:tcBorders>
              <w:tl2br w:val="nil"/>
              <w:tr2bl w:val="nil"/>
            </w:tcBorders>
            <w:shd w:val="clear" w:color="auto" w:fill="auto"/>
            <w:noWrap/>
            <w:vAlign w:val="center"/>
          </w:tcPr>
          <w:p w14:paraId="77F31D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0.91 </w:t>
            </w:r>
          </w:p>
        </w:tc>
        <w:tc>
          <w:tcPr>
            <w:tcW w:w="785" w:type="dxa"/>
            <w:tcBorders>
              <w:tl2br w:val="nil"/>
              <w:tr2bl w:val="nil"/>
            </w:tcBorders>
            <w:shd w:val="clear" w:color="auto" w:fill="auto"/>
            <w:vAlign w:val="center"/>
          </w:tcPr>
          <w:p w14:paraId="55576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r w14:paraId="15B622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1920" w:type="dxa"/>
            <w:gridSpan w:val="2"/>
            <w:tcBorders>
              <w:tl2br w:val="nil"/>
              <w:tr2bl w:val="nil"/>
            </w:tcBorders>
            <w:shd w:val="clear" w:color="auto" w:fill="auto"/>
            <w:noWrap/>
            <w:vAlign w:val="center"/>
          </w:tcPr>
          <w:p w14:paraId="584B0F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1638" w:type="dxa"/>
            <w:tcBorders>
              <w:tl2br w:val="nil"/>
              <w:tr2bl w:val="nil"/>
            </w:tcBorders>
            <w:shd w:val="clear" w:color="auto" w:fill="auto"/>
            <w:noWrap/>
            <w:vAlign w:val="center"/>
          </w:tcPr>
          <w:p w14:paraId="545B78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0.23 </w:t>
            </w:r>
          </w:p>
        </w:tc>
        <w:tc>
          <w:tcPr>
            <w:tcW w:w="1743" w:type="dxa"/>
            <w:tcBorders>
              <w:tl2br w:val="nil"/>
              <w:tr2bl w:val="nil"/>
            </w:tcBorders>
            <w:shd w:val="clear" w:color="auto" w:fill="auto"/>
            <w:noWrap/>
            <w:vAlign w:val="center"/>
          </w:tcPr>
          <w:p w14:paraId="318CA7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0.87 </w:t>
            </w:r>
          </w:p>
        </w:tc>
        <w:tc>
          <w:tcPr>
            <w:tcW w:w="1257" w:type="dxa"/>
            <w:tcBorders>
              <w:tl2br w:val="nil"/>
              <w:tr2bl w:val="nil"/>
            </w:tcBorders>
            <w:shd w:val="clear" w:color="auto" w:fill="auto"/>
            <w:noWrap/>
            <w:vAlign w:val="center"/>
          </w:tcPr>
          <w:p w14:paraId="7DE44C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0.41 </w:t>
            </w:r>
          </w:p>
        </w:tc>
        <w:tc>
          <w:tcPr>
            <w:tcW w:w="1136" w:type="dxa"/>
            <w:tcBorders>
              <w:tl2br w:val="nil"/>
              <w:tr2bl w:val="nil"/>
            </w:tcBorders>
            <w:shd w:val="clear" w:color="auto" w:fill="auto"/>
            <w:noWrap/>
            <w:vAlign w:val="center"/>
          </w:tcPr>
          <w:p w14:paraId="7F5B7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c>
          <w:tcPr>
            <w:tcW w:w="901" w:type="dxa"/>
            <w:tcBorders>
              <w:tl2br w:val="nil"/>
              <w:tr2bl w:val="nil"/>
            </w:tcBorders>
            <w:shd w:val="clear" w:color="auto" w:fill="auto"/>
            <w:noWrap/>
            <w:vAlign w:val="center"/>
          </w:tcPr>
          <w:p w14:paraId="0E879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c>
          <w:tcPr>
            <w:tcW w:w="785" w:type="dxa"/>
            <w:tcBorders>
              <w:tl2br w:val="nil"/>
              <w:tr2bl w:val="nil"/>
            </w:tcBorders>
            <w:shd w:val="clear" w:color="auto" w:fill="auto"/>
            <w:vAlign w:val="center"/>
          </w:tcPr>
          <w:p w14:paraId="37FE8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99.9 </w:t>
            </w:r>
          </w:p>
        </w:tc>
      </w:tr>
    </w:tbl>
    <w:p w14:paraId="08B6E7B8">
      <w:pPr>
        <w:widowControl w:val="0"/>
        <w:topLinePunct/>
        <w:spacing w:line="0" w:lineRule="atLeast"/>
        <w:ind w:firstLine="420"/>
        <w:rPr>
          <w:rFonts w:hint="default" w:ascii="Times New Roman" w:hAnsi="Times New Roman" w:cs="Times New Roman"/>
          <w:sz w:val="21"/>
          <w:szCs w:val="21"/>
        </w:rPr>
      </w:pPr>
      <w:r>
        <w:rPr>
          <w:rFonts w:hint="default" w:ascii="Times New Roman" w:hAnsi="Times New Roman" w:cs="Times New Roman"/>
          <w:sz w:val="21"/>
          <w:szCs w:val="21"/>
        </w:rPr>
        <w:t>注：考虑全部水土流失总面积的治理，由于实际工作中的制约因素，各区域水土流失治理度不以100%计。</w:t>
      </w:r>
    </w:p>
    <w:p w14:paraId="0F65767E">
      <w:pPr>
        <w:ind w:firstLine="480"/>
        <w:rPr>
          <w:rFonts w:hint="default" w:ascii="Times New Roman" w:hAnsi="Times New Roman" w:cs="Times New Roman"/>
        </w:rPr>
      </w:pPr>
      <w:r>
        <w:rPr>
          <w:rFonts w:hint="default" w:ascii="Times New Roman" w:hAnsi="Times New Roman" w:cs="Times New Roman"/>
        </w:rPr>
        <w:t>（2）土壤流失控制比</w:t>
      </w:r>
    </w:p>
    <w:p w14:paraId="5882FA39">
      <w:pPr>
        <w:ind w:firstLine="480"/>
        <w:rPr>
          <w:rFonts w:hint="default" w:ascii="Times New Roman" w:hAnsi="Times New Roman" w:cs="Times New Roman"/>
        </w:rPr>
      </w:pPr>
      <w:r>
        <w:rPr>
          <w:rFonts w:hint="default" w:ascii="Times New Roman" w:hAnsi="Times New Roman" w:cs="Times New Roman"/>
        </w:rPr>
        <w:t>土壤流失控制比为项目水土流失防治责任范围内容许土壤流失量与治理后平均土壤流失量之比，通过采取一系列的水土保持措施，防治责任范围内的平均土壤流失量将可降到3</w:t>
      </w:r>
      <w:r>
        <w:rPr>
          <w:rFonts w:hint="eastAsia" w:cs="Times New Roman"/>
          <w:lang w:val="en-US" w:eastAsia="zh-CN"/>
        </w:rPr>
        <w:t>30.46</w:t>
      </w:r>
      <w:r>
        <w:rPr>
          <w:rFonts w:hint="default" w:ascii="Times New Roman" w:hAnsi="Times New Roman" w:cs="Times New Roman"/>
        </w:rPr>
        <w:t>t/（km</w:t>
      </w:r>
      <w:r>
        <w:rPr>
          <w:rFonts w:hint="default" w:ascii="Times New Roman" w:hAnsi="Times New Roman" w:cs="Times New Roman"/>
          <w:vertAlign w:val="superscript"/>
        </w:rPr>
        <w:t>2</w:t>
      </w:r>
      <w:r>
        <w:rPr>
          <w:rFonts w:hint="default" w:ascii="Times New Roman" w:hAnsi="Times New Roman" w:cs="Times New Roman"/>
        </w:rPr>
        <w:t>·a），项目区容许土壤流失量500t/（km</w:t>
      </w:r>
      <w:r>
        <w:rPr>
          <w:rFonts w:hint="default" w:ascii="Times New Roman" w:hAnsi="Times New Roman" w:cs="Times New Roman"/>
          <w:vertAlign w:val="superscript"/>
        </w:rPr>
        <w:t>2</w:t>
      </w:r>
      <w:r>
        <w:rPr>
          <w:rFonts w:hint="default" w:ascii="Times New Roman" w:hAnsi="Times New Roman" w:cs="Times New Roman"/>
        </w:rPr>
        <w:t>·a），其土壤流失控制比将达到1.</w:t>
      </w:r>
      <w:r>
        <w:rPr>
          <w:rFonts w:hint="eastAsia" w:cs="Times New Roman"/>
          <w:lang w:val="en-US" w:eastAsia="zh-CN"/>
        </w:rPr>
        <w:t>51</w:t>
      </w:r>
      <w:r>
        <w:rPr>
          <w:rFonts w:hint="default" w:ascii="Times New Roman" w:hAnsi="Times New Roman" w:cs="Times New Roman"/>
        </w:rPr>
        <w:t>。</w:t>
      </w:r>
    </w:p>
    <w:p w14:paraId="25624262">
      <w:pPr>
        <w:pStyle w:val="83"/>
        <w:jc w:val="left"/>
        <w:rPr>
          <w:rFonts w:hint="default" w:ascii="Times New Roman" w:hAnsi="Times New Roman" w:eastAsia="仿宋_GB2312" w:cs="Times New Roman"/>
          <w:b/>
          <w:bCs w:val="0"/>
          <w:vertAlign w:val="superscript"/>
        </w:rPr>
      </w:pPr>
      <w:r>
        <w:rPr>
          <w:rFonts w:hint="default" w:ascii="Times New Roman" w:hAnsi="Times New Roman" w:eastAsia="仿宋_GB2312" w:cs="Times New Roman"/>
          <w:b/>
          <w:bCs w:val="0"/>
        </w:rPr>
        <w:t xml:space="preserve">表 </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7</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SEQ 表 \* ARABIC \s 1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15</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t xml:space="preserve">                   </w:t>
      </w:r>
      <w:r>
        <w:rPr>
          <w:rFonts w:hint="default" w:ascii="Times New Roman" w:hAnsi="Times New Roman" w:eastAsia="仿宋_GB2312" w:cs="Times New Roman"/>
          <w:b/>
          <w:bCs w:val="0"/>
        </w:rPr>
        <w:tab/>
      </w:r>
      <w:r>
        <w:rPr>
          <w:rFonts w:hint="default" w:ascii="Times New Roman" w:hAnsi="Times New Roman" w:eastAsia="仿宋_GB2312" w:cs="Times New Roman"/>
          <w:b/>
          <w:bCs w:val="0"/>
        </w:rPr>
        <w:t xml:space="preserve">土壤流失控制比分析表                 </w:t>
      </w:r>
      <w:r>
        <w:rPr>
          <w:rFonts w:hint="default" w:ascii="Times New Roman" w:hAnsi="Times New Roman" w:eastAsia="仿宋_GB2312" w:cs="Times New Roman"/>
          <w:b/>
          <w:bCs w:val="0"/>
        </w:rPr>
        <w:tab/>
      </w:r>
      <w:r>
        <w:rPr>
          <w:rFonts w:hint="default" w:ascii="Times New Roman" w:hAnsi="Times New Roman" w:eastAsia="仿宋_GB2312" w:cs="Times New Roman"/>
          <w:b/>
          <w:bCs w:val="0"/>
        </w:rPr>
        <w:t>单位：hm</w:t>
      </w:r>
      <w:r>
        <w:rPr>
          <w:rFonts w:hint="default" w:ascii="Times New Roman" w:hAnsi="Times New Roman" w:eastAsia="仿宋_GB2312" w:cs="Times New Roman"/>
          <w:b/>
          <w:bCs w:val="0"/>
          <w:vertAlign w:val="superscript"/>
        </w:rPr>
        <w:t>2</w:t>
      </w:r>
    </w:p>
    <w:tbl>
      <w:tblPr>
        <w:tblStyle w:val="27"/>
        <w:tblW w:w="956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46"/>
        <w:gridCol w:w="1515"/>
        <w:gridCol w:w="2106"/>
        <w:gridCol w:w="2239"/>
        <w:gridCol w:w="1627"/>
        <w:gridCol w:w="1233"/>
      </w:tblGrid>
      <w:tr w14:paraId="5E55F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tcBorders>
              <w:tl2br w:val="nil"/>
              <w:tr2bl w:val="nil"/>
            </w:tcBorders>
            <w:shd w:val="clear" w:color="auto" w:fill="auto"/>
            <w:noWrap/>
            <w:vAlign w:val="center"/>
          </w:tcPr>
          <w:p w14:paraId="20CC17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w:t>
            </w:r>
          </w:p>
        </w:tc>
        <w:tc>
          <w:tcPr>
            <w:tcW w:w="1515" w:type="dxa"/>
            <w:tcBorders>
              <w:tl2br w:val="nil"/>
              <w:tr2bl w:val="nil"/>
            </w:tcBorders>
            <w:shd w:val="clear" w:color="auto" w:fill="auto"/>
            <w:noWrap/>
            <w:vAlign w:val="center"/>
          </w:tcPr>
          <w:p w14:paraId="15B06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防治分区</w:t>
            </w:r>
          </w:p>
        </w:tc>
        <w:tc>
          <w:tcPr>
            <w:tcW w:w="2106" w:type="dxa"/>
            <w:tcBorders>
              <w:tl2br w:val="nil"/>
              <w:tr2bl w:val="nil"/>
            </w:tcBorders>
            <w:shd w:val="clear" w:color="auto" w:fill="auto"/>
            <w:vAlign w:val="center"/>
          </w:tcPr>
          <w:p w14:paraId="64D01E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预测面积(m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w:t>
            </w:r>
          </w:p>
        </w:tc>
        <w:tc>
          <w:tcPr>
            <w:tcW w:w="2239" w:type="dxa"/>
            <w:tcBorders>
              <w:tl2br w:val="nil"/>
              <w:tr2bl w:val="nil"/>
            </w:tcBorders>
            <w:shd w:val="clear" w:color="auto" w:fill="auto"/>
            <w:vAlign w:val="center"/>
          </w:tcPr>
          <w:p w14:paraId="78E9EF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实施措施后土壤侵蚀模数〔t/(km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·a)〕</w:t>
            </w:r>
          </w:p>
        </w:tc>
        <w:tc>
          <w:tcPr>
            <w:tcW w:w="1627" w:type="dxa"/>
            <w:tcBorders>
              <w:tl2br w:val="nil"/>
              <w:tr2bl w:val="nil"/>
            </w:tcBorders>
            <w:shd w:val="clear" w:color="auto" w:fill="auto"/>
            <w:vAlign w:val="center"/>
          </w:tcPr>
          <w:p w14:paraId="06EE2B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实施措施后土壤平均侵蚀模数〔t/(km</w:t>
            </w:r>
            <w:r>
              <w:rPr>
                <w:rFonts w:hint="default" w:ascii="Times New Roman" w:hAnsi="Times New Roman" w:eastAsia="仿宋_GB2312" w:cs="Times New Roman"/>
                <w:i w:val="0"/>
                <w:iCs w:val="0"/>
                <w:color w:val="000000"/>
                <w:kern w:val="0"/>
                <w:sz w:val="21"/>
                <w:szCs w:val="21"/>
                <w:u w:val="none"/>
                <w:vertAlign w:val="superscript"/>
                <w:lang w:val="en-US" w:eastAsia="zh-CN" w:bidi="ar"/>
              </w:rPr>
              <w:t>2</w:t>
            </w:r>
            <w:r>
              <w:rPr>
                <w:rFonts w:hint="default" w:ascii="Times New Roman" w:hAnsi="Times New Roman" w:eastAsia="仿宋_GB2312" w:cs="Times New Roman"/>
                <w:i w:val="0"/>
                <w:iCs w:val="0"/>
                <w:color w:val="000000"/>
                <w:kern w:val="0"/>
                <w:sz w:val="21"/>
                <w:szCs w:val="21"/>
                <w:u w:val="none"/>
                <w:lang w:val="en-US" w:eastAsia="zh-CN" w:bidi="ar"/>
              </w:rPr>
              <w:t>·a)〕</w:t>
            </w:r>
          </w:p>
        </w:tc>
        <w:tc>
          <w:tcPr>
            <w:tcW w:w="1233" w:type="dxa"/>
            <w:tcBorders>
              <w:tl2br w:val="nil"/>
              <w:tr2bl w:val="nil"/>
            </w:tcBorders>
            <w:shd w:val="clear" w:color="auto" w:fill="auto"/>
            <w:vAlign w:val="center"/>
          </w:tcPr>
          <w:p w14:paraId="39301D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控制比</w:t>
            </w:r>
          </w:p>
        </w:tc>
      </w:tr>
      <w:tr w14:paraId="12E76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restart"/>
            <w:tcBorders>
              <w:tl2br w:val="nil"/>
              <w:tr2bl w:val="nil"/>
            </w:tcBorders>
            <w:shd w:val="clear" w:color="auto" w:fill="auto"/>
            <w:noWrap/>
            <w:vAlign w:val="center"/>
          </w:tcPr>
          <w:p w14:paraId="505E5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地块一</w:t>
            </w:r>
          </w:p>
        </w:tc>
        <w:tc>
          <w:tcPr>
            <w:tcW w:w="1515" w:type="dxa"/>
            <w:tcBorders>
              <w:tl2br w:val="nil"/>
              <w:tr2bl w:val="nil"/>
            </w:tcBorders>
            <w:shd w:val="clear" w:color="auto" w:fill="auto"/>
            <w:noWrap/>
            <w:vAlign w:val="center"/>
          </w:tcPr>
          <w:p w14:paraId="4C9FC5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106" w:type="dxa"/>
            <w:tcBorders>
              <w:tl2br w:val="nil"/>
              <w:tr2bl w:val="nil"/>
            </w:tcBorders>
            <w:shd w:val="clear" w:color="auto" w:fill="auto"/>
            <w:vAlign w:val="center"/>
          </w:tcPr>
          <w:p w14:paraId="37DD19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0.30 </w:t>
            </w:r>
          </w:p>
        </w:tc>
        <w:tc>
          <w:tcPr>
            <w:tcW w:w="2239" w:type="dxa"/>
            <w:tcBorders>
              <w:tl2br w:val="nil"/>
              <w:tr2bl w:val="nil"/>
            </w:tcBorders>
            <w:shd w:val="clear" w:color="auto" w:fill="auto"/>
            <w:vAlign w:val="center"/>
          </w:tcPr>
          <w:p w14:paraId="70B5A4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1627" w:type="dxa"/>
            <w:vMerge w:val="restart"/>
            <w:tcBorders>
              <w:tl2br w:val="nil"/>
              <w:tr2bl w:val="nil"/>
            </w:tcBorders>
            <w:shd w:val="clear" w:color="auto" w:fill="auto"/>
            <w:vAlign w:val="center"/>
          </w:tcPr>
          <w:p w14:paraId="3A22BA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330.00 </w:t>
            </w:r>
          </w:p>
        </w:tc>
        <w:tc>
          <w:tcPr>
            <w:tcW w:w="1233" w:type="dxa"/>
            <w:vMerge w:val="restart"/>
            <w:tcBorders>
              <w:tl2br w:val="nil"/>
              <w:tr2bl w:val="nil"/>
            </w:tcBorders>
            <w:shd w:val="clear" w:color="auto" w:fill="auto"/>
            <w:vAlign w:val="center"/>
          </w:tcPr>
          <w:p w14:paraId="67C52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1.52 </w:t>
            </w:r>
          </w:p>
        </w:tc>
      </w:tr>
      <w:tr w14:paraId="69B2C1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763CE3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5" w:type="dxa"/>
            <w:tcBorders>
              <w:tl2br w:val="nil"/>
              <w:tr2bl w:val="nil"/>
            </w:tcBorders>
            <w:shd w:val="clear" w:color="auto" w:fill="auto"/>
            <w:noWrap/>
            <w:vAlign w:val="center"/>
          </w:tcPr>
          <w:p w14:paraId="459F47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106" w:type="dxa"/>
            <w:tcBorders>
              <w:tl2br w:val="nil"/>
              <w:tr2bl w:val="nil"/>
            </w:tcBorders>
            <w:shd w:val="clear" w:color="auto" w:fill="auto"/>
            <w:vAlign w:val="center"/>
          </w:tcPr>
          <w:p w14:paraId="5EDBE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0.21 </w:t>
            </w:r>
          </w:p>
        </w:tc>
        <w:tc>
          <w:tcPr>
            <w:tcW w:w="2239" w:type="dxa"/>
            <w:tcBorders>
              <w:tl2br w:val="nil"/>
              <w:tr2bl w:val="nil"/>
            </w:tcBorders>
            <w:shd w:val="clear" w:color="auto" w:fill="auto"/>
            <w:vAlign w:val="center"/>
          </w:tcPr>
          <w:p w14:paraId="2E83D8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1627" w:type="dxa"/>
            <w:vMerge w:val="continue"/>
            <w:tcBorders>
              <w:tl2br w:val="nil"/>
              <w:tr2bl w:val="nil"/>
            </w:tcBorders>
            <w:shd w:val="clear" w:color="auto" w:fill="auto"/>
            <w:vAlign w:val="center"/>
          </w:tcPr>
          <w:p w14:paraId="6CD90D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3" w:type="dxa"/>
            <w:vMerge w:val="continue"/>
            <w:tcBorders>
              <w:tl2br w:val="nil"/>
              <w:tr2bl w:val="nil"/>
            </w:tcBorders>
            <w:shd w:val="clear" w:color="auto" w:fill="auto"/>
            <w:vAlign w:val="center"/>
          </w:tcPr>
          <w:p w14:paraId="4E4E75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20E288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3C5433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5" w:type="dxa"/>
            <w:tcBorders>
              <w:tl2br w:val="nil"/>
              <w:tr2bl w:val="nil"/>
            </w:tcBorders>
            <w:shd w:val="clear" w:color="auto" w:fill="auto"/>
            <w:noWrap/>
            <w:vAlign w:val="center"/>
          </w:tcPr>
          <w:p w14:paraId="68B597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106" w:type="dxa"/>
            <w:tcBorders>
              <w:tl2br w:val="nil"/>
              <w:tr2bl w:val="nil"/>
            </w:tcBorders>
            <w:shd w:val="clear" w:color="auto" w:fill="auto"/>
            <w:vAlign w:val="center"/>
          </w:tcPr>
          <w:p w14:paraId="6A88BF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0.09 </w:t>
            </w:r>
          </w:p>
        </w:tc>
        <w:tc>
          <w:tcPr>
            <w:tcW w:w="2239" w:type="dxa"/>
            <w:tcBorders>
              <w:tl2br w:val="nil"/>
              <w:tr2bl w:val="nil"/>
            </w:tcBorders>
            <w:shd w:val="clear" w:color="auto" w:fill="auto"/>
            <w:vAlign w:val="center"/>
          </w:tcPr>
          <w:p w14:paraId="6A253B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1627" w:type="dxa"/>
            <w:vMerge w:val="continue"/>
            <w:tcBorders>
              <w:tl2br w:val="nil"/>
              <w:tr2bl w:val="nil"/>
            </w:tcBorders>
            <w:shd w:val="clear" w:color="auto" w:fill="auto"/>
            <w:vAlign w:val="center"/>
          </w:tcPr>
          <w:p w14:paraId="6F510F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3" w:type="dxa"/>
            <w:vMerge w:val="continue"/>
            <w:tcBorders>
              <w:tl2br w:val="nil"/>
              <w:tr2bl w:val="nil"/>
            </w:tcBorders>
            <w:shd w:val="clear" w:color="auto" w:fill="auto"/>
            <w:vAlign w:val="center"/>
          </w:tcPr>
          <w:p w14:paraId="6833C4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0E7D95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76BB3A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5" w:type="dxa"/>
            <w:tcBorders>
              <w:tl2br w:val="nil"/>
              <w:tr2bl w:val="nil"/>
            </w:tcBorders>
            <w:shd w:val="clear" w:color="auto" w:fill="auto"/>
            <w:noWrap/>
            <w:vAlign w:val="center"/>
          </w:tcPr>
          <w:p w14:paraId="3637EC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106" w:type="dxa"/>
            <w:tcBorders>
              <w:tl2br w:val="nil"/>
              <w:tr2bl w:val="nil"/>
            </w:tcBorders>
            <w:shd w:val="clear" w:color="auto" w:fill="auto"/>
            <w:vAlign w:val="center"/>
          </w:tcPr>
          <w:p w14:paraId="558A20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0.60 </w:t>
            </w:r>
          </w:p>
        </w:tc>
        <w:tc>
          <w:tcPr>
            <w:tcW w:w="2239" w:type="dxa"/>
            <w:tcBorders>
              <w:tl2br w:val="nil"/>
              <w:tr2bl w:val="nil"/>
            </w:tcBorders>
            <w:shd w:val="clear" w:color="auto" w:fill="auto"/>
            <w:vAlign w:val="center"/>
          </w:tcPr>
          <w:p w14:paraId="0BB974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27" w:type="dxa"/>
            <w:tcBorders>
              <w:tl2br w:val="nil"/>
              <w:tr2bl w:val="nil"/>
            </w:tcBorders>
            <w:shd w:val="clear" w:color="auto" w:fill="auto"/>
            <w:vAlign w:val="center"/>
          </w:tcPr>
          <w:p w14:paraId="7598B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330.00 </w:t>
            </w:r>
          </w:p>
        </w:tc>
        <w:tc>
          <w:tcPr>
            <w:tcW w:w="1233" w:type="dxa"/>
            <w:tcBorders>
              <w:tl2br w:val="nil"/>
              <w:tr2bl w:val="nil"/>
            </w:tcBorders>
            <w:shd w:val="clear" w:color="auto" w:fill="auto"/>
            <w:vAlign w:val="center"/>
          </w:tcPr>
          <w:p w14:paraId="5FFD93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1.52 </w:t>
            </w:r>
          </w:p>
        </w:tc>
      </w:tr>
      <w:tr w14:paraId="1EFC36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restart"/>
            <w:tcBorders>
              <w:tl2br w:val="nil"/>
              <w:tr2bl w:val="nil"/>
            </w:tcBorders>
            <w:shd w:val="clear" w:color="auto" w:fill="auto"/>
            <w:noWrap/>
            <w:vAlign w:val="center"/>
          </w:tcPr>
          <w:p w14:paraId="1571AB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地块二</w:t>
            </w:r>
          </w:p>
        </w:tc>
        <w:tc>
          <w:tcPr>
            <w:tcW w:w="1515" w:type="dxa"/>
            <w:tcBorders>
              <w:tl2br w:val="nil"/>
              <w:tr2bl w:val="nil"/>
            </w:tcBorders>
            <w:shd w:val="clear" w:color="auto" w:fill="auto"/>
            <w:noWrap/>
            <w:vAlign w:val="center"/>
          </w:tcPr>
          <w:p w14:paraId="631783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建构筑物区</w:t>
            </w:r>
          </w:p>
        </w:tc>
        <w:tc>
          <w:tcPr>
            <w:tcW w:w="2106" w:type="dxa"/>
            <w:tcBorders>
              <w:tl2br w:val="nil"/>
              <w:tr2bl w:val="nil"/>
            </w:tcBorders>
            <w:shd w:val="clear" w:color="auto" w:fill="auto"/>
            <w:vAlign w:val="center"/>
          </w:tcPr>
          <w:p w14:paraId="2959B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0.57 </w:t>
            </w:r>
          </w:p>
        </w:tc>
        <w:tc>
          <w:tcPr>
            <w:tcW w:w="2239" w:type="dxa"/>
            <w:tcBorders>
              <w:tl2br w:val="nil"/>
              <w:tr2bl w:val="nil"/>
            </w:tcBorders>
            <w:shd w:val="clear" w:color="auto" w:fill="auto"/>
            <w:vAlign w:val="center"/>
          </w:tcPr>
          <w:p w14:paraId="7C5513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1627" w:type="dxa"/>
            <w:vMerge w:val="restart"/>
            <w:tcBorders>
              <w:tl2br w:val="nil"/>
              <w:tr2bl w:val="nil"/>
            </w:tcBorders>
            <w:shd w:val="clear" w:color="auto" w:fill="auto"/>
            <w:vAlign w:val="center"/>
          </w:tcPr>
          <w:p w14:paraId="095A58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330.77 </w:t>
            </w:r>
          </w:p>
        </w:tc>
        <w:tc>
          <w:tcPr>
            <w:tcW w:w="1233" w:type="dxa"/>
            <w:vMerge w:val="restart"/>
            <w:tcBorders>
              <w:tl2br w:val="nil"/>
              <w:tr2bl w:val="nil"/>
            </w:tcBorders>
            <w:shd w:val="clear" w:color="auto" w:fill="auto"/>
            <w:vAlign w:val="center"/>
          </w:tcPr>
          <w:p w14:paraId="7C4D3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r>
      <w:tr w14:paraId="5EF9F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36E484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5" w:type="dxa"/>
            <w:tcBorders>
              <w:tl2br w:val="nil"/>
              <w:tr2bl w:val="nil"/>
            </w:tcBorders>
            <w:shd w:val="clear" w:color="auto" w:fill="auto"/>
            <w:noWrap/>
            <w:vAlign w:val="center"/>
          </w:tcPr>
          <w:p w14:paraId="7C3F52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道路及硬化区</w:t>
            </w:r>
          </w:p>
        </w:tc>
        <w:tc>
          <w:tcPr>
            <w:tcW w:w="2106" w:type="dxa"/>
            <w:tcBorders>
              <w:tl2br w:val="nil"/>
              <w:tr2bl w:val="nil"/>
            </w:tcBorders>
            <w:shd w:val="clear" w:color="auto" w:fill="auto"/>
            <w:vAlign w:val="center"/>
          </w:tcPr>
          <w:p w14:paraId="479D12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0.20 </w:t>
            </w:r>
          </w:p>
        </w:tc>
        <w:tc>
          <w:tcPr>
            <w:tcW w:w="2239" w:type="dxa"/>
            <w:tcBorders>
              <w:tl2br w:val="nil"/>
              <w:tr2bl w:val="nil"/>
            </w:tcBorders>
            <w:shd w:val="clear" w:color="auto" w:fill="auto"/>
            <w:vAlign w:val="center"/>
          </w:tcPr>
          <w:p w14:paraId="61B847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300</w:t>
            </w:r>
          </w:p>
        </w:tc>
        <w:tc>
          <w:tcPr>
            <w:tcW w:w="1627" w:type="dxa"/>
            <w:vMerge w:val="continue"/>
            <w:tcBorders>
              <w:tl2br w:val="nil"/>
              <w:tr2bl w:val="nil"/>
            </w:tcBorders>
            <w:shd w:val="clear" w:color="auto" w:fill="auto"/>
            <w:vAlign w:val="center"/>
          </w:tcPr>
          <w:p w14:paraId="488155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3" w:type="dxa"/>
            <w:vMerge w:val="continue"/>
            <w:tcBorders>
              <w:tl2br w:val="nil"/>
              <w:tr2bl w:val="nil"/>
            </w:tcBorders>
            <w:shd w:val="clear" w:color="auto" w:fill="auto"/>
            <w:vAlign w:val="center"/>
          </w:tcPr>
          <w:p w14:paraId="2977CC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3B2C80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6B97DE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5" w:type="dxa"/>
            <w:tcBorders>
              <w:tl2br w:val="nil"/>
              <w:tr2bl w:val="nil"/>
            </w:tcBorders>
            <w:shd w:val="clear" w:color="auto" w:fill="auto"/>
            <w:noWrap/>
            <w:vAlign w:val="center"/>
          </w:tcPr>
          <w:p w14:paraId="3A7671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绿化区</w:t>
            </w:r>
          </w:p>
        </w:tc>
        <w:tc>
          <w:tcPr>
            <w:tcW w:w="2106" w:type="dxa"/>
            <w:tcBorders>
              <w:tl2br w:val="nil"/>
              <w:tr2bl w:val="nil"/>
            </w:tcBorders>
            <w:shd w:val="clear" w:color="auto" w:fill="auto"/>
            <w:vAlign w:val="center"/>
          </w:tcPr>
          <w:p w14:paraId="3A7653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0.14 </w:t>
            </w:r>
          </w:p>
        </w:tc>
        <w:tc>
          <w:tcPr>
            <w:tcW w:w="2239" w:type="dxa"/>
            <w:tcBorders>
              <w:tl2br w:val="nil"/>
              <w:tr2bl w:val="nil"/>
            </w:tcBorders>
            <w:shd w:val="clear" w:color="auto" w:fill="auto"/>
            <w:vAlign w:val="center"/>
          </w:tcPr>
          <w:p w14:paraId="1A6FF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500</w:t>
            </w:r>
          </w:p>
        </w:tc>
        <w:tc>
          <w:tcPr>
            <w:tcW w:w="1627" w:type="dxa"/>
            <w:vMerge w:val="continue"/>
            <w:tcBorders>
              <w:tl2br w:val="nil"/>
              <w:tr2bl w:val="nil"/>
            </w:tcBorders>
            <w:shd w:val="clear" w:color="auto" w:fill="auto"/>
            <w:vAlign w:val="center"/>
          </w:tcPr>
          <w:p w14:paraId="73CD67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233" w:type="dxa"/>
            <w:vMerge w:val="continue"/>
            <w:tcBorders>
              <w:tl2br w:val="nil"/>
              <w:tr2bl w:val="nil"/>
            </w:tcBorders>
            <w:shd w:val="clear" w:color="auto" w:fill="auto"/>
            <w:vAlign w:val="center"/>
          </w:tcPr>
          <w:p w14:paraId="27609E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r>
      <w:tr w14:paraId="1F6238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46" w:type="dxa"/>
            <w:vMerge w:val="continue"/>
            <w:tcBorders>
              <w:tl2br w:val="nil"/>
              <w:tr2bl w:val="nil"/>
            </w:tcBorders>
            <w:shd w:val="clear" w:color="auto" w:fill="auto"/>
            <w:noWrap/>
            <w:vAlign w:val="center"/>
          </w:tcPr>
          <w:p w14:paraId="1F7F14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515" w:type="dxa"/>
            <w:tcBorders>
              <w:tl2br w:val="nil"/>
              <w:tr2bl w:val="nil"/>
            </w:tcBorders>
            <w:shd w:val="clear" w:color="auto" w:fill="auto"/>
            <w:noWrap/>
            <w:vAlign w:val="center"/>
          </w:tcPr>
          <w:p w14:paraId="2DD9FD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小计</w:t>
            </w:r>
          </w:p>
        </w:tc>
        <w:tc>
          <w:tcPr>
            <w:tcW w:w="2106" w:type="dxa"/>
            <w:tcBorders>
              <w:tl2br w:val="nil"/>
              <w:tr2bl w:val="nil"/>
            </w:tcBorders>
            <w:shd w:val="clear" w:color="auto" w:fill="auto"/>
            <w:vAlign w:val="center"/>
          </w:tcPr>
          <w:p w14:paraId="125B24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0.91 </w:t>
            </w:r>
          </w:p>
        </w:tc>
        <w:tc>
          <w:tcPr>
            <w:tcW w:w="2239" w:type="dxa"/>
            <w:tcBorders>
              <w:tl2br w:val="nil"/>
              <w:tr2bl w:val="nil"/>
            </w:tcBorders>
            <w:shd w:val="clear" w:color="auto" w:fill="auto"/>
            <w:vAlign w:val="center"/>
          </w:tcPr>
          <w:p w14:paraId="5D4FE7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27" w:type="dxa"/>
            <w:tcBorders>
              <w:tl2br w:val="nil"/>
              <w:tr2bl w:val="nil"/>
            </w:tcBorders>
            <w:shd w:val="clear" w:color="auto" w:fill="auto"/>
            <w:vAlign w:val="center"/>
          </w:tcPr>
          <w:p w14:paraId="5B053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330.77 </w:t>
            </w:r>
          </w:p>
        </w:tc>
        <w:tc>
          <w:tcPr>
            <w:tcW w:w="1233" w:type="dxa"/>
            <w:tcBorders>
              <w:tl2br w:val="nil"/>
              <w:tr2bl w:val="nil"/>
            </w:tcBorders>
            <w:shd w:val="clear" w:color="auto" w:fill="auto"/>
            <w:vAlign w:val="center"/>
          </w:tcPr>
          <w:p w14:paraId="521C7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r>
      <w:tr w14:paraId="0EA56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361" w:type="dxa"/>
            <w:gridSpan w:val="2"/>
            <w:tcBorders>
              <w:tl2br w:val="nil"/>
              <w:tr2bl w:val="nil"/>
            </w:tcBorders>
            <w:shd w:val="clear" w:color="auto" w:fill="auto"/>
            <w:noWrap/>
            <w:vAlign w:val="center"/>
          </w:tcPr>
          <w:p w14:paraId="13CAE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合计</w:t>
            </w:r>
          </w:p>
        </w:tc>
        <w:tc>
          <w:tcPr>
            <w:tcW w:w="2106" w:type="dxa"/>
            <w:tcBorders>
              <w:tl2br w:val="nil"/>
              <w:tr2bl w:val="nil"/>
            </w:tcBorders>
            <w:shd w:val="clear" w:color="auto" w:fill="auto"/>
            <w:vAlign w:val="center"/>
          </w:tcPr>
          <w:p w14:paraId="55C7BF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c>
          <w:tcPr>
            <w:tcW w:w="2239" w:type="dxa"/>
            <w:tcBorders>
              <w:tl2br w:val="nil"/>
              <w:tr2bl w:val="nil"/>
            </w:tcBorders>
            <w:shd w:val="clear" w:color="auto" w:fill="auto"/>
            <w:vAlign w:val="center"/>
          </w:tcPr>
          <w:p w14:paraId="4A1A0B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仿宋_GB2312" w:cs="Times New Roman"/>
                <w:i w:val="0"/>
                <w:iCs w:val="0"/>
                <w:color w:val="000000"/>
                <w:sz w:val="21"/>
                <w:szCs w:val="21"/>
                <w:u w:val="none"/>
              </w:rPr>
            </w:pPr>
          </w:p>
        </w:tc>
        <w:tc>
          <w:tcPr>
            <w:tcW w:w="1627" w:type="dxa"/>
            <w:tcBorders>
              <w:tl2br w:val="nil"/>
              <w:tr2bl w:val="nil"/>
            </w:tcBorders>
            <w:shd w:val="clear" w:color="auto" w:fill="auto"/>
            <w:vAlign w:val="center"/>
          </w:tcPr>
          <w:p w14:paraId="4A7A3C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330.46 </w:t>
            </w:r>
          </w:p>
        </w:tc>
        <w:tc>
          <w:tcPr>
            <w:tcW w:w="1233" w:type="dxa"/>
            <w:tcBorders>
              <w:tl2br w:val="nil"/>
              <w:tr2bl w:val="nil"/>
            </w:tcBorders>
            <w:shd w:val="clear" w:color="auto" w:fill="auto"/>
            <w:vAlign w:val="center"/>
          </w:tcPr>
          <w:p w14:paraId="1BBF40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 xml:space="preserve">1.51 </w:t>
            </w:r>
          </w:p>
        </w:tc>
      </w:tr>
    </w:tbl>
    <w:p w14:paraId="1F79F1C1">
      <w:pPr>
        <w:ind w:firstLine="480"/>
        <w:rPr>
          <w:rFonts w:hint="default" w:ascii="Times New Roman" w:hAnsi="Times New Roman" w:cs="Times New Roman"/>
        </w:rPr>
      </w:pPr>
      <w:r>
        <w:rPr>
          <w:rFonts w:hint="default" w:ascii="Times New Roman" w:hAnsi="Times New Roman" w:cs="Times New Roman"/>
        </w:rPr>
        <w:t>（3）表土保护率</w:t>
      </w:r>
    </w:p>
    <w:p w14:paraId="07BFA0F7">
      <w:pPr>
        <w:pStyle w:val="100"/>
        <w:ind w:firstLine="480"/>
        <w:rPr>
          <w:rFonts w:hint="default" w:ascii="Times New Roman" w:hAnsi="Times New Roman" w:cs="Times New Roman"/>
        </w:rPr>
      </w:pPr>
      <w:r>
        <w:rPr>
          <w:rFonts w:hint="default" w:ascii="Times New Roman" w:hAnsi="Times New Roman" w:cs="Times New Roman"/>
        </w:rPr>
        <w:t>表土保护率为项目水土流失防治责任范围内保护的表土数量占可剥离表土总量的百分比。本项目水土流失防治责任范围内保护的表土数量</w:t>
      </w:r>
      <w:r>
        <w:rPr>
          <w:rFonts w:hint="eastAsia" w:cs="Times New Roman"/>
          <w:lang w:val="en-US" w:eastAsia="zh-CN"/>
        </w:rPr>
        <w:t>1920</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，预计可剥离表土量约</w:t>
      </w:r>
      <w:r>
        <w:rPr>
          <w:rFonts w:hint="eastAsia" w:cs="Times New Roman"/>
          <w:lang w:val="en-US" w:eastAsia="zh-CN"/>
        </w:rPr>
        <w:t>1920</w:t>
      </w:r>
      <w:r>
        <w:rPr>
          <w:rFonts w:hint="default" w:ascii="Times New Roman" w:hAnsi="Times New Roman" w:cs="Times New Roman"/>
          <w:lang w:eastAsia="zh-CN"/>
        </w:rPr>
        <w:t>.00</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。建设单位针对表土进行了收集保护，堆存在</w:t>
      </w:r>
      <w:r>
        <w:rPr>
          <w:rFonts w:hint="eastAsia" w:cs="Times New Roman"/>
          <w:lang w:val="en-US" w:eastAsia="zh-CN"/>
        </w:rPr>
        <w:t>绿化区表土堆场</w:t>
      </w:r>
      <w:r>
        <w:rPr>
          <w:rFonts w:hint="default" w:ascii="Times New Roman" w:hAnsi="Times New Roman" w:cs="Times New Roman"/>
        </w:rPr>
        <w:t>一角保护，后期全部用于项目区绿化覆土，表土保护率99%。</w:t>
      </w:r>
    </w:p>
    <w:p w14:paraId="64E2E82B">
      <w:pPr>
        <w:ind w:firstLine="480"/>
        <w:rPr>
          <w:rFonts w:hint="default" w:ascii="Times New Roman" w:hAnsi="Times New Roman" w:cs="Times New Roman"/>
        </w:rPr>
      </w:pPr>
      <w:r>
        <w:rPr>
          <w:rFonts w:hint="default" w:ascii="Times New Roman" w:hAnsi="Times New Roman" w:cs="Times New Roman"/>
        </w:rPr>
        <w:t>（4）渣土防护率</w:t>
      </w:r>
    </w:p>
    <w:p w14:paraId="3A2B8132">
      <w:pPr>
        <w:ind w:firstLine="480"/>
        <w:rPr>
          <w:rFonts w:hint="default" w:ascii="Times New Roman" w:hAnsi="Times New Roman" w:cs="Times New Roman"/>
        </w:rPr>
      </w:pPr>
      <w:r>
        <w:rPr>
          <w:rFonts w:hint="default" w:ascii="Times New Roman" w:hAnsi="Times New Roman" w:cs="Times New Roman"/>
        </w:rPr>
        <w:t>渣土防护率为水土流失防治责任范围内采取措施实际挡护的永久弃渣、临时堆土数量占永久弃渣和临时堆土总量的百分比。</w:t>
      </w:r>
      <w:r>
        <w:rPr>
          <w:rFonts w:hint="eastAsia" w:cs="Times New Roman"/>
          <w:lang w:val="en-US" w:eastAsia="zh-CN"/>
        </w:rPr>
        <w:t>本项目未</w:t>
      </w:r>
      <w:r>
        <w:rPr>
          <w:rFonts w:hint="default" w:ascii="Times New Roman" w:hAnsi="Times New Roman" w:cs="Times New Roman"/>
        </w:rPr>
        <w:t>产生废弃土石方，</w:t>
      </w:r>
      <w:r>
        <w:rPr>
          <w:rFonts w:hint="eastAsia" w:cs="Times New Roman"/>
          <w:lang w:val="en-US" w:eastAsia="zh-CN"/>
        </w:rPr>
        <w:t>主要为</w:t>
      </w:r>
      <w:r>
        <w:rPr>
          <w:rFonts w:hint="default" w:ascii="Times New Roman" w:hAnsi="Times New Roman" w:cs="Times New Roman"/>
          <w:kern w:val="0"/>
        </w:rPr>
        <w:t>项目建设过程中临时</w:t>
      </w:r>
      <w:r>
        <w:rPr>
          <w:rFonts w:hint="eastAsia" w:cs="Times New Roman"/>
          <w:kern w:val="0"/>
          <w:lang w:val="en-US" w:eastAsia="zh-CN"/>
        </w:rPr>
        <w:t>堆存的表土</w:t>
      </w:r>
      <w:r>
        <w:rPr>
          <w:rFonts w:hint="default" w:ascii="Times New Roman" w:hAnsi="Times New Roman" w:cs="Times New Roman"/>
          <w:kern w:val="0"/>
        </w:rPr>
        <w:t>堆</w:t>
      </w:r>
      <w:r>
        <w:rPr>
          <w:rFonts w:hint="eastAsia" w:cs="Times New Roman"/>
          <w:kern w:val="0"/>
          <w:lang w:val="en-US" w:eastAsia="zh-CN"/>
        </w:rPr>
        <w:t>1920</w:t>
      </w:r>
      <w:r>
        <w:rPr>
          <w:rFonts w:hint="default" w:ascii="Times New Roman" w:hAnsi="Times New Roman" w:cs="Times New Roman"/>
          <w:kern w:val="0"/>
          <w:lang w:eastAsia="zh-CN"/>
        </w:rPr>
        <w:t>.00</w:t>
      </w:r>
      <w:r>
        <w:rPr>
          <w:rFonts w:hint="default" w:ascii="Times New Roman" w:hAnsi="Times New Roman" w:cs="Times New Roman"/>
          <w:kern w:val="0"/>
        </w:rPr>
        <w:t>m</w:t>
      </w:r>
      <w:r>
        <w:rPr>
          <w:rFonts w:hint="default" w:ascii="Times New Roman" w:hAnsi="Times New Roman" w:cs="Times New Roman"/>
          <w:kern w:val="0"/>
          <w:vertAlign w:val="superscript"/>
        </w:rPr>
        <w:t>3</w:t>
      </w:r>
      <w:r>
        <w:rPr>
          <w:rFonts w:hint="default" w:ascii="Times New Roman" w:hAnsi="Times New Roman" w:cs="Times New Roman"/>
          <w:kern w:val="0"/>
        </w:rPr>
        <w:t>，实际保护</w:t>
      </w:r>
      <w:r>
        <w:rPr>
          <w:rFonts w:hint="eastAsia" w:cs="Times New Roman"/>
          <w:kern w:val="0"/>
          <w:lang w:val="en-US" w:eastAsia="zh-CN"/>
        </w:rPr>
        <w:t>1920</w:t>
      </w:r>
      <w:r>
        <w:rPr>
          <w:rFonts w:hint="default" w:ascii="Times New Roman" w:hAnsi="Times New Roman" w:cs="Times New Roman"/>
          <w:kern w:val="0"/>
          <w:lang w:eastAsia="zh-CN"/>
        </w:rPr>
        <w:t>.00</w:t>
      </w:r>
      <w:r>
        <w:rPr>
          <w:rFonts w:hint="default" w:ascii="Times New Roman" w:hAnsi="Times New Roman" w:cs="Times New Roman"/>
          <w:kern w:val="0"/>
        </w:rPr>
        <w:t>m</w:t>
      </w:r>
      <w:r>
        <w:rPr>
          <w:rFonts w:hint="default" w:ascii="Times New Roman" w:hAnsi="Times New Roman" w:cs="Times New Roman"/>
          <w:kern w:val="0"/>
          <w:vertAlign w:val="superscript"/>
        </w:rPr>
        <w:t>3</w:t>
      </w:r>
      <w:r>
        <w:rPr>
          <w:rFonts w:hint="default" w:ascii="Times New Roman" w:hAnsi="Times New Roman" w:cs="Times New Roman"/>
          <w:kern w:val="0"/>
        </w:rPr>
        <w:t>，</w:t>
      </w:r>
      <w:r>
        <w:rPr>
          <w:rFonts w:hint="default" w:ascii="Times New Roman" w:hAnsi="Times New Roman" w:cs="Times New Roman"/>
        </w:rPr>
        <w:t>渣土防护率取98%。</w:t>
      </w:r>
    </w:p>
    <w:p w14:paraId="37F85ED3">
      <w:pPr>
        <w:ind w:firstLine="480"/>
        <w:rPr>
          <w:rFonts w:hint="default" w:ascii="Times New Roman" w:hAnsi="Times New Roman" w:cs="Times New Roman"/>
        </w:rPr>
      </w:pPr>
      <w:r>
        <w:rPr>
          <w:rFonts w:hint="default" w:ascii="Times New Roman" w:hAnsi="Times New Roman" w:cs="Times New Roman"/>
        </w:rPr>
        <w:t>（5）林草植被恢复率</w:t>
      </w:r>
    </w:p>
    <w:p w14:paraId="072C1270">
      <w:pPr>
        <w:ind w:firstLine="480"/>
        <w:rPr>
          <w:rFonts w:hint="default" w:ascii="Times New Roman" w:hAnsi="Times New Roman" w:cs="Times New Roman"/>
        </w:rPr>
      </w:pPr>
      <w:r>
        <w:rPr>
          <w:rFonts w:hint="default" w:ascii="Times New Roman" w:hAnsi="Times New Roman" w:cs="Times New Roman"/>
        </w:rPr>
        <w:t>林草植被恢复率为项目水土流失防治责任范围内林草类植被面积占可恢复林草植被面积的百分比，本项目防治责任范围为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，扰动区域面积为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，可恢复林草植被面积0.</w:t>
      </w:r>
      <w:r>
        <w:rPr>
          <w:rFonts w:hint="eastAsia" w:cs="Times New Roman"/>
          <w:lang w:val="en-US" w:eastAsia="zh-CN"/>
        </w:rPr>
        <w:t>23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，林草类植被面积为0.</w:t>
      </w:r>
      <w:r>
        <w:rPr>
          <w:rFonts w:hint="eastAsia" w:cs="Times New Roman"/>
          <w:lang w:val="en-US" w:eastAsia="zh-CN"/>
        </w:rPr>
        <w:t>23</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，林草植被恢复率达99.9%。</w:t>
      </w:r>
    </w:p>
    <w:p w14:paraId="4CD69FD9">
      <w:pPr>
        <w:ind w:firstLine="480"/>
        <w:rPr>
          <w:rFonts w:hint="default" w:ascii="Times New Roman" w:hAnsi="Times New Roman" w:cs="Times New Roman"/>
        </w:rPr>
      </w:pPr>
      <w:r>
        <w:rPr>
          <w:rFonts w:hint="default" w:ascii="Times New Roman" w:hAnsi="Times New Roman" w:cs="Times New Roman"/>
        </w:rPr>
        <w:t>（6）林草覆盖率</w:t>
      </w:r>
    </w:p>
    <w:p w14:paraId="66A7CC12">
      <w:pPr>
        <w:ind w:firstLine="480"/>
        <w:rPr>
          <w:rFonts w:hint="default" w:ascii="Times New Roman" w:hAnsi="Times New Roman" w:cs="Times New Roman"/>
        </w:rPr>
      </w:pPr>
      <w:r>
        <w:rPr>
          <w:rFonts w:hint="default" w:ascii="Times New Roman" w:hAnsi="Times New Roman" w:cs="Times New Roman"/>
        </w:rPr>
        <w:t>林草覆盖率为项目水土流失防治责任范围内林草类植被面积占总面积的百分比，防治责任范围总面积为</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，工程建设扰动面积</w:t>
      </w:r>
      <w:r>
        <w:rPr>
          <w:rFonts w:hint="eastAsia" w:cs="Times New Roman"/>
          <w:lang w:val="en-US" w:eastAsia="zh-CN"/>
        </w:rPr>
        <w:t>1.51</w:t>
      </w:r>
      <w:r>
        <w:rPr>
          <w:rFonts w:hint="default" w:ascii="Times New Roman" w:hAnsi="Times New Roman" w:cs="Times New Roman"/>
        </w:rPr>
        <w:t>hm</w:t>
      </w:r>
      <w:r>
        <w:rPr>
          <w:rFonts w:hint="default" w:ascii="Times New Roman" w:hAnsi="Times New Roman" w:cs="Times New Roman"/>
          <w:vertAlign w:val="superscript"/>
        </w:rPr>
        <w:t>2</w:t>
      </w:r>
      <w:r>
        <w:rPr>
          <w:rFonts w:hint="default" w:ascii="Times New Roman" w:hAnsi="Times New Roman" w:cs="Times New Roman"/>
        </w:rPr>
        <w:t>，方案实施后，林草植被面积为0.</w:t>
      </w:r>
      <w:r>
        <w:rPr>
          <w:rFonts w:hint="eastAsia" w:cs="Times New Roman"/>
          <w:lang w:val="en-US" w:eastAsia="zh-CN"/>
        </w:rPr>
        <w:t>23</w:t>
      </w:r>
      <w:r>
        <w:rPr>
          <w:rFonts w:hint="default" w:ascii="Times New Roman" w:hAnsi="Times New Roman" w:cs="Times New Roman"/>
        </w:rPr>
        <w:t>hm</w:t>
      </w:r>
      <w:r>
        <w:rPr>
          <w:rFonts w:hint="default" w:ascii="Times New Roman" w:hAnsi="Times New Roman" w:cs="Times New Roman"/>
          <w:vertAlign w:val="superscript"/>
        </w:rPr>
        <w:t>2</w:t>
      </w:r>
      <w:r>
        <w:rPr>
          <w:rFonts w:hint="eastAsia" w:cs="Times New Roman"/>
          <w:lang w:eastAsia="zh-CN"/>
        </w:rPr>
        <w:t>，</w:t>
      </w:r>
      <w:r>
        <w:rPr>
          <w:rFonts w:hint="default" w:ascii="Times New Roman" w:hAnsi="Times New Roman" w:cs="Times New Roman"/>
        </w:rPr>
        <w:t>林草覆盖率为</w:t>
      </w:r>
      <w:r>
        <w:rPr>
          <w:rFonts w:hint="eastAsia" w:cs="Times New Roman"/>
          <w:lang w:val="en-US" w:eastAsia="zh-CN"/>
        </w:rPr>
        <w:t>15.23</w:t>
      </w:r>
      <w:r>
        <w:rPr>
          <w:rFonts w:hint="default" w:ascii="Times New Roman" w:hAnsi="Times New Roman" w:cs="Times New Roman"/>
        </w:rPr>
        <w:t>%。</w:t>
      </w:r>
    </w:p>
    <w:p w14:paraId="72966C3B">
      <w:pPr>
        <w:ind w:firstLine="480"/>
        <w:rPr>
          <w:rFonts w:hint="default" w:ascii="Times New Roman" w:hAnsi="Times New Roman" w:cs="Times New Roman"/>
        </w:rPr>
      </w:pPr>
      <w:r>
        <w:rPr>
          <w:rFonts w:hint="default" w:ascii="Times New Roman" w:hAnsi="Times New Roman" w:cs="Times New Roman"/>
        </w:rPr>
        <w:t>综上所述，本项目水土保持措施实施后，设计水平年各项指标均能达到既定目标值。各项指标达标情况见</w:t>
      </w:r>
      <w:r>
        <w:rPr>
          <w:rFonts w:hint="default" w:ascii="Times New Roman" w:hAnsi="Times New Roman" w:cs="Times New Roman"/>
        </w:rPr>
        <w:fldChar w:fldCharType="begin"/>
      </w:r>
      <w:r>
        <w:rPr>
          <w:rFonts w:hint="default" w:ascii="Times New Roman" w:hAnsi="Times New Roman" w:cs="Times New Roman"/>
        </w:rPr>
        <w:instrText xml:space="preserve"> REF _Ref59472846 \h  \* MERGEFORMAT </w:instrText>
      </w:r>
      <w:r>
        <w:rPr>
          <w:rFonts w:hint="default" w:ascii="Times New Roman" w:hAnsi="Times New Roman" w:cs="Times New Roman"/>
        </w:rPr>
        <w:fldChar w:fldCharType="separate"/>
      </w:r>
      <w:r>
        <w:rPr>
          <w:rFonts w:hint="default" w:ascii="Times New Roman" w:hAnsi="Times New Roman" w:cs="Times New Roman"/>
        </w:rPr>
        <w:t>表7</w:t>
      </w:r>
      <w:r>
        <w:rPr>
          <w:rFonts w:hint="default" w:ascii="Times New Roman" w:hAnsi="Times New Roman" w:cs="Times New Roman"/>
        </w:rPr>
        <w:noBreakHyphen/>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t>。</w:t>
      </w:r>
    </w:p>
    <w:p w14:paraId="374D821A">
      <w:pPr>
        <w:pStyle w:val="100"/>
        <w:ind w:firstLine="480"/>
        <w:rPr>
          <w:rFonts w:hint="default" w:ascii="Times New Roman" w:hAnsi="Times New Roman" w:cs="Times New Roman"/>
        </w:rPr>
      </w:pPr>
      <w:r>
        <w:rPr>
          <w:rFonts w:hint="default" w:ascii="Times New Roman" w:hAnsi="Times New Roman" w:cs="Times New Roman"/>
        </w:rPr>
        <w:t>本项目水土保持措施实施后，通过各种防治措施的有效实施，设计水平年工程占地区域内水土流失治理度达到99.9%，土壤流失控制比达1.</w:t>
      </w:r>
      <w:r>
        <w:rPr>
          <w:rFonts w:hint="eastAsia" w:cs="Times New Roman"/>
          <w:lang w:val="en-US" w:eastAsia="zh-CN"/>
        </w:rPr>
        <w:t>51</w:t>
      </w:r>
      <w:r>
        <w:rPr>
          <w:rFonts w:hint="default" w:ascii="Times New Roman" w:hAnsi="Times New Roman" w:cs="Times New Roman"/>
        </w:rPr>
        <w:t>，渣土防护率达98%，表土保护率达99%，林草植被恢复率达到99.9%，林草覆盖率为</w:t>
      </w:r>
      <w:r>
        <w:rPr>
          <w:rFonts w:hint="eastAsia" w:cs="Times New Roman"/>
          <w:lang w:val="en-US" w:eastAsia="zh-CN"/>
        </w:rPr>
        <w:t>15.23</w:t>
      </w:r>
      <w:r>
        <w:rPr>
          <w:rFonts w:hint="default" w:ascii="Times New Roman" w:hAnsi="Times New Roman" w:cs="Times New Roman"/>
        </w:rPr>
        <w:t>%。各项指标均能够达到方案拟定的目标值，水土流失得到有效防治。生态效益实现情况详见表7-18。</w:t>
      </w:r>
    </w:p>
    <w:p w14:paraId="4E61EC64">
      <w:pPr>
        <w:pStyle w:val="83"/>
        <w:jc w:val="left"/>
        <w:rPr>
          <w:rFonts w:hint="default" w:ascii="Times New Roman" w:hAnsi="Times New Roman" w:eastAsia="仿宋_GB2312" w:cs="Times New Roman"/>
          <w:b/>
          <w:bCs w:val="0"/>
        </w:rPr>
      </w:pPr>
      <w:bookmarkStart w:id="111" w:name="_Ref59472846"/>
      <w:r>
        <w:rPr>
          <w:rFonts w:hint="default" w:ascii="Times New Roman" w:hAnsi="Times New Roman" w:eastAsia="仿宋_GB2312" w:cs="Times New Roman"/>
          <w:b/>
          <w:bCs w:val="0"/>
        </w:rPr>
        <w:t xml:space="preserve">表 </w:t>
      </w:r>
      <w:r>
        <w:rPr>
          <w:rFonts w:hint="default" w:ascii="Times New Roman" w:hAnsi="Times New Roman" w:eastAsia="仿宋_GB2312" w:cs="Times New Roman"/>
          <w:b/>
          <w:bCs w:val="0"/>
        </w:rPr>
        <w:fldChar w:fldCharType="begin"/>
      </w:r>
      <w:r>
        <w:rPr>
          <w:rFonts w:hint="default" w:ascii="Times New Roman" w:hAnsi="Times New Roman" w:eastAsia="仿宋_GB2312" w:cs="Times New Roman"/>
          <w:b/>
          <w:bCs w:val="0"/>
        </w:rPr>
        <w:instrText xml:space="preserve"> STYLEREF 1 \s </w:instrText>
      </w:r>
      <w:r>
        <w:rPr>
          <w:rFonts w:hint="default" w:ascii="Times New Roman" w:hAnsi="Times New Roman" w:eastAsia="仿宋_GB2312" w:cs="Times New Roman"/>
          <w:b/>
          <w:bCs w:val="0"/>
        </w:rPr>
        <w:fldChar w:fldCharType="separate"/>
      </w:r>
      <w:r>
        <w:rPr>
          <w:rFonts w:hint="default" w:ascii="Times New Roman" w:hAnsi="Times New Roman" w:eastAsia="仿宋_GB2312" w:cs="Times New Roman"/>
          <w:b/>
          <w:bCs w:val="0"/>
        </w:rPr>
        <w:t>7</w:t>
      </w:r>
      <w:r>
        <w:rPr>
          <w:rFonts w:hint="default" w:ascii="Times New Roman" w:hAnsi="Times New Roman" w:eastAsia="仿宋_GB2312" w:cs="Times New Roman"/>
          <w:b/>
          <w:bCs w:val="0"/>
        </w:rPr>
        <w:fldChar w:fldCharType="end"/>
      </w:r>
      <w:r>
        <w:rPr>
          <w:rFonts w:hint="default" w:ascii="Times New Roman" w:hAnsi="Times New Roman" w:eastAsia="仿宋_GB2312" w:cs="Times New Roman"/>
          <w:b/>
          <w:bCs w:val="0"/>
        </w:rPr>
        <w:noBreakHyphen/>
      </w:r>
      <w:bookmarkEnd w:id="111"/>
      <w:r>
        <w:rPr>
          <w:rFonts w:hint="default" w:ascii="Times New Roman" w:hAnsi="Times New Roman" w:eastAsia="仿宋_GB2312" w:cs="Times New Roman"/>
          <w:b/>
          <w:bCs w:val="0"/>
        </w:rPr>
        <w:t>18                 水土保持方案目标值实现情况表</w:t>
      </w:r>
    </w:p>
    <w:tbl>
      <w:tblPr>
        <w:tblStyle w:val="27"/>
        <w:tblW w:w="957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90"/>
        <w:gridCol w:w="1461"/>
        <w:gridCol w:w="4395"/>
        <w:gridCol w:w="1005"/>
        <w:gridCol w:w="771"/>
        <w:gridCol w:w="871"/>
        <w:gridCol w:w="577"/>
      </w:tblGrid>
      <w:tr w14:paraId="4966C1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shd w:val="clear" w:color="auto" w:fill="auto"/>
            <w:vAlign w:val="center"/>
          </w:tcPr>
          <w:p w14:paraId="64C960E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序号</w:t>
            </w:r>
          </w:p>
        </w:tc>
        <w:tc>
          <w:tcPr>
            <w:tcW w:w="1461" w:type="dxa"/>
            <w:shd w:val="clear" w:color="auto" w:fill="auto"/>
            <w:vAlign w:val="center"/>
          </w:tcPr>
          <w:p w14:paraId="7EAB7FFF">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指标</w:t>
            </w:r>
          </w:p>
        </w:tc>
        <w:tc>
          <w:tcPr>
            <w:tcW w:w="4395" w:type="dxa"/>
            <w:shd w:val="clear" w:color="auto" w:fill="auto"/>
            <w:vAlign w:val="center"/>
          </w:tcPr>
          <w:p w14:paraId="2118DBBB">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计算式</w:t>
            </w:r>
          </w:p>
        </w:tc>
        <w:tc>
          <w:tcPr>
            <w:tcW w:w="1005" w:type="dxa"/>
            <w:shd w:val="clear" w:color="auto" w:fill="auto"/>
            <w:vAlign w:val="center"/>
          </w:tcPr>
          <w:p w14:paraId="332A59D3">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各单项指标</w:t>
            </w:r>
          </w:p>
        </w:tc>
        <w:tc>
          <w:tcPr>
            <w:tcW w:w="771" w:type="dxa"/>
            <w:shd w:val="clear" w:color="auto" w:fill="auto"/>
            <w:vAlign w:val="center"/>
          </w:tcPr>
          <w:p w14:paraId="5E28973B">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效益值</w:t>
            </w:r>
          </w:p>
        </w:tc>
        <w:tc>
          <w:tcPr>
            <w:tcW w:w="871" w:type="dxa"/>
            <w:shd w:val="clear" w:color="auto" w:fill="auto"/>
            <w:vAlign w:val="center"/>
          </w:tcPr>
          <w:p w14:paraId="2716CF3D">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目标值</w:t>
            </w:r>
          </w:p>
        </w:tc>
        <w:tc>
          <w:tcPr>
            <w:tcW w:w="577" w:type="dxa"/>
            <w:shd w:val="clear" w:color="auto" w:fill="auto"/>
            <w:vAlign w:val="center"/>
          </w:tcPr>
          <w:p w14:paraId="422FACF2">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评价</w:t>
            </w:r>
          </w:p>
        </w:tc>
      </w:tr>
      <w:tr w14:paraId="3458E0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restart"/>
            <w:shd w:val="clear" w:color="auto" w:fill="auto"/>
            <w:vAlign w:val="center"/>
          </w:tcPr>
          <w:p w14:paraId="3CE1C83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1</w:t>
            </w:r>
          </w:p>
        </w:tc>
        <w:tc>
          <w:tcPr>
            <w:tcW w:w="1461" w:type="dxa"/>
            <w:vMerge w:val="restart"/>
            <w:shd w:val="clear" w:color="auto" w:fill="auto"/>
            <w:vAlign w:val="center"/>
          </w:tcPr>
          <w:p w14:paraId="4C322D76">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水土流失治理度(%)</w:t>
            </w:r>
          </w:p>
        </w:tc>
        <w:tc>
          <w:tcPr>
            <w:tcW w:w="4395" w:type="dxa"/>
            <w:shd w:val="clear" w:color="auto" w:fill="auto"/>
            <w:vAlign w:val="center"/>
          </w:tcPr>
          <w:p w14:paraId="1A824D6A">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水土流失治理达标面积</w:t>
            </w:r>
          </w:p>
        </w:tc>
        <w:tc>
          <w:tcPr>
            <w:tcW w:w="1005" w:type="dxa"/>
            <w:shd w:val="clear" w:color="auto" w:fill="auto"/>
            <w:noWrap/>
            <w:vAlign w:val="center"/>
          </w:tcPr>
          <w:p w14:paraId="4535FEE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1.51</w:t>
            </w:r>
          </w:p>
        </w:tc>
        <w:tc>
          <w:tcPr>
            <w:tcW w:w="771" w:type="dxa"/>
            <w:vMerge w:val="restart"/>
            <w:shd w:val="clear" w:color="auto" w:fill="auto"/>
            <w:noWrap/>
            <w:vAlign w:val="center"/>
          </w:tcPr>
          <w:p w14:paraId="445E0317">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99.9 </w:t>
            </w:r>
          </w:p>
        </w:tc>
        <w:tc>
          <w:tcPr>
            <w:tcW w:w="871" w:type="dxa"/>
            <w:vMerge w:val="restart"/>
            <w:shd w:val="clear" w:color="auto" w:fill="auto"/>
            <w:vAlign w:val="center"/>
          </w:tcPr>
          <w:p w14:paraId="29074FEB">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97</w:t>
            </w:r>
          </w:p>
        </w:tc>
        <w:tc>
          <w:tcPr>
            <w:tcW w:w="577" w:type="dxa"/>
            <w:vMerge w:val="restart"/>
            <w:shd w:val="clear" w:color="auto" w:fill="auto"/>
            <w:noWrap/>
            <w:vAlign w:val="center"/>
          </w:tcPr>
          <w:p w14:paraId="092A3AB4">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达标</w:t>
            </w:r>
          </w:p>
        </w:tc>
      </w:tr>
      <w:tr w14:paraId="679EC2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continue"/>
            <w:vAlign w:val="center"/>
          </w:tcPr>
          <w:p w14:paraId="5FE42122">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1461" w:type="dxa"/>
            <w:vMerge w:val="continue"/>
            <w:vAlign w:val="center"/>
          </w:tcPr>
          <w:p w14:paraId="675E0F63">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4395" w:type="dxa"/>
            <w:shd w:val="clear" w:color="auto" w:fill="auto"/>
            <w:vAlign w:val="center"/>
          </w:tcPr>
          <w:p w14:paraId="2D3888E2">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水土流失总面积</w:t>
            </w:r>
          </w:p>
        </w:tc>
        <w:tc>
          <w:tcPr>
            <w:tcW w:w="1005" w:type="dxa"/>
            <w:shd w:val="clear" w:color="auto" w:fill="auto"/>
            <w:noWrap/>
            <w:vAlign w:val="center"/>
          </w:tcPr>
          <w:p w14:paraId="021F5808">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1.51</w:t>
            </w:r>
          </w:p>
        </w:tc>
        <w:tc>
          <w:tcPr>
            <w:tcW w:w="771" w:type="dxa"/>
            <w:vMerge w:val="continue"/>
            <w:vAlign w:val="center"/>
          </w:tcPr>
          <w:p w14:paraId="16462231">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871" w:type="dxa"/>
            <w:vMerge w:val="continue"/>
            <w:vAlign w:val="center"/>
          </w:tcPr>
          <w:p w14:paraId="167C61EA">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577" w:type="dxa"/>
            <w:vMerge w:val="continue"/>
            <w:vAlign w:val="center"/>
          </w:tcPr>
          <w:p w14:paraId="6E543DA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r>
      <w:tr w14:paraId="0BDA10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restart"/>
            <w:shd w:val="clear" w:color="auto" w:fill="auto"/>
            <w:vAlign w:val="center"/>
          </w:tcPr>
          <w:p w14:paraId="34AD7594">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2</w:t>
            </w:r>
          </w:p>
        </w:tc>
        <w:tc>
          <w:tcPr>
            <w:tcW w:w="1461" w:type="dxa"/>
            <w:vMerge w:val="restart"/>
            <w:shd w:val="clear" w:color="auto" w:fill="auto"/>
            <w:vAlign w:val="center"/>
          </w:tcPr>
          <w:p w14:paraId="328018CC">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土壤流失控制比</w:t>
            </w:r>
          </w:p>
        </w:tc>
        <w:tc>
          <w:tcPr>
            <w:tcW w:w="4395" w:type="dxa"/>
            <w:shd w:val="clear" w:color="auto" w:fill="auto"/>
            <w:vAlign w:val="center"/>
          </w:tcPr>
          <w:p w14:paraId="5A102169">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项目区容许土壤流失量</w:t>
            </w:r>
          </w:p>
        </w:tc>
        <w:tc>
          <w:tcPr>
            <w:tcW w:w="1005" w:type="dxa"/>
            <w:shd w:val="clear" w:color="auto" w:fill="auto"/>
            <w:noWrap/>
            <w:vAlign w:val="center"/>
          </w:tcPr>
          <w:p w14:paraId="50D9D725">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500</w:t>
            </w:r>
          </w:p>
        </w:tc>
        <w:tc>
          <w:tcPr>
            <w:tcW w:w="771" w:type="dxa"/>
            <w:vMerge w:val="restart"/>
            <w:shd w:val="clear" w:color="auto" w:fill="auto"/>
            <w:noWrap/>
            <w:vAlign w:val="center"/>
          </w:tcPr>
          <w:p w14:paraId="70BD7ABB">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1.51 </w:t>
            </w:r>
          </w:p>
        </w:tc>
        <w:tc>
          <w:tcPr>
            <w:tcW w:w="871" w:type="dxa"/>
            <w:vMerge w:val="restart"/>
            <w:shd w:val="clear" w:color="auto" w:fill="auto"/>
            <w:vAlign w:val="center"/>
          </w:tcPr>
          <w:p w14:paraId="583C9283">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 xml:space="preserve">1.0 </w:t>
            </w:r>
          </w:p>
        </w:tc>
        <w:tc>
          <w:tcPr>
            <w:tcW w:w="577" w:type="dxa"/>
            <w:vMerge w:val="restart"/>
            <w:shd w:val="clear" w:color="auto" w:fill="auto"/>
            <w:noWrap/>
            <w:vAlign w:val="center"/>
          </w:tcPr>
          <w:p w14:paraId="73E709F2">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达标</w:t>
            </w:r>
          </w:p>
        </w:tc>
      </w:tr>
      <w:tr w14:paraId="5E5454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continue"/>
            <w:vAlign w:val="center"/>
          </w:tcPr>
          <w:p w14:paraId="1B994227">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1461" w:type="dxa"/>
            <w:vMerge w:val="continue"/>
            <w:vAlign w:val="center"/>
          </w:tcPr>
          <w:p w14:paraId="75FF97C8">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4395" w:type="dxa"/>
            <w:shd w:val="clear" w:color="auto" w:fill="auto"/>
            <w:vAlign w:val="center"/>
          </w:tcPr>
          <w:p w14:paraId="28DA6CE6">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治理后每平方公里年均土壤流失量</w:t>
            </w:r>
          </w:p>
        </w:tc>
        <w:tc>
          <w:tcPr>
            <w:tcW w:w="1005" w:type="dxa"/>
            <w:shd w:val="clear" w:color="auto" w:fill="auto"/>
            <w:noWrap/>
            <w:vAlign w:val="center"/>
          </w:tcPr>
          <w:p w14:paraId="7D4C1012">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330.46 </w:t>
            </w:r>
          </w:p>
        </w:tc>
        <w:tc>
          <w:tcPr>
            <w:tcW w:w="771" w:type="dxa"/>
            <w:vMerge w:val="continue"/>
            <w:vAlign w:val="center"/>
          </w:tcPr>
          <w:p w14:paraId="16D140EA">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871" w:type="dxa"/>
            <w:vMerge w:val="continue"/>
            <w:vAlign w:val="center"/>
          </w:tcPr>
          <w:p w14:paraId="3C55D938">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577" w:type="dxa"/>
            <w:vMerge w:val="continue"/>
            <w:vAlign w:val="center"/>
          </w:tcPr>
          <w:p w14:paraId="168BC9F5">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r>
      <w:tr w14:paraId="7E8894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restart"/>
            <w:shd w:val="clear" w:color="auto" w:fill="auto"/>
            <w:vAlign w:val="center"/>
          </w:tcPr>
          <w:p w14:paraId="3F3267BF">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3</w:t>
            </w:r>
          </w:p>
        </w:tc>
        <w:tc>
          <w:tcPr>
            <w:tcW w:w="1461" w:type="dxa"/>
            <w:vMerge w:val="restart"/>
            <w:shd w:val="clear" w:color="auto" w:fill="auto"/>
            <w:vAlign w:val="center"/>
          </w:tcPr>
          <w:p w14:paraId="653A9CC3">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渣土防护率(%)</w:t>
            </w:r>
          </w:p>
        </w:tc>
        <w:tc>
          <w:tcPr>
            <w:tcW w:w="4395" w:type="dxa"/>
            <w:shd w:val="clear" w:color="auto" w:fill="auto"/>
            <w:vAlign w:val="center"/>
          </w:tcPr>
          <w:p w14:paraId="1CBB934A">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项目水土流失防治责任范围内采取措施实际挡护的永久弃渣、临时堆土数量</w:t>
            </w:r>
          </w:p>
        </w:tc>
        <w:tc>
          <w:tcPr>
            <w:tcW w:w="1005" w:type="dxa"/>
            <w:shd w:val="clear" w:color="auto" w:fill="auto"/>
            <w:noWrap/>
            <w:vAlign w:val="center"/>
          </w:tcPr>
          <w:p w14:paraId="74D5ABF2">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1428.60</w:t>
            </w:r>
          </w:p>
        </w:tc>
        <w:tc>
          <w:tcPr>
            <w:tcW w:w="771" w:type="dxa"/>
            <w:vMerge w:val="restart"/>
            <w:shd w:val="clear" w:color="auto" w:fill="auto"/>
            <w:vAlign w:val="center"/>
          </w:tcPr>
          <w:p w14:paraId="79FBA292">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98%</w:t>
            </w:r>
          </w:p>
        </w:tc>
        <w:tc>
          <w:tcPr>
            <w:tcW w:w="871" w:type="dxa"/>
            <w:vMerge w:val="restart"/>
            <w:shd w:val="clear" w:color="auto" w:fill="auto"/>
            <w:vAlign w:val="center"/>
          </w:tcPr>
          <w:p w14:paraId="2A357DAE">
            <w:pPr>
              <w:adjustRightInd w:val="0"/>
              <w:snapToGrid w:val="0"/>
              <w:spacing w:line="240" w:lineRule="auto"/>
              <w:ind w:firstLine="0" w:firstLineChars="0"/>
              <w:jc w:val="center"/>
              <w:rPr>
                <w:rFonts w:hint="eastAsia" w:ascii="Times New Roman" w:hAnsi="Times New Roman" w:eastAsia="仿宋_GB2312" w:cs="Times New Roman"/>
                <w:color w:val="000000"/>
                <w:kern w:val="0"/>
                <w:sz w:val="18"/>
                <w:szCs w:val="18"/>
                <w:lang w:val="en-US" w:eastAsia="zh-CN"/>
              </w:rPr>
            </w:pPr>
            <w:r>
              <w:rPr>
                <w:rFonts w:hint="default" w:ascii="Times New Roman" w:hAnsi="Times New Roman" w:cs="Times New Roman"/>
                <w:color w:val="000000"/>
                <w:kern w:val="0"/>
                <w:sz w:val="18"/>
                <w:szCs w:val="18"/>
              </w:rPr>
              <w:t>9</w:t>
            </w:r>
            <w:r>
              <w:rPr>
                <w:rFonts w:hint="eastAsia" w:cs="Times New Roman"/>
                <w:color w:val="000000"/>
                <w:kern w:val="0"/>
                <w:sz w:val="18"/>
                <w:szCs w:val="18"/>
                <w:lang w:val="en-US" w:eastAsia="zh-CN"/>
              </w:rPr>
              <w:t>2</w:t>
            </w:r>
          </w:p>
        </w:tc>
        <w:tc>
          <w:tcPr>
            <w:tcW w:w="577" w:type="dxa"/>
            <w:vMerge w:val="restart"/>
            <w:shd w:val="clear" w:color="auto" w:fill="auto"/>
            <w:noWrap/>
            <w:vAlign w:val="center"/>
          </w:tcPr>
          <w:p w14:paraId="30067E8E">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达标</w:t>
            </w:r>
          </w:p>
        </w:tc>
      </w:tr>
      <w:tr w14:paraId="5869F1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continue"/>
            <w:vAlign w:val="center"/>
          </w:tcPr>
          <w:p w14:paraId="0A421527">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1461" w:type="dxa"/>
            <w:vMerge w:val="continue"/>
            <w:vAlign w:val="center"/>
          </w:tcPr>
          <w:p w14:paraId="2876AE4B">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4395" w:type="dxa"/>
            <w:shd w:val="clear" w:color="auto" w:fill="auto"/>
            <w:vAlign w:val="center"/>
          </w:tcPr>
          <w:p w14:paraId="1AA0179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永久弃渣和临时堆土总量</w:t>
            </w:r>
          </w:p>
        </w:tc>
        <w:tc>
          <w:tcPr>
            <w:tcW w:w="1005" w:type="dxa"/>
            <w:shd w:val="clear" w:color="auto" w:fill="auto"/>
            <w:noWrap/>
            <w:vAlign w:val="center"/>
          </w:tcPr>
          <w:p w14:paraId="5A058809">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1428.60</w:t>
            </w:r>
          </w:p>
        </w:tc>
        <w:tc>
          <w:tcPr>
            <w:tcW w:w="771" w:type="dxa"/>
            <w:vMerge w:val="continue"/>
            <w:vAlign w:val="center"/>
          </w:tcPr>
          <w:p w14:paraId="3B2C226C">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871" w:type="dxa"/>
            <w:vMerge w:val="continue"/>
            <w:vAlign w:val="center"/>
          </w:tcPr>
          <w:p w14:paraId="397B521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577" w:type="dxa"/>
            <w:vMerge w:val="continue"/>
            <w:vAlign w:val="center"/>
          </w:tcPr>
          <w:p w14:paraId="794E28D6">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r>
      <w:tr w14:paraId="343F3D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restart"/>
            <w:shd w:val="clear" w:color="auto" w:fill="auto"/>
            <w:vAlign w:val="center"/>
          </w:tcPr>
          <w:p w14:paraId="25DCB81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4</w:t>
            </w:r>
          </w:p>
        </w:tc>
        <w:tc>
          <w:tcPr>
            <w:tcW w:w="1461" w:type="dxa"/>
            <w:vMerge w:val="restart"/>
            <w:shd w:val="clear" w:color="auto" w:fill="auto"/>
            <w:vAlign w:val="center"/>
          </w:tcPr>
          <w:p w14:paraId="24A4C189">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表土保护率(%)</w:t>
            </w:r>
          </w:p>
        </w:tc>
        <w:tc>
          <w:tcPr>
            <w:tcW w:w="4395" w:type="dxa"/>
            <w:shd w:val="clear" w:color="auto" w:fill="auto"/>
            <w:noWrap/>
            <w:vAlign w:val="center"/>
          </w:tcPr>
          <w:p w14:paraId="3546573D">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项目水土流失防治责任范围内保护的表土数量</w:t>
            </w:r>
          </w:p>
        </w:tc>
        <w:tc>
          <w:tcPr>
            <w:tcW w:w="1005" w:type="dxa"/>
            <w:shd w:val="clear" w:color="auto" w:fill="auto"/>
            <w:noWrap/>
            <w:vAlign w:val="center"/>
          </w:tcPr>
          <w:p w14:paraId="714DCC62">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1920.00 </w:t>
            </w:r>
          </w:p>
        </w:tc>
        <w:tc>
          <w:tcPr>
            <w:tcW w:w="771" w:type="dxa"/>
            <w:vMerge w:val="restart"/>
            <w:shd w:val="clear" w:color="auto" w:fill="auto"/>
            <w:noWrap/>
            <w:vAlign w:val="center"/>
          </w:tcPr>
          <w:p w14:paraId="738982F8">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99%</w:t>
            </w:r>
          </w:p>
        </w:tc>
        <w:tc>
          <w:tcPr>
            <w:tcW w:w="871" w:type="dxa"/>
            <w:vMerge w:val="restart"/>
            <w:shd w:val="clear" w:color="auto" w:fill="auto"/>
            <w:vAlign w:val="center"/>
          </w:tcPr>
          <w:p w14:paraId="3BD0CB5E">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95</w:t>
            </w:r>
          </w:p>
        </w:tc>
        <w:tc>
          <w:tcPr>
            <w:tcW w:w="577" w:type="dxa"/>
            <w:vMerge w:val="restart"/>
            <w:shd w:val="clear" w:color="auto" w:fill="auto"/>
            <w:noWrap/>
            <w:vAlign w:val="center"/>
          </w:tcPr>
          <w:p w14:paraId="3E998236">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达标</w:t>
            </w:r>
          </w:p>
        </w:tc>
      </w:tr>
      <w:tr w14:paraId="17029D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continue"/>
            <w:vAlign w:val="center"/>
          </w:tcPr>
          <w:p w14:paraId="24357698">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1461" w:type="dxa"/>
            <w:vMerge w:val="continue"/>
            <w:vAlign w:val="center"/>
          </w:tcPr>
          <w:p w14:paraId="5CBFC871">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4395" w:type="dxa"/>
            <w:shd w:val="clear" w:color="auto" w:fill="auto"/>
            <w:noWrap/>
            <w:vAlign w:val="center"/>
          </w:tcPr>
          <w:p w14:paraId="7920ABCB">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收集保护表土数量</w:t>
            </w:r>
          </w:p>
        </w:tc>
        <w:tc>
          <w:tcPr>
            <w:tcW w:w="1005" w:type="dxa"/>
            <w:shd w:val="clear" w:color="auto" w:fill="auto"/>
            <w:noWrap/>
            <w:vAlign w:val="center"/>
          </w:tcPr>
          <w:p w14:paraId="5D92D56A">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1920.00 </w:t>
            </w:r>
          </w:p>
        </w:tc>
        <w:tc>
          <w:tcPr>
            <w:tcW w:w="771" w:type="dxa"/>
            <w:vMerge w:val="continue"/>
            <w:vAlign w:val="center"/>
          </w:tcPr>
          <w:p w14:paraId="4B1C2234">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871" w:type="dxa"/>
            <w:vMerge w:val="continue"/>
            <w:vAlign w:val="center"/>
          </w:tcPr>
          <w:p w14:paraId="5C38A146">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577" w:type="dxa"/>
            <w:vMerge w:val="continue"/>
            <w:vAlign w:val="center"/>
          </w:tcPr>
          <w:p w14:paraId="3E113799">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r>
      <w:tr w14:paraId="6090FE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restart"/>
            <w:shd w:val="clear" w:color="auto" w:fill="auto"/>
            <w:vAlign w:val="center"/>
          </w:tcPr>
          <w:p w14:paraId="1AF9269B">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5</w:t>
            </w:r>
          </w:p>
        </w:tc>
        <w:tc>
          <w:tcPr>
            <w:tcW w:w="1461" w:type="dxa"/>
            <w:vMerge w:val="restart"/>
            <w:shd w:val="clear" w:color="auto" w:fill="auto"/>
            <w:vAlign w:val="center"/>
          </w:tcPr>
          <w:p w14:paraId="2FFE3731">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林草植被恢复率(%)</w:t>
            </w:r>
          </w:p>
        </w:tc>
        <w:tc>
          <w:tcPr>
            <w:tcW w:w="4395" w:type="dxa"/>
            <w:shd w:val="clear" w:color="auto" w:fill="auto"/>
            <w:vAlign w:val="center"/>
          </w:tcPr>
          <w:p w14:paraId="1D5A245A">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绿化总面积</w:t>
            </w:r>
          </w:p>
        </w:tc>
        <w:tc>
          <w:tcPr>
            <w:tcW w:w="1005" w:type="dxa"/>
            <w:shd w:val="clear" w:color="auto" w:fill="auto"/>
            <w:noWrap/>
            <w:vAlign w:val="center"/>
          </w:tcPr>
          <w:p w14:paraId="53EFEB8C">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0.23 </w:t>
            </w:r>
          </w:p>
        </w:tc>
        <w:tc>
          <w:tcPr>
            <w:tcW w:w="771" w:type="dxa"/>
            <w:vMerge w:val="restart"/>
            <w:shd w:val="clear" w:color="auto" w:fill="auto"/>
            <w:noWrap/>
            <w:vAlign w:val="center"/>
          </w:tcPr>
          <w:p w14:paraId="65A7FA78">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99.9%</w:t>
            </w:r>
          </w:p>
        </w:tc>
        <w:tc>
          <w:tcPr>
            <w:tcW w:w="871" w:type="dxa"/>
            <w:vMerge w:val="restart"/>
            <w:shd w:val="clear" w:color="auto" w:fill="auto"/>
            <w:vAlign w:val="center"/>
          </w:tcPr>
          <w:p w14:paraId="714B10BE">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96</w:t>
            </w:r>
          </w:p>
        </w:tc>
        <w:tc>
          <w:tcPr>
            <w:tcW w:w="577" w:type="dxa"/>
            <w:vMerge w:val="restart"/>
            <w:shd w:val="clear" w:color="auto" w:fill="auto"/>
            <w:noWrap/>
            <w:vAlign w:val="center"/>
          </w:tcPr>
          <w:p w14:paraId="7F864658">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达标</w:t>
            </w:r>
          </w:p>
        </w:tc>
      </w:tr>
      <w:tr w14:paraId="613B41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continue"/>
            <w:vAlign w:val="center"/>
          </w:tcPr>
          <w:p w14:paraId="2280FC6A">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1461" w:type="dxa"/>
            <w:vMerge w:val="continue"/>
            <w:vAlign w:val="center"/>
          </w:tcPr>
          <w:p w14:paraId="2C360A8F">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4395" w:type="dxa"/>
            <w:shd w:val="clear" w:color="auto" w:fill="auto"/>
            <w:vAlign w:val="center"/>
          </w:tcPr>
          <w:p w14:paraId="4C6891C0">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可绿化面积</w:t>
            </w:r>
          </w:p>
        </w:tc>
        <w:tc>
          <w:tcPr>
            <w:tcW w:w="1005" w:type="dxa"/>
            <w:shd w:val="clear" w:color="auto" w:fill="auto"/>
            <w:noWrap/>
            <w:vAlign w:val="center"/>
          </w:tcPr>
          <w:p w14:paraId="2C800414">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eastAsia" w:ascii="Times New Roman" w:hAnsi="Times New Roman" w:cs="Times New Roman"/>
                <w:color w:val="000000"/>
                <w:kern w:val="0"/>
                <w:sz w:val="18"/>
                <w:szCs w:val="18"/>
                <w:lang w:val="en-US" w:eastAsia="zh-CN"/>
              </w:rPr>
              <w:t xml:space="preserve">0.23 </w:t>
            </w:r>
          </w:p>
        </w:tc>
        <w:tc>
          <w:tcPr>
            <w:tcW w:w="771" w:type="dxa"/>
            <w:vMerge w:val="continue"/>
            <w:vAlign w:val="center"/>
          </w:tcPr>
          <w:p w14:paraId="59EC58C9">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871" w:type="dxa"/>
            <w:vMerge w:val="continue"/>
            <w:vAlign w:val="center"/>
          </w:tcPr>
          <w:p w14:paraId="2A5DB07E">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c>
          <w:tcPr>
            <w:tcW w:w="577" w:type="dxa"/>
            <w:vMerge w:val="continue"/>
            <w:vAlign w:val="center"/>
          </w:tcPr>
          <w:p w14:paraId="1EF2EE1F">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p>
        </w:tc>
      </w:tr>
      <w:tr w14:paraId="08CDB1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restart"/>
            <w:shd w:val="clear" w:color="auto" w:fill="auto"/>
            <w:vAlign w:val="center"/>
          </w:tcPr>
          <w:p w14:paraId="622CD728">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6</w:t>
            </w:r>
          </w:p>
        </w:tc>
        <w:tc>
          <w:tcPr>
            <w:tcW w:w="1461" w:type="dxa"/>
            <w:vMerge w:val="restart"/>
            <w:shd w:val="clear" w:color="auto" w:fill="auto"/>
            <w:vAlign w:val="center"/>
          </w:tcPr>
          <w:p w14:paraId="229C7933">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林草覆盖率(%)</w:t>
            </w:r>
          </w:p>
        </w:tc>
        <w:tc>
          <w:tcPr>
            <w:tcW w:w="4395" w:type="dxa"/>
            <w:shd w:val="clear" w:color="auto" w:fill="auto"/>
            <w:vAlign w:val="center"/>
          </w:tcPr>
          <w:p w14:paraId="37D70CBB">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default" w:ascii="Times New Roman" w:hAnsi="Times New Roman" w:cs="Times New Roman"/>
                <w:color w:val="000000"/>
                <w:kern w:val="0"/>
                <w:sz w:val="18"/>
                <w:szCs w:val="18"/>
                <w:lang w:val="en-US" w:eastAsia="zh-CN"/>
              </w:rPr>
              <w:t>项目水土流失防治责任范围内林草植被面积</w:t>
            </w:r>
          </w:p>
        </w:tc>
        <w:tc>
          <w:tcPr>
            <w:tcW w:w="1005" w:type="dxa"/>
            <w:shd w:val="clear" w:color="auto" w:fill="auto"/>
            <w:noWrap/>
            <w:vAlign w:val="center"/>
          </w:tcPr>
          <w:p w14:paraId="7D6D1390">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 xml:space="preserve">0.23 </w:t>
            </w:r>
          </w:p>
        </w:tc>
        <w:tc>
          <w:tcPr>
            <w:tcW w:w="771" w:type="dxa"/>
            <w:vMerge w:val="restart"/>
            <w:shd w:val="clear" w:color="auto" w:fill="auto"/>
            <w:noWrap/>
            <w:vAlign w:val="center"/>
          </w:tcPr>
          <w:p w14:paraId="4D539312">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15.23%</w:t>
            </w:r>
          </w:p>
        </w:tc>
        <w:tc>
          <w:tcPr>
            <w:tcW w:w="871" w:type="dxa"/>
            <w:vMerge w:val="restart"/>
            <w:shd w:val="clear" w:color="auto" w:fill="auto"/>
            <w:vAlign w:val="center"/>
          </w:tcPr>
          <w:p w14:paraId="5D040E44">
            <w:pPr>
              <w:adjustRightInd w:val="0"/>
              <w:snapToGrid w:val="0"/>
              <w:spacing w:line="240" w:lineRule="auto"/>
              <w:ind w:firstLine="0" w:firstLineChars="0"/>
              <w:jc w:val="center"/>
              <w:rPr>
                <w:rFonts w:hint="default" w:ascii="Times New Roman" w:hAnsi="Times New Roman" w:eastAsia="仿宋_GB2312"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15</w:t>
            </w:r>
          </w:p>
        </w:tc>
        <w:tc>
          <w:tcPr>
            <w:tcW w:w="577" w:type="dxa"/>
            <w:vMerge w:val="restart"/>
            <w:shd w:val="clear" w:color="auto" w:fill="auto"/>
            <w:noWrap/>
            <w:vAlign w:val="center"/>
          </w:tcPr>
          <w:p w14:paraId="25592355">
            <w:pPr>
              <w:adjustRightInd w:val="0"/>
              <w:snapToGrid w:val="0"/>
              <w:spacing w:line="240" w:lineRule="auto"/>
              <w:ind w:firstLine="0" w:firstLineChars="0"/>
              <w:jc w:val="center"/>
              <w:rPr>
                <w:rFonts w:hint="default" w:ascii="Times New Roman" w:hAnsi="Times New Roman" w:cs="Times New Roman"/>
                <w:color w:val="000000"/>
                <w:kern w:val="0"/>
                <w:sz w:val="18"/>
                <w:szCs w:val="18"/>
              </w:rPr>
            </w:pPr>
            <w:r>
              <w:rPr>
                <w:rFonts w:hint="default" w:ascii="Times New Roman" w:hAnsi="Times New Roman" w:cs="Times New Roman"/>
                <w:color w:val="000000"/>
                <w:kern w:val="0"/>
                <w:sz w:val="18"/>
                <w:szCs w:val="18"/>
              </w:rPr>
              <w:t>达标</w:t>
            </w:r>
          </w:p>
        </w:tc>
      </w:tr>
      <w:tr w14:paraId="0A51F6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90" w:type="dxa"/>
            <w:vMerge w:val="continue"/>
            <w:vAlign w:val="center"/>
          </w:tcPr>
          <w:p w14:paraId="677AB3E9">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1461" w:type="dxa"/>
            <w:vMerge w:val="continue"/>
            <w:vAlign w:val="center"/>
          </w:tcPr>
          <w:p w14:paraId="558AF497">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4395" w:type="dxa"/>
            <w:shd w:val="clear" w:color="auto" w:fill="auto"/>
            <w:vAlign w:val="center"/>
          </w:tcPr>
          <w:p w14:paraId="7ACB2B5E">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default" w:ascii="Times New Roman" w:hAnsi="Times New Roman" w:cs="Times New Roman"/>
                <w:color w:val="000000"/>
                <w:kern w:val="0"/>
                <w:sz w:val="18"/>
                <w:szCs w:val="18"/>
                <w:lang w:val="en-US" w:eastAsia="zh-CN"/>
              </w:rPr>
              <w:t>项目水土流失防治责任范围总面积</w:t>
            </w:r>
          </w:p>
        </w:tc>
        <w:tc>
          <w:tcPr>
            <w:tcW w:w="1005" w:type="dxa"/>
            <w:shd w:val="clear" w:color="auto" w:fill="auto"/>
            <w:noWrap/>
            <w:vAlign w:val="center"/>
          </w:tcPr>
          <w:p w14:paraId="7478442F">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 xml:space="preserve">1.51 </w:t>
            </w:r>
          </w:p>
        </w:tc>
        <w:tc>
          <w:tcPr>
            <w:tcW w:w="771" w:type="dxa"/>
            <w:vMerge w:val="continue"/>
            <w:vAlign w:val="center"/>
          </w:tcPr>
          <w:p w14:paraId="71349608">
            <w:pPr>
              <w:adjustRightInd w:val="0"/>
              <w:snapToGrid w:val="0"/>
              <w:spacing w:line="240" w:lineRule="auto"/>
              <w:ind w:firstLine="0" w:firstLineChars="0"/>
              <w:jc w:val="center"/>
              <w:rPr>
                <w:rFonts w:hint="default" w:ascii="Times New Roman" w:hAnsi="Times New Roman" w:cs="Times New Roman"/>
                <w:color w:val="000000"/>
                <w:kern w:val="0"/>
                <w:sz w:val="18"/>
                <w:szCs w:val="18"/>
                <w:lang w:val="en-US" w:eastAsia="zh-CN"/>
              </w:rPr>
            </w:pPr>
          </w:p>
        </w:tc>
        <w:tc>
          <w:tcPr>
            <w:tcW w:w="871" w:type="dxa"/>
            <w:vMerge w:val="continue"/>
            <w:vAlign w:val="center"/>
          </w:tcPr>
          <w:p w14:paraId="67050C00">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c>
          <w:tcPr>
            <w:tcW w:w="577" w:type="dxa"/>
            <w:vMerge w:val="continue"/>
            <w:vAlign w:val="center"/>
          </w:tcPr>
          <w:p w14:paraId="0F68EA1F">
            <w:pPr>
              <w:adjustRightInd w:val="0"/>
              <w:snapToGrid w:val="0"/>
              <w:spacing w:line="240" w:lineRule="auto"/>
              <w:ind w:firstLine="0" w:firstLineChars="0"/>
              <w:jc w:val="left"/>
              <w:rPr>
                <w:rFonts w:hint="default" w:ascii="Times New Roman" w:hAnsi="Times New Roman" w:cs="Times New Roman"/>
                <w:color w:val="000000"/>
                <w:kern w:val="0"/>
                <w:sz w:val="18"/>
                <w:szCs w:val="18"/>
              </w:rPr>
            </w:pPr>
          </w:p>
        </w:tc>
      </w:tr>
    </w:tbl>
    <w:p w14:paraId="00D03AB6">
      <w:pPr>
        <w:pStyle w:val="83"/>
        <w:jc w:val="left"/>
        <w:rPr>
          <w:rFonts w:hint="default" w:ascii="Times New Roman" w:hAnsi="Times New Roman" w:eastAsia="仿宋_GB2312" w:cs="Times New Roman"/>
          <w:b/>
          <w:bCs w:val="0"/>
        </w:rPr>
      </w:pPr>
    </w:p>
    <w:p w14:paraId="60176A61">
      <w:pPr>
        <w:pStyle w:val="83"/>
        <w:jc w:val="left"/>
        <w:rPr>
          <w:rFonts w:hint="default" w:ascii="Times New Roman" w:hAnsi="Times New Roman" w:eastAsia="仿宋_GB2312" w:cs="Times New Roman"/>
          <w:b/>
          <w:bCs w:val="0"/>
        </w:rPr>
      </w:pPr>
    </w:p>
    <w:p w14:paraId="726439BA">
      <w:pPr>
        <w:ind w:firstLine="0" w:firstLineChars="0"/>
        <w:rPr>
          <w:rFonts w:hint="default" w:ascii="Times New Roman" w:hAnsi="Times New Roman" w:cs="Times New Roman"/>
        </w:rPr>
        <w:sectPr>
          <w:headerReference r:id="rId24" w:type="default"/>
          <w:footerReference r:id="rId25"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14:paraId="3E8967F1">
      <w:pPr>
        <w:pStyle w:val="2"/>
        <w:jc w:val="center"/>
        <w:rPr>
          <w:rFonts w:hint="default" w:ascii="Times New Roman" w:hAnsi="Times New Roman" w:cs="Times New Roman"/>
          <w:lang w:val="zh-CN"/>
        </w:rPr>
      </w:pPr>
      <w:bookmarkStart w:id="112" w:name="_Toc165223596"/>
      <w:r>
        <w:rPr>
          <w:rFonts w:hint="default" w:ascii="Times New Roman" w:hAnsi="Times New Roman" w:cs="Times New Roman"/>
          <w:lang w:val="zh-CN"/>
        </w:rPr>
        <w:t>水土保持管理</w:t>
      </w:r>
      <w:bookmarkEnd w:id="112"/>
    </w:p>
    <w:p w14:paraId="5BD9B904">
      <w:pPr>
        <w:pStyle w:val="3"/>
        <w:rPr>
          <w:rFonts w:hint="default" w:ascii="Times New Roman" w:hAnsi="Times New Roman" w:eastAsia="仿宋_GB2312" w:cs="Times New Roman"/>
          <w:color w:val="000000"/>
          <w:szCs w:val="30"/>
        </w:rPr>
      </w:pPr>
      <w:bookmarkStart w:id="113" w:name="_Toc165223597"/>
      <w:r>
        <w:rPr>
          <w:rFonts w:hint="default" w:ascii="Times New Roman" w:hAnsi="Times New Roman" w:cs="Times New Roman"/>
          <w:color w:val="000000"/>
        </w:rPr>
        <w:t>组织管理</w:t>
      </w:r>
      <w:bookmarkEnd w:id="113"/>
    </w:p>
    <w:p w14:paraId="28A4BF07">
      <w:pPr>
        <w:pStyle w:val="61"/>
        <w:ind w:firstLine="482"/>
        <w:jc w:val="both"/>
        <w:rPr>
          <w:rFonts w:hint="default" w:ascii="Times New Roman" w:hAnsi="Times New Roman" w:cs="Times New Roman"/>
          <w:color w:val="000000"/>
        </w:rPr>
      </w:pPr>
      <w:r>
        <w:rPr>
          <w:rFonts w:hint="default" w:ascii="Times New Roman" w:hAnsi="Times New Roman" w:cs="Times New Roman"/>
          <w:color w:val="000000"/>
        </w:rPr>
        <w:t>水土保持方案能否按规定的技术要求及进度安排保质保量地实施，并能达到预期的防治效益，组织领导和管理措施是关键。本方案由建设单位组织实施，其要求是必须承诺和落实具体的实施保证措施，并经方案批准机关审查同意，也建议由业主代表或主要负责人担任领导，负责水保方案的具体实施。需做好如下管理工作：</w:t>
      </w:r>
    </w:p>
    <w:p w14:paraId="073FB88F">
      <w:pPr>
        <w:pStyle w:val="61"/>
        <w:ind w:firstLine="482"/>
        <w:rPr>
          <w:rFonts w:hint="default" w:ascii="Times New Roman" w:hAnsi="Times New Roman" w:cs="Times New Roman"/>
          <w:color w:val="000000"/>
        </w:rPr>
      </w:pPr>
      <w:r>
        <w:rPr>
          <w:rFonts w:hint="default" w:ascii="Times New Roman" w:hAnsi="Times New Roman" w:cs="Times New Roman"/>
          <w:color w:val="000000"/>
        </w:rPr>
        <w:t>根据《中华人民共和国水土保持法》，水土保持方案报水行政主管部门批准后，由建设单位负责组织实施。为了保证水土保持方案的顺利实施，建立强有力的组织机构是十分必要的。因此，在工程筹建期，建设单位至少需1位水土保持专业人员，负责水土保持方案的委托编制、报批和方案实施工作。</w:t>
      </w:r>
    </w:p>
    <w:p w14:paraId="5CB2F203">
      <w:pPr>
        <w:pStyle w:val="61"/>
        <w:ind w:firstLine="482"/>
        <w:rPr>
          <w:rFonts w:hint="default" w:ascii="Times New Roman" w:hAnsi="Times New Roman" w:cs="Times New Roman"/>
          <w:color w:val="000000"/>
        </w:rPr>
      </w:pPr>
      <w:r>
        <w:rPr>
          <w:rFonts w:hint="default" w:ascii="Times New Roman" w:hAnsi="Times New Roman" w:cs="Times New Roman"/>
          <w:color w:val="000000"/>
        </w:rPr>
        <w:t>认真贯彻、执行“预防为主、保护优先、全面规划、综合治理、因地制宜、突出重点、科学管理、注重效益”的水土保持方针，确保水土保持工程安全，充分发挥水土保持工程效益。</w:t>
      </w:r>
    </w:p>
    <w:p w14:paraId="7E77B62C">
      <w:pPr>
        <w:pStyle w:val="61"/>
        <w:ind w:firstLine="482"/>
        <w:rPr>
          <w:rFonts w:hint="default" w:ascii="Times New Roman" w:hAnsi="Times New Roman" w:cs="Times New Roman"/>
          <w:color w:val="000000"/>
        </w:rPr>
      </w:pPr>
      <w:r>
        <w:rPr>
          <w:rFonts w:hint="default" w:ascii="Times New Roman" w:hAnsi="Times New Roman" w:cs="Times New Roman"/>
          <w:color w:val="000000"/>
        </w:rPr>
        <w:t>建立水土保持目标责任制，把水土保持列为工程进度、质量考核的内容之一，按年度向水行政主管部门，报告水土流失治理情况，并制定水土保持方案详细实施计划。</w:t>
      </w:r>
    </w:p>
    <w:p w14:paraId="6AA7A139">
      <w:pPr>
        <w:pStyle w:val="61"/>
        <w:ind w:firstLine="482"/>
        <w:rPr>
          <w:rFonts w:hint="default" w:ascii="Times New Roman" w:hAnsi="Times New Roman" w:cs="Times New Roman"/>
          <w:color w:val="000000"/>
        </w:rPr>
      </w:pPr>
      <w:r>
        <w:rPr>
          <w:rFonts w:hint="default" w:ascii="Times New Roman" w:hAnsi="Times New Roman" w:cs="Times New Roman"/>
          <w:color w:val="000000"/>
        </w:rPr>
        <w:t>工程施工期间，负责与设计、施工、监理、监测单位保持联系，协调好水土保持方案与主体工程的关系，确保水土保持工作的正常顺利开展，并按时竣工，减少或避免工程建设可能造成的水土流失和生态环境的破坏。</w:t>
      </w:r>
    </w:p>
    <w:p w14:paraId="078103E3">
      <w:pPr>
        <w:pStyle w:val="61"/>
        <w:ind w:firstLine="482"/>
        <w:rPr>
          <w:rFonts w:hint="default" w:ascii="Times New Roman" w:hAnsi="Times New Roman" w:cs="Times New Roman"/>
          <w:color w:val="000000"/>
        </w:rPr>
      </w:pPr>
      <w:r>
        <w:rPr>
          <w:rFonts w:hint="default" w:ascii="Times New Roman" w:hAnsi="Times New Roman" w:cs="Times New Roman"/>
          <w:color w:val="000000"/>
        </w:rPr>
        <w:t>工程现场进行监测和观测，掌握工程施工期间的水土流失及其防治措施落实情况，为有关部门决策提供基础资料。</w:t>
      </w:r>
    </w:p>
    <w:p w14:paraId="512EBE70">
      <w:pPr>
        <w:pStyle w:val="61"/>
        <w:ind w:firstLine="482"/>
        <w:rPr>
          <w:rFonts w:hint="default" w:ascii="Times New Roman" w:hAnsi="Times New Roman" w:cs="Times New Roman"/>
          <w:color w:val="000000"/>
        </w:rPr>
      </w:pPr>
      <w:r>
        <w:rPr>
          <w:rFonts w:hint="default" w:ascii="Times New Roman" w:hAnsi="Times New Roman" w:cs="Times New Roman"/>
          <w:color w:val="000000"/>
        </w:rPr>
        <w:t>建立健全各项档案，积累、分析整编资料，为水土保持工程验收提供相关资料。</w:t>
      </w:r>
    </w:p>
    <w:p w14:paraId="65E8CB3E">
      <w:pPr>
        <w:pStyle w:val="3"/>
        <w:rPr>
          <w:rFonts w:hint="default" w:ascii="Times New Roman" w:hAnsi="Times New Roman" w:eastAsia="仿宋_GB2312" w:cs="Times New Roman"/>
          <w:color w:val="000000"/>
        </w:rPr>
      </w:pPr>
      <w:bookmarkStart w:id="114" w:name="_Toc165223598"/>
      <w:r>
        <w:rPr>
          <w:rFonts w:hint="default" w:ascii="Times New Roman" w:hAnsi="Times New Roman" w:cs="Times New Roman"/>
          <w:color w:val="000000"/>
        </w:rPr>
        <w:t>水土保持监测</w:t>
      </w:r>
      <w:bookmarkEnd w:id="114"/>
    </w:p>
    <w:p w14:paraId="5512B7DA">
      <w:pPr>
        <w:pStyle w:val="70"/>
        <w:ind w:left="-60" w:right="-60" w:firstLine="496"/>
        <w:rPr>
          <w:rFonts w:hint="default" w:ascii="Times New Roman" w:hAnsi="Times New Roman" w:cs="Times New Roman"/>
          <w:color w:val="000000"/>
        </w:rPr>
      </w:pPr>
      <w:r>
        <w:rPr>
          <w:rFonts w:hint="default" w:ascii="Times New Roman" w:hAnsi="Times New Roman" w:cs="Times New Roman"/>
        </w:rPr>
        <w:t>根据《水利部关于进一步深化“放管服”改革全面加强水土保持监管的意见》水保〔2019〕160号文，对本项目水土保持方案报告表实行承诺制管理，可以不开展水土保持监测工作，建设单位依法做好水土流失防治工作，本方案针对本项目提出水土保持监管要求，对生产建设活动造成的水土流失，应严格按照主体工程和本方案开展建设水土保持设施建设工作进行防治。对施工过程中产生的水土流失应及时实施拦挡、覆盖、排水、沉沙等临时防护措施进行防治。施工过程中因降雨、大风或人为原因发生严重水土流失及危害事件的，应及时联系相关水土保持负责单位，组织环水保专员于事件发生后7日内报送水土流失危害事件报告至水行政部门。工程完工后，各项设施试运行情况合格，达到本方案拟定的各项防治目标后，需及时开展水土保持设施验收工作。</w:t>
      </w:r>
    </w:p>
    <w:p w14:paraId="55C47D6D">
      <w:pPr>
        <w:pStyle w:val="3"/>
        <w:rPr>
          <w:rFonts w:hint="default" w:ascii="Times New Roman" w:hAnsi="Times New Roman" w:cs="Times New Roman"/>
          <w:color w:val="000000"/>
        </w:rPr>
      </w:pPr>
      <w:bookmarkStart w:id="115" w:name="_Toc165223599"/>
      <w:r>
        <w:rPr>
          <w:rFonts w:hint="default" w:ascii="Times New Roman" w:hAnsi="Times New Roman" w:cs="Times New Roman"/>
          <w:color w:val="000000"/>
        </w:rPr>
        <w:t>水土保持监理</w:t>
      </w:r>
      <w:bookmarkEnd w:id="115"/>
    </w:p>
    <w:p w14:paraId="4951A2CD">
      <w:pPr>
        <w:pStyle w:val="61"/>
        <w:ind w:firstLine="482"/>
        <w:jc w:val="both"/>
        <w:rPr>
          <w:rFonts w:hint="default" w:ascii="Times New Roman" w:hAnsi="Times New Roman" w:cs="Times New Roman"/>
          <w:color w:val="000000"/>
        </w:rPr>
      </w:pPr>
      <w:r>
        <w:rPr>
          <w:rFonts w:hint="default" w:ascii="Times New Roman" w:hAnsi="Times New Roman" w:cs="Times New Roman"/>
          <w:color w:val="000000"/>
        </w:rPr>
        <w:t>根据国家计委和水利部的要求，水土保持生态工程的建设纳入基本建设管理程序，经水行政主管部门批复的水土保持方案，在其实施过程中必须进行水土保持监理，监理成果是开发建设项目水土保持设施验收的主要依据之一。根据《水利部关于进一步深化“放管服”改革全面加强水土保持监管的意见》（水保〔2019〕160号），本项目不单独委托水土保持监理工作，水土保持工程监理由主体工程监理一并实施。</w:t>
      </w:r>
    </w:p>
    <w:p w14:paraId="0D4E6A6F">
      <w:pPr>
        <w:pStyle w:val="3"/>
        <w:rPr>
          <w:rFonts w:hint="default" w:ascii="Times New Roman" w:hAnsi="Times New Roman" w:eastAsia="仿宋_GB2312" w:cs="Times New Roman"/>
          <w:color w:val="000000"/>
        </w:rPr>
      </w:pPr>
      <w:bookmarkStart w:id="116" w:name="_Toc165223600"/>
      <w:r>
        <w:rPr>
          <w:rFonts w:hint="default" w:ascii="Times New Roman" w:hAnsi="Times New Roman" w:cs="Times New Roman"/>
          <w:color w:val="000000"/>
        </w:rPr>
        <w:t>水土保持施工</w:t>
      </w:r>
      <w:bookmarkEnd w:id="116"/>
    </w:p>
    <w:p w14:paraId="16B44A12">
      <w:pPr>
        <w:pStyle w:val="61"/>
        <w:ind w:firstLine="482"/>
        <w:rPr>
          <w:rFonts w:hint="default" w:ascii="Times New Roman" w:hAnsi="Times New Roman" w:cs="Times New Roman"/>
          <w:color w:val="000000"/>
        </w:rPr>
      </w:pPr>
      <w:r>
        <w:rPr>
          <w:rFonts w:hint="default" w:ascii="Times New Roman" w:hAnsi="Times New Roman" w:cs="Times New Roman"/>
          <w:color w:val="000000"/>
        </w:rPr>
        <w:t>建设单位根据批复的水土保持方案，对施工单位水土保持实施提出具体要求。施工单位在施工过程中，对</w:t>
      </w:r>
      <w:r>
        <w:rPr>
          <w:rFonts w:hint="eastAsia" w:ascii="Times New Roman" w:hAnsi="Times New Roman" w:cs="Times New Roman"/>
          <w:color w:val="000000"/>
          <w:lang w:val="en-US" w:eastAsia="zh-CN"/>
        </w:rPr>
        <w:t>防治责任范围的</w:t>
      </w:r>
      <w:r>
        <w:rPr>
          <w:rFonts w:hint="default" w:ascii="Times New Roman" w:hAnsi="Times New Roman" w:cs="Times New Roman"/>
          <w:color w:val="000000"/>
        </w:rPr>
        <w:t>水土流失</w:t>
      </w:r>
      <w:r>
        <w:rPr>
          <w:rFonts w:hint="eastAsia" w:ascii="Times New Roman" w:hAnsi="Times New Roman" w:cs="Times New Roman"/>
          <w:color w:val="000000"/>
          <w:lang w:val="en-US" w:eastAsia="zh-CN"/>
        </w:rPr>
        <w:t>防治</w:t>
      </w:r>
      <w:r>
        <w:rPr>
          <w:rFonts w:hint="default" w:ascii="Times New Roman" w:hAnsi="Times New Roman" w:cs="Times New Roman"/>
          <w:color w:val="000000"/>
        </w:rPr>
        <w:t>负责。施工单位必须具有懂水土保持专业业务的技术人员，熟悉各项水土保持措施技术要求；并加强水土保持技术培训，强化施工人员的水土保持意识，提高施工人员的水土保持工程施工技术水平。对实施水土保持方案确有困难的施工队伍，应聘请水土保持技术人员进行技术指导或委托水土保持部门实施。</w:t>
      </w:r>
    </w:p>
    <w:p w14:paraId="09A93BE3">
      <w:pPr>
        <w:pStyle w:val="61"/>
        <w:ind w:firstLine="482"/>
        <w:rPr>
          <w:rFonts w:hint="default" w:ascii="Times New Roman" w:hAnsi="Times New Roman" w:cs="Times New Roman"/>
          <w:color w:val="000000"/>
        </w:rPr>
      </w:pPr>
      <w:r>
        <w:rPr>
          <w:rFonts w:hint="default" w:ascii="Times New Roman" w:hAnsi="Times New Roman" w:cs="Times New Roman"/>
          <w:color w:val="000000"/>
        </w:rPr>
        <w:t>严格按设计工艺及工序施工，尽早应在雨季前完成工程建设，减少水土流失。</w:t>
      </w:r>
    </w:p>
    <w:p w14:paraId="75CBB794">
      <w:pPr>
        <w:pStyle w:val="61"/>
        <w:ind w:firstLine="482"/>
        <w:rPr>
          <w:rFonts w:hint="default" w:ascii="Times New Roman" w:hAnsi="Times New Roman" w:cs="Times New Roman"/>
          <w:color w:val="000000"/>
        </w:rPr>
      </w:pPr>
      <w:r>
        <w:rPr>
          <w:rFonts w:hint="default" w:ascii="Times New Roman" w:hAnsi="Times New Roman" w:cs="Times New Roman"/>
          <w:color w:val="000000"/>
        </w:rPr>
        <w:t>施工单位应采取各种有效措施，减少在其防治范围内发生水土流失，避免对其范围外的土地进行扰动、破坏地表植被，对周边生态环境的影响。</w:t>
      </w:r>
    </w:p>
    <w:p w14:paraId="0A2FA2E1">
      <w:pPr>
        <w:pStyle w:val="61"/>
        <w:ind w:firstLine="482"/>
        <w:rPr>
          <w:rFonts w:hint="default" w:ascii="Times New Roman" w:hAnsi="Times New Roman" w:cs="Times New Roman"/>
          <w:color w:val="000000"/>
        </w:rPr>
      </w:pPr>
      <w:r>
        <w:rPr>
          <w:rFonts w:hint="default" w:ascii="Times New Roman" w:hAnsi="Times New Roman" w:cs="Times New Roman"/>
          <w:color w:val="000000"/>
        </w:rPr>
        <w:t>严格按照水土保持要求进行施工，施工过程中，如需进行设计变更，及时与建设单位、设计单位和监理单位协商，按相关程序变更或补充设计批准后，再进行施工。</w:t>
      </w:r>
    </w:p>
    <w:p w14:paraId="54A48A18">
      <w:pPr>
        <w:pStyle w:val="61"/>
        <w:ind w:firstLine="482"/>
        <w:rPr>
          <w:rFonts w:hint="default" w:ascii="Times New Roman" w:hAnsi="Times New Roman" w:cs="Times New Roman"/>
          <w:color w:val="000000"/>
        </w:rPr>
      </w:pPr>
      <w:r>
        <w:rPr>
          <w:rFonts w:hint="default" w:ascii="Times New Roman" w:hAnsi="Times New Roman" w:cs="Times New Roman"/>
          <w:color w:val="000000"/>
        </w:rPr>
        <w:t>裸露区应设置拦挡标志，防止人为任意踩踏，造成扰动；临时覆盖应按照施工要求搭接紧密，防止使用中地表土外露，造成水土流失。</w:t>
      </w:r>
    </w:p>
    <w:p w14:paraId="482F90DA">
      <w:pPr>
        <w:pStyle w:val="61"/>
        <w:ind w:firstLine="482"/>
        <w:rPr>
          <w:rFonts w:hint="default" w:ascii="Times New Roman" w:hAnsi="Times New Roman" w:cs="Times New Roman"/>
          <w:color w:val="000000"/>
        </w:rPr>
      </w:pPr>
      <w:r>
        <w:rPr>
          <w:rFonts w:hint="default" w:ascii="Times New Roman" w:hAnsi="Times New Roman" w:cs="Times New Roman"/>
          <w:color w:val="000000"/>
        </w:rPr>
        <w:t>施工期应加强对各项水土保持设施的管理和维护，定期检查其运行状况，防患于未然，发现问题及时采取补救或整改措施。</w:t>
      </w:r>
    </w:p>
    <w:p w14:paraId="4070E890">
      <w:pPr>
        <w:pStyle w:val="61"/>
        <w:ind w:firstLine="482"/>
        <w:rPr>
          <w:rFonts w:hint="default" w:ascii="Times New Roman" w:hAnsi="Times New Roman" w:cs="Times New Roman"/>
          <w:color w:val="000000"/>
        </w:rPr>
      </w:pPr>
      <w:r>
        <w:rPr>
          <w:rFonts w:hint="default" w:ascii="Times New Roman" w:hAnsi="Times New Roman" w:cs="Times New Roman"/>
          <w:color w:val="000000"/>
        </w:rPr>
        <w:t>植物措施施工过程中，应注意加强绿化植物的后期抚育工作，抓好幼林抚育和管护，确保各种植物的成活率，尽早发挥植物措施的水土保持效益。</w:t>
      </w:r>
    </w:p>
    <w:p w14:paraId="231BC9F2">
      <w:pPr>
        <w:pStyle w:val="3"/>
        <w:rPr>
          <w:rFonts w:hint="default" w:ascii="Times New Roman" w:hAnsi="Times New Roman" w:eastAsia="仿宋_GB2312" w:cs="Times New Roman"/>
          <w:color w:val="000000"/>
        </w:rPr>
      </w:pPr>
      <w:bookmarkStart w:id="117" w:name="_Toc165223601"/>
      <w:r>
        <w:rPr>
          <w:rFonts w:hint="default" w:ascii="Times New Roman" w:hAnsi="Times New Roman" w:cs="Times New Roman"/>
          <w:color w:val="000000"/>
        </w:rPr>
        <w:t>水土保持设施验收</w:t>
      </w:r>
      <w:bookmarkEnd w:id="117"/>
    </w:p>
    <w:p w14:paraId="464154E0">
      <w:pPr>
        <w:pStyle w:val="61"/>
        <w:ind w:firstLine="482"/>
        <w:jc w:val="both"/>
        <w:rPr>
          <w:rFonts w:hint="default" w:ascii="Times New Roman" w:hAnsi="Times New Roman" w:cs="Times New Roman"/>
          <w:color w:val="000000"/>
        </w:rPr>
      </w:pPr>
      <w:r>
        <w:rPr>
          <w:rFonts w:hint="default" w:ascii="Times New Roman" w:hAnsi="Times New Roman" w:cs="Times New Roman"/>
          <w:color w:val="000000"/>
        </w:rPr>
        <w:t>按照《国务院关于取消一批行政许可事项的决定》（国发〔2017〕46号）、《水利部关于加强事中事后监管规范生产建设项目水土保持设施自主验收的通知》（水保〔2017〕365号）以及《云南省水利厅转发关于水利部关于加强事中事后监管规范生产建设项目水土保持设施自主验收文件的通知》（云水保〔2017〕97号）的要求进行水土保持设施自主验收。</w:t>
      </w:r>
    </w:p>
    <w:p w14:paraId="15A5D9C9">
      <w:pPr>
        <w:pStyle w:val="61"/>
        <w:ind w:firstLine="482"/>
        <w:jc w:val="both"/>
        <w:rPr>
          <w:rFonts w:hint="default" w:ascii="Times New Roman" w:hAnsi="Times New Roman" w:cs="Times New Roman"/>
          <w:b/>
          <w:bCs/>
          <w:color w:val="000000"/>
          <w:sz w:val="32"/>
          <w:szCs w:val="32"/>
          <w:shd w:val="clear" w:color="auto" w:fill="FFFF00"/>
        </w:rPr>
      </w:pPr>
      <w:r>
        <w:rPr>
          <w:rFonts w:hint="default" w:ascii="Times New Roman" w:hAnsi="Times New Roman" w:cs="Times New Roman"/>
          <w:color w:val="000000"/>
        </w:rPr>
        <w:t>在主体工程竣工验收时，应同时验收水土保持设施，水土保持设施验收合格后，主体工程方可正式投入使用，验收不合格，主体工程不得投入运行。督促区域内完工的生产建设项目尽快开展水土保持设施验收工作，提高水土保持设施验收率。验收前，建设单位须进行自查，提高水土保持验收规程中规定的备查资料、各分部工程验收签证、各单位工程验收鉴定书。符合验收条件的，由建设单位及时开展水土保持设施自主验收工作，建设单位需组织各参建单位召开自主验收会议，各方发表意见，一致同意验收后形成验收鉴定书。在验收完成后及时向水行政主管部门进行验收备案。报备材料包括报备申请表、公示截图和水土保持设施验收鉴定书。验收时，应对实施的水土保持项目的数量、质量进行汇总评价，总结水土保持工程实施过程中的成功经验和不足部分，对没有足额完成的部分或有缺陷的工程，建设单位重新设计实施，补充完善。</w:t>
      </w:r>
    </w:p>
    <w:p w14:paraId="7DAB2394">
      <w:pPr>
        <w:ind w:firstLine="482"/>
        <w:rPr>
          <w:rFonts w:hint="default" w:ascii="Times New Roman" w:hAnsi="Times New Roman" w:cs="Times New Roman"/>
        </w:rPr>
      </w:pPr>
      <w:r>
        <w:rPr>
          <w:rFonts w:hint="default" w:ascii="Times New Roman" w:hAnsi="Times New Roman" w:cs="Times New Roman"/>
          <w:b/>
          <w:color w:val="000000"/>
          <w:kern w:val="28"/>
        </w:rPr>
        <w:t xml:space="preserve"> </w:t>
      </w:r>
    </w:p>
    <w:sectPr>
      <w:headerReference r:id="rId26" w:type="default"/>
      <w:pgSz w:w="11906" w:h="16838"/>
      <w:pgMar w:top="1134" w:right="1418"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DCC39">
    <w:pPr>
      <w:pStyle w:val="20"/>
      <w:ind w:firstLine="0" w:firstLineChars="0"/>
      <w:rPr>
        <w:rFonts w:ascii="仿宋_GB2312" w:eastAsia="仿宋_GB2312"/>
      </w:rPr>
    </w:pPr>
    <w:r>
      <w:rPr>
        <w:rFonts w:hint="eastAsia" w:ascii="仿宋_GB2312" w:eastAsia="仿宋_GB231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B0C11">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D5F95">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7896D">
    <w:pPr>
      <w:pStyle w:val="20"/>
      <w:ind w:firstLine="0" w:firstLineChars="0"/>
      <w:rPr>
        <w:rFonts w:ascii="仿宋_GB2312" w:eastAsia="仿宋_GB2312"/>
      </w:rPr>
    </w:pPr>
    <w:r>
      <w:rPr>
        <w:rFonts w:hint="eastAsia" w:ascii="仿宋_GB2312" w:eastAsia="仿宋_GB231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1178F">
    <w:pPr>
      <w:pStyle w:val="20"/>
      <w:ind w:firstLine="0" w:firstLineChars="0"/>
      <w:rPr>
        <w:rFonts w:ascii="Times New Roman" w:hAnsi="Times New Roman" w:eastAsia="仿宋_GB2312" w:cs="Times New Roman"/>
      </w:rPr>
    </w:pPr>
    <w:r>
      <w:rPr>
        <w:sz w:val="18"/>
      </w:rPr>
      <w:pict>
        <v:shape id="_x0000_s1026" o:spid="_x0000_s1026" o:spt="202" type="#_x0000_t202" style="position:absolute;left:0pt;margin-top:0pt;height:144pt;width:144pt;mso-position-horizontal:lef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sdt>
                <w:sdtPr>
                  <w:id w:val="1559829598"/>
                </w:sdtPr>
                <w:sdtEndPr>
                  <w:rPr>
                    <w:rFonts w:ascii="Times New Roman" w:hAnsi="Times New Roman" w:eastAsia="仿宋_GB2312" w:cs="Times New Roman"/>
                  </w:rPr>
                </w:sdtEndPr>
                <w:sdtContent>
                  <w:p w14:paraId="66FD2DD5">
                    <w:pPr>
                      <w:pStyle w:val="20"/>
                      <w:ind w:firstLine="0" w:firstLineChars="0"/>
                      <w:rPr>
                        <w:rFonts w:ascii="Times New Roman" w:hAnsi="Times New Roman" w:eastAsia="仿宋_GB2312" w:cs="Times New Roman"/>
                      </w:rPr>
                    </w:pPr>
                    <w:r>
                      <w:rPr>
                        <w:rFonts w:hint="eastAsia" w:ascii="Times New Roman" w:hAnsi="Times New Roman" w:eastAsia="仿宋_GB2312" w:cs="Times New Roman"/>
                        <w:lang w:eastAsia="zh-CN"/>
                      </w:rPr>
                      <w:t>云南环沃工程咨询有限公司</w:t>
                    </w:r>
                    <w:r>
                      <w:rPr>
                        <w:rFonts w:ascii="Times New Roman" w:hAnsi="Times New Roman" w:eastAsia="仿宋_GB2312" w:cs="Times New Roman"/>
                      </w:rPr>
                      <w:t xml:space="preserve">                      </w:t>
                    </w:r>
                    <w:r>
                      <w:rPr>
                        <w:rFonts w:ascii="Times New Roman" w:hAnsi="Times New Roman" w:eastAsia="仿宋_GB2312" w:cs="Times New Roman"/>
                      </w:rPr>
                      <w:fldChar w:fldCharType="begin"/>
                    </w:r>
                    <w:r>
                      <w:rPr>
                        <w:rFonts w:ascii="Times New Roman" w:hAnsi="Times New Roman" w:eastAsia="仿宋_GB2312" w:cs="Times New Roman"/>
                      </w:rPr>
                      <w:instrText xml:space="preserve">PAGE   \* MERGEFORMAT</w:instrText>
                    </w:r>
                    <w:r>
                      <w:rPr>
                        <w:rFonts w:ascii="Times New Roman" w:hAnsi="Times New Roman" w:eastAsia="仿宋_GB2312" w:cs="Times New Roman"/>
                      </w:rPr>
                      <w:fldChar w:fldCharType="separate"/>
                    </w:r>
                    <w:r>
                      <w:rPr>
                        <w:rFonts w:ascii="Times New Roman" w:hAnsi="Times New Roman" w:eastAsia="仿宋_GB2312" w:cs="Times New Roman"/>
                        <w:lang w:val="zh-CN"/>
                      </w:rPr>
                      <w:t>165</w:t>
                    </w:r>
                    <w:r>
                      <w:rPr>
                        <w:rFonts w:ascii="Times New Roman" w:hAnsi="Times New Roman" w:eastAsia="仿宋_GB2312" w:cs="Times New Roman"/>
                      </w:rPr>
                      <w:fldChar w:fldCharType="end"/>
                    </w:r>
                  </w:p>
                </w:sdtContent>
              </w:sdt>
              <w:p w14:paraId="4758102D">
                <w:pPr>
                  <w:rPr>
                    <w:rFonts w:ascii="Times New Roman" w:hAnsi="Times New Roman" w:eastAsia="仿宋_GB2312" w:cs="Times New Roman"/>
                  </w:rP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84E0">
    <w:pPr>
      <w:pStyle w:val="20"/>
      <w:ind w:firstLine="0" w:firstLineChars="0"/>
      <w:rPr>
        <w:rFonts w:ascii="Times New Roman" w:hAnsi="Times New Roman" w:eastAsia="仿宋_GB2312" w:cs="Times New Roman"/>
      </w:rPr>
    </w:pPr>
    <w:r>
      <w:rPr>
        <w:sz w:val="18"/>
      </w:rPr>
      <w:pict>
        <v:shape id="_x0000_s1027" o:spid="_x0000_s1027" o:spt="202" type="#_x0000_t202" style="position:absolute;left:0pt;margin-top:0pt;height:144pt;width:144pt;mso-position-horizontal:lef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sdt>
                <w:sdtPr>
                  <w:id w:val="-995799643"/>
                </w:sdtPr>
                <w:sdtEndPr>
                  <w:rPr>
                    <w:rFonts w:ascii="Times New Roman" w:hAnsi="Times New Roman" w:eastAsia="仿宋_GB2312" w:cs="Times New Roman"/>
                  </w:rPr>
                </w:sdtEndPr>
                <w:sdtContent>
                  <w:p w14:paraId="12D133A4">
                    <w:pPr>
                      <w:pStyle w:val="20"/>
                      <w:ind w:firstLine="0" w:firstLineChars="0"/>
                      <w:rPr>
                        <w:rFonts w:ascii="Times New Roman" w:hAnsi="Times New Roman" w:eastAsia="仿宋_GB2312" w:cs="Times New Roman"/>
                      </w:rPr>
                    </w:pPr>
                    <w:r>
                      <w:rPr>
                        <w:rFonts w:hint="eastAsia" w:ascii="Times New Roman" w:hAnsi="Times New Roman" w:eastAsia="仿宋_GB2312" w:cs="Times New Roman"/>
                        <w:lang w:eastAsia="zh-CN"/>
                      </w:rPr>
                      <w:t>云南环沃工程咨询有限公司</w:t>
                    </w:r>
                    <w:r>
                      <w:rPr>
                        <w:rFonts w:ascii="Times New Roman" w:hAnsi="Times New Roman" w:eastAsia="仿宋_GB2312" w:cs="Times New Roman"/>
                      </w:rPr>
                      <w:t xml:space="preserve">                    </w:t>
                    </w:r>
                    <w:r>
                      <w:rPr>
                        <w:rFonts w:ascii="Times New Roman" w:hAnsi="Times New Roman" w:eastAsia="仿宋_GB2312" w:cs="Times New Roman"/>
                      </w:rPr>
                      <w:fldChar w:fldCharType="begin"/>
                    </w:r>
                    <w:r>
                      <w:rPr>
                        <w:rFonts w:ascii="Times New Roman" w:hAnsi="Times New Roman" w:eastAsia="仿宋_GB2312" w:cs="Times New Roman"/>
                      </w:rPr>
                      <w:instrText xml:space="preserve">PAGE   \* MERGEFORMAT</w:instrText>
                    </w:r>
                    <w:r>
                      <w:rPr>
                        <w:rFonts w:ascii="Times New Roman" w:hAnsi="Times New Roman" w:eastAsia="仿宋_GB2312" w:cs="Times New Roman"/>
                      </w:rPr>
                      <w:fldChar w:fldCharType="separate"/>
                    </w:r>
                    <w:r>
                      <w:rPr>
                        <w:rFonts w:ascii="Times New Roman" w:hAnsi="Times New Roman" w:eastAsia="仿宋_GB2312" w:cs="Times New Roman"/>
                        <w:lang w:val="zh-CN"/>
                      </w:rPr>
                      <w:t>165</w:t>
                    </w:r>
                    <w:r>
                      <w:rPr>
                        <w:rFonts w:ascii="Times New Roman" w:hAnsi="Times New Roman" w:eastAsia="仿宋_GB2312" w:cs="Times New Roman"/>
                      </w:rPr>
                      <w:fldChar w:fldCharType="end"/>
                    </w:r>
                  </w:p>
                </w:sdtContent>
              </w:sdt>
              <w:p w14:paraId="51716EC3">
                <w:pPr>
                  <w:rPr>
                    <w:rFonts w:ascii="Times New Roman" w:hAnsi="Times New Roman" w:eastAsia="仿宋_GB2312" w:cs="Times New Roman"/>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785AA">
    <w:pPr>
      <w:pStyle w:val="21"/>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298D">
    <w:pPr>
      <w:pStyle w:val="21"/>
      <w:pBdr>
        <w:bottom w:val="single" w:color="auto" w:sz="4" w:space="1"/>
      </w:pBdr>
      <w:ind w:firstLine="0" w:firstLineChars="0"/>
      <w:jc w:val="center"/>
      <w:rPr>
        <w:rFonts w:hint="eastAsia" w:ascii="仿宋_GB2312" w:hAnsi="宋体" w:eastAsia="仿宋_GB2312"/>
        <w:lang w:val="en-US" w:eastAsia="zh-CN"/>
      </w:rPr>
    </w:pPr>
    <w:r>
      <w:rPr>
        <w:rFonts w:hint="eastAsia" w:ascii="仿宋_GB2312" w:hAnsi="宋体" w:eastAsia="仿宋_GB2312"/>
        <w:lang w:eastAsia="zh-CN"/>
      </w:rPr>
      <w:t>待补镇安康安置点帮扶车间建设项目</w:t>
    </w:r>
    <w:r>
      <w:rPr>
        <w:rFonts w:hint="eastAsia" w:ascii="仿宋_GB2312" w:hAnsi="宋体" w:eastAsia="仿宋_GB2312"/>
      </w:rPr>
      <w:t xml:space="preserve">水土保持方案报告表 </w:t>
    </w:r>
    <w:r>
      <w:rPr>
        <w:rFonts w:ascii="仿宋_GB2312" w:hAnsi="宋体" w:eastAsia="仿宋_GB2312"/>
      </w:rPr>
      <w:t xml:space="preserve">           </w:t>
    </w:r>
    <w:r>
      <w:rPr>
        <w:rFonts w:hint="eastAsia" w:ascii="仿宋_GB2312" w:hAnsi="宋体" w:eastAsia="仿宋_GB2312"/>
      </w:rPr>
      <w:t xml:space="preserve">              </w:t>
    </w:r>
    <w:r>
      <w:rPr>
        <w:rFonts w:hint="eastAsia" w:ascii="仿宋_GB2312" w:hAnsi="宋体" w:eastAsia="仿宋_GB2312"/>
        <w:lang w:val="en-US" w:eastAsia="zh-CN"/>
      </w:rPr>
      <w:t xml:space="preserve"> </w:t>
    </w:r>
    <w:r>
      <w:rPr>
        <w:rFonts w:hint="eastAsia" w:ascii="仿宋_GB2312" w:hAnsi="宋体" w:eastAsia="仿宋_GB2312"/>
      </w:rPr>
      <w:t xml:space="preserve">  </w:t>
    </w:r>
    <w:r>
      <w:rPr>
        <w:rFonts w:ascii="仿宋_GB2312" w:hAnsi="宋体" w:eastAsia="仿宋_GB2312"/>
      </w:rPr>
      <w:t xml:space="preserve">     </w:t>
    </w:r>
    <w:r>
      <w:rPr>
        <w:rFonts w:hint="eastAsia" w:ascii="仿宋_GB2312" w:hAnsi="宋体" w:eastAsia="仿宋_GB2312"/>
        <w:lang w:val="en-US" w:eastAsia="zh-CN"/>
      </w:rPr>
      <w:t>4水土流失分析与预测</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4B246">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水土保持方案报告表</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5</w:t>
    </w:r>
    <w:r>
      <w:rPr>
        <w:rFonts w:hint="eastAsia" w:ascii="仿宋_GB2312" w:hAnsi="宋体" w:eastAsia="仿宋_GB2312"/>
      </w:rPr>
      <w:t>水土保持措施</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2882C">
    <w:pPr>
      <w:pStyle w:val="21"/>
      <w:pBdr>
        <w:bottom w:val="single" w:color="auto" w:sz="4" w:space="1"/>
      </w:pBdr>
      <w:ind w:firstLine="0" w:firstLineChars="0"/>
      <w:jc w:val="both"/>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水土保持方案报告表</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5</w:t>
    </w:r>
    <w:r>
      <w:rPr>
        <w:rFonts w:hint="eastAsia" w:ascii="仿宋_GB2312" w:hAnsi="宋体" w:eastAsia="仿宋_GB2312"/>
      </w:rPr>
      <w:t>水土保持措施</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F1F7C">
    <w:pPr>
      <w:pStyle w:val="21"/>
      <w:pBdr>
        <w:bottom w:val="single" w:color="auto" w:sz="4" w:space="1"/>
      </w:pBdr>
      <w:ind w:firstLine="0" w:firstLineChars="0"/>
      <w:jc w:val="both"/>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水土保持方案报告表</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5</w:t>
    </w:r>
    <w:r>
      <w:rPr>
        <w:rFonts w:hint="eastAsia" w:ascii="仿宋_GB2312" w:hAnsi="宋体" w:eastAsia="仿宋_GB2312"/>
      </w:rPr>
      <w:t>水土保持措施</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558B4">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水土保持方案报告表</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6</w:t>
    </w:r>
    <w:r>
      <w:rPr>
        <w:rFonts w:hint="eastAsia" w:ascii="仿宋_GB2312" w:hAnsi="宋体" w:eastAsia="仿宋_GB2312"/>
      </w:rPr>
      <w:t>水土保持监测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40D9F">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水土保持方案报告表</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w:t>
    </w:r>
    <w:r>
      <w:rPr>
        <w:rFonts w:hint="eastAsia" w:ascii="仿宋_GB2312" w:hAnsi="宋体" w:eastAsia="仿宋_GB2312"/>
        <w:lang w:val="en-US" w:eastAsia="zh-CN"/>
      </w:rPr>
      <w:t xml:space="preserve">   </w:t>
    </w:r>
    <w:r>
      <w:rPr>
        <w:rFonts w:ascii="仿宋_GB2312" w:hAnsi="宋体" w:eastAsia="仿宋_GB2312"/>
      </w:rPr>
      <w:t xml:space="preserve">        7</w:t>
    </w:r>
    <w:r>
      <w:rPr>
        <w:rFonts w:hint="eastAsia" w:ascii="仿宋_GB2312" w:hAnsi="宋体" w:eastAsia="仿宋_GB2312"/>
      </w:rPr>
      <w:t xml:space="preserve"> </w:t>
    </w:r>
    <w:r>
      <w:rPr>
        <w:rFonts w:hint="eastAsia" w:ascii="仿宋_GB2312" w:hAnsi="宋体" w:eastAsia="仿宋_GB2312"/>
      </w:rPr>
      <w:tab/>
    </w:r>
    <w:r>
      <w:rPr>
        <w:rFonts w:hint="eastAsia" w:ascii="仿宋_GB2312" w:hAnsi="宋体" w:eastAsia="仿宋_GB2312"/>
      </w:rPr>
      <w:t>水土保持投资</w:t>
    </w:r>
    <w:r>
      <w:rPr>
        <w:rFonts w:hint="eastAsia" w:ascii="仿宋_GB2312" w:hAnsi="宋体" w:eastAsia="仿宋_GB2312"/>
        <w:lang w:val="en-US" w:eastAsia="zh-CN"/>
      </w:rPr>
      <w:t>概</w:t>
    </w:r>
    <w:r>
      <w:rPr>
        <w:rFonts w:hint="eastAsia" w:ascii="仿宋_GB2312" w:hAnsi="宋体" w:eastAsia="仿宋_GB2312"/>
      </w:rPr>
      <w:t>算及效益分析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C886">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 xml:space="preserve">水土保持方案报告表     </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8</w:t>
    </w:r>
    <w:r>
      <w:rPr>
        <w:rFonts w:hint="eastAsia" w:ascii="仿宋_GB2312" w:hAnsi="宋体" w:eastAsia="仿宋_GB2312"/>
      </w:rPr>
      <w:t>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9BA3">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03CE3">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3FE3">
    <w:pPr>
      <w:pStyle w:val="21"/>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52F07">
    <w:pPr>
      <w:pStyle w:val="21"/>
      <w:pBdr>
        <w:bottom w:val="single" w:color="auto" w:sz="4" w:space="1"/>
      </w:pBdr>
      <w:ind w:firstLine="0" w:firstLineChars="0"/>
      <w:jc w:val="both"/>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 xml:space="preserve">水土保持方案报告表       </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1</w:t>
    </w:r>
    <w:r>
      <w:rPr>
        <w:rFonts w:hint="eastAsia" w:ascii="仿宋_GB2312" w:hAnsi="宋体" w:eastAsia="仿宋_GB2312"/>
      </w:rPr>
      <w:t>综合说明</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27FB7">
    <w:pPr>
      <w:ind w:firstLine="0" w:firstLineChars="0"/>
      <w:jc w:val="center"/>
      <w:rPr>
        <w:sz w:val="18"/>
        <w:szCs w:val="18"/>
      </w:rPr>
    </w:pPr>
    <w:r>
      <w:rPr>
        <w:sz w:val="18"/>
        <w:szCs w:val="18"/>
      </w:rPr>
      <w:pict>
        <v:shape id="AutoShape 8" o:spid="_x0000_s1025" o:spt="32" type="#_x0000_t32" style="position:absolute;left:0pt;margin-left:0.5pt;margin-top:12.4pt;height:0pt;width:446.55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" adj="-3727,-1,-3727">
          <v:path arrowok="t"/>
          <v:fill on="f" focussize="0,0"/>
          <v:stroke/>
          <v:imagedata o:title=""/>
          <o:lock v:ext="edit"/>
        </v:shape>
      </w:pict>
    </w:r>
    <w:r>
      <w:rPr>
        <w:rFonts w:hint="eastAsia"/>
        <w:sz w:val="18"/>
        <w:szCs w:val="18"/>
        <w:lang w:eastAsia="zh-CN"/>
      </w:rPr>
      <w:t>待补镇安康安置点帮扶车间建设项目</w:t>
    </w:r>
    <w:r>
      <w:rPr>
        <w:rFonts w:hint="eastAsia"/>
        <w:sz w:val="18"/>
        <w:szCs w:val="18"/>
      </w:rPr>
      <w:t>水土保持方案报告表</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2.项目概况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D1E9">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 xml:space="preserve">水土保持方案报告表       </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2</w:t>
    </w:r>
    <w:r>
      <w:rPr>
        <w:rFonts w:hint="eastAsia" w:ascii="仿宋_GB2312" w:hAnsi="宋体" w:eastAsia="仿宋_GB2312"/>
      </w:rPr>
      <w:t>项目概况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D877C">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 xml:space="preserve">水土保持方案报告表   </w:t>
    </w:r>
    <w:r>
      <w:rPr>
        <w:rFonts w:ascii="仿宋_GB2312" w:hAnsi="宋体" w:eastAsia="仿宋_GB2312"/>
      </w:rPr>
      <w:t xml:space="preserve">    </w:t>
    </w:r>
    <w:r>
      <w:rPr>
        <w:rFonts w:hint="eastAsia" w:ascii="仿宋_GB2312" w:hAnsi="宋体" w:eastAsia="仿宋_GB2312"/>
      </w:rPr>
      <w:t xml:space="preserve">         </w:t>
    </w:r>
    <w:r>
      <w:rPr>
        <w:rFonts w:ascii="仿宋_GB2312" w:hAnsi="宋体" w:eastAsia="仿宋_GB2312"/>
      </w:rPr>
      <w:t xml:space="preserve">                          2</w:t>
    </w:r>
    <w:r>
      <w:rPr>
        <w:rFonts w:hint="eastAsia" w:ascii="仿宋_GB2312" w:hAnsi="宋体" w:eastAsia="仿宋_GB2312"/>
      </w:rPr>
      <w:t>项目概况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E4A09">
    <w:pPr>
      <w:pStyle w:val="21"/>
      <w:pBdr>
        <w:bottom w:val="single" w:color="auto" w:sz="4" w:space="1"/>
      </w:pBdr>
      <w:ind w:firstLine="0" w:firstLineChars="0"/>
      <w:jc w:val="center"/>
      <w:rPr>
        <w:rFonts w:ascii="仿宋_GB2312" w:hAnsi="宋体" w:eastAsia="仿宋_GB2312"/>
      </w:rPr>
    </w:pPr>
    <w:r>
      <w:rPr>
        <w:rFonts w:hint="eastAsia" w:ascii="仿宋_GB2312" w:hAnsi="宋体" w:eastAsia="仿宋_GB2312"/>
        <w:lang w:eastAsia="zh-CN"/>
      </w:rPr>
      <w:t>待补镇安康安置点帮扶车间建设项目</w:t>
    </w:r>
    <w:r>
      <w:rPr>
        <w:rFonts w:hint="eastAsia" w:ascii="仿宋_GB2312" w:hAnsi="宋体" w:eastAsia="仿宋_GB2312"/>
      </w:rPr>
      <w:t xml:space="preserve">水土保持方案报告表 </w:t>
    </w:r>
    <w:r>
      <w:rPr>
        <w:rFonts w:ascii="仿宋_GB2312" w:hAnsi="宋体" w:eastAsia="仿宋_GB2312"/>
      </w:rPr>
      <w:t xml:space="preserve">            </w:t>
    </w:r>
    <w:r>
      <w:rPr>
        <w:rFonts w:hint="eastAsia" w:ascii="仿宋_GB2312" w:hAnsi="宋体" w:eastAsia="仿宋_GB2312"/>
      </w:rPr>
      <w:t xml:space="preserve">            </w:t>
    </w:r>
    <w:r>
      <w:rPr>
        <w:rFonts w:hint="eastAsia" w:ascii="仿宋_GB2312" w:hAnsi="宋体" w:eastAsia="仿宋_GB2312"/>
        <w:lang w:val="en-US" w:eastAsia="zh-CN"/>
      </w:rPr>
      <w:t xml:space="preserve"> </w:t>
    </w:r>
    <w:r>
      <w:rPr>
        <w:rFonts w:hint="eastAsia" w:ascii="仿宋_GB2312" w:hAnsi="宋体" w:eastAsia="仿宋_GB2312"/>
      </w:rPr>
      <w:t xml:space="preserve">  </w:t>
    </w:r>
    <w:r>
      <w:rPr>
        <w:rFonts w:ascii="仿宋_GB2312" w:hAnsi="宋体" w:eastAsia="仿宋_GB2312"/>
      </w:rPr>
      <w:t xml:space="preserve">     </w:t>
    </w:r>
    <w:r>
      <w:rPr>
        <w:rFonts w:hint="eastAsia" w:ascii="仿宋_GB2312" w:hAnsi="宋体" w:eastAsia="仿宋_GB2312"/>
        <w:lang w:val="en-US" w:eastAsia="zh-CN"/>
      </w:rPr>
      <w:t>3项目水土保持评价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E5465"/>
    <w:multiLevelType w:val="multilevel"/>
    <w:tmpl w:val="ADAE5465"/>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1">
    <w:nsid w:val="6F4B1AB5"/>
    <w:multiLevelType w:val="singleLevel"/>
    <w:tmpl w:val="6F4B1AB5"/>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rules v:ext="edit">
        <o:r id="V:Rule1" type="connector" idref="#AutoShape 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kwZWU4Mjk5NzA3MWJhYzcyZGVmMzczZDVjMDNkZTYifQ=="/>
  </w:docVars>
  <w:rsids>
    <w:rsidRoot w:val="00172A27"/>
    <w:rsid w:val="00000159"/>
    <w:rsid w:val="00001479"/>
    <w:rsid w:val="0000148C"/>
    <w:rsid w:val="00001C11"/>
    <w:rsid w:val="00001E69"/>
    <w:rsid w:val="000024AD"/>
    <w:rsid w:val="000045EC"/>
    <w:rsid w:val="0000463F"/>
    <w:rsid w:val="00004A8A"/>
    <w:rsid w:val="00004C2A"/>
    <w:rsid w:val="00005326"/>
    <w:rsid w:val="0000548F"/>
    <w:rsid w:val="0000576F"/>
    <w:rsid w:val="0000626C"/>
    <w:rsid w:val="0000639D"/>
    <w:rsid w:val="00006824"/>
    <w:rsid w:val="00006EC2"/>
    <w:rsid w:val="000109BA"/>
    <w:rsid w:val="00010F71"/>
    <w:rsid w:val="00011A52"/>
    <w:rsid w:val="00011D9B"/>
    <w:rsid w:val="00011EB7"/>
    <w:rsid w:val="000122B3"/>
    <w:rsid w:val="0001325A"/>
    <w:rsid w:val="0001338C"/>
    <w:rsid w:val="000144BF"/>
    <w:rsid w:val="000147A3"/>
    <w:rsid w:val="00014CDF"/>
    <w:rsid w:val="00015259"/>
    <w:rsid w:val="00015DEE"/>
    <w:rsid w:val="00016269"/>
    <w:rsid w:val="00016504"/>
    <w:rsid w:val="000165BE"/>
    <w:rsid w:val="0001685C"/>
    <w:rsid w:val="00016C83"/>
    <w:rsid w:val="00017589"/>
    <w:rsid w:val="00017921"/>
    <w:rsid w:val="00017DF6"/>
    <w:rsid w:val="00020282"/>
    <w:rsid w:val="00020BCE"/>
    <w:rsid w:val="000212B2"/>
    <w:rsid w:val="0002134A"/>
    <w:rsid w:val="00021AC7"/>
    <w:rsid w:val="0002203D"/>
    <w:rsid w:val="00022437"/>
    <w:rsid w:val="0002293E"/>
    <w:rsid w:val="00022E89"/>
    <w:rsid w:val="00023585"/>
    <w:rsid w:val="000239DC"/>
    <w:rsid w:val="00023C07"/>
    <w:rsid w:val="00024176"/>
    <w:rsid w:val="000242A4"/>
    <w:rsid w:val="00024665"/>
    <w:rsid w:val="000247E4"/>
    <w:rsid w:val="00024B48"/>
    <w:rsid w:val="00025A4C"/>
    <w:rsid w:val="00025C5C"/>
    <w:rsid w:val="00025FDA"/>
    <w:rsid w:val="00026428"/>
    <w:rsid w:val="000269C0"/>
    <w:rsid w:val="00026BEF"/>
    <w:rsid w:val="000274B9"/>
    <w:rsid w:val="00030316"/>
    <w:rsid w:val="000304A6"/>
    <w:rsid w:val="0003051F"/>
    <w:rsid w:val="00031435"/>
    <w:rsid w:val="0003210A"/>
    <w:rsid w:val="000323B5"/>
    <w:rsid w:val="000324F1"/>
    <w:rsid w:val="00032B22"/>
    <w:rsid w:val="00032E35"/>
    <w:rsid w:val="000336FF"/>
    <w:rsid w:val="00033D23"/>
    <w:rsid w:val="00033D68"/>
    <w:rsid w:val="00033EBC"/>
    <w:rsid w:val="00034766"/>
    <w:rsid w:val="00034A1F"/>
    <w:rsid w:val="00034C53"/>
    <w:rsid w:val="00034DA8"/>
    <w:rsid w:val="00034EE5"/>
    <w:rsid w:val="00035B09"/>
    <w:rsid w:val="00035D28"/>
    <w:rsid w:val="00036241"/>
    <w:rsid w:val="000364B7"/>
    <w:rsid w:val="00037BA0"/>
    <w:rsid w:val="00037D61"/>
    <w:rsid w:val="00037E0D"/>
    <w:rsid w:val="00040200"/>
    <w:rsid w:val="000403C4"/>
    <w:rsid w:val="00040C74"/>
    <w:rsid w:val="00041820"/>
    <w:rsid w:val="00042177"/>
    <w:rsid w:val="00043443"/>
    <w:rsid w:val="00043812"/>
    <w:rsid w:val="000439B4"/>
    <w:rsid w:val="00043C1C"/>
    <w:rsid w:val="00046648"/>
    <w:rsid w:val="000477D7"/>
    <w:rsid w:val="000478A7"/>
    <w:rsid w:val="0004799A"/>
    <w:rsid w:val="00047D8A"/>
    <w:rsid w:val="00051082"/>
    <w:rsid w:val="000518A8"/>
    <w:rsid w:val="00051C87"/>
    <w:rsid w:val="000520F0"/>
    <w:rsid w:val="000521AC"/>
    <w:rsid w:val="000533A6"/>
    <w:rsid w:val="00053574"/>
    <w:rsid w:val="00053E64"/>
    <w:rsid w:val="00053E8E"/>
    <w:rsid w:val="00054CFC"/>
    <w:rsid w:val="0005642D"/>
    <w:rsid w:val="000572F7"/>
    <w:rsid w:val="00060AAB"/>
    <w:rsid w:val="00061335"/>
    <w:rsid w:val="00061AF5"/>
    <w:rsid w:val="0006295F"/>
    <w:rsid w:val="00063003"/>
    <w:rsid w:val="000631AD"/>
    <w:rsid w:val="00063B96"/>
    <w:rsid w:val="00063EFD"/>
    <w:rsid w:val="00064D8D"/>
    <w:rsid w:val="000657AE"/>
    <w:rsid w:val="00066613"/>
    <w:rsid w:val="00066D3D"/>
    <w:rsid w:val="00067078"/>
    <w:rsid w:val="00067105"/>
    <w:rsid w:val="0006717E"/>
    <w:rsid w:val="00067A59"/>
    <w:rsid w:val="00067CA8"/>
    <w:rsid w:val="000707D4"/>
    <w:rsid w:val="00070BE0"/>
    <w:rsid w:val="0007144C"/>
    <w:rsid w:val="000714D4"/>
    <w:rsid w:val="000726BE"/>
    <w:rsid w:val="00072D8E"/>
    <w:rsid w:val="000733C1"/>
    <w:rsid w:val="00073D37"/>
    <w:rsid w:val="00074A0D"/>
    <w:rsid w:val="000752FA"/>
    <w:rsid w:val="0007537E"/>
    <w:rsid w:val="0007788A"/>
    <w:rsid w:val="00077AA7"/>
    <w:rsid w:val="00077BC1"/>
    <w:rsid w:val="00077DAD"/>
    <w:rsid w:val="00077E82"/>
    <w:rsid w:val="000803E9"/>
    <w:rsid w:val="0008055E"/>
    <w:rsid w:val="00080A11"/>
    <w:rsid w:val="00080BCB"/>
    <w:rsid w:val="0008168A"/>
    <w:rsid w:val="00082A9E"/>
    <w:rsid w:val="0008379E"/>
    <w:rsid w:val="00084547"/>
    <w:rsid w:val="00084DE5"/>
    <w:rsid w:val="00085587"/>
    <w:rsid w:val="00085A89"/>
    <w:rsid w:val="000861A7"/>
    <w:rsid w:val="00086252"/>
    <w:rsid w:val="000864E9"/>
    <w:rsid w:val="0008666B"/>
    <w:rsid w:val="0008700A"/>
    <w:rsid w:val="00092001"/>
    <w:rsid w:val="000922BC"/>
    <w:rsid w:val="000922C8"/>
    <w:rsid w:val="0009401D"/>
    <w:rsid w:val="000940E4"/>
    <w:rsid w:val="0009486C"/>
    <w:rsid w:val="00095303"/>
    <w:rsid w:val="0009547C"/>
    <w:rsid w:val="000956E4"/>
    <w:rsid w:val="0009668A"/>
    <w:rsid w:val="00096832"/>
    <w:rsid w:val="00096A42"/>
    <w:rsid w:val="00096C2E"/>
    <w:rsid w:val="00096C72"/>
    <w:rsid w:val="00096E22"/>
    <w:rsid w:val="00097541"/>
    <w:rsid w:val="0009790F"/>
    <w:rsid w:val="000A00C5"/>
    <w:rsid w:val="000A0385"/>
    <w:rsid w:val="000A0443"/>
    <w:rsid w:val="000A1086"/>
    <w:rsid w:val="000A1307"/>
    <w:rsid w:val="000A17B3"/>
    <w:rsid w:val="000A2E7B"/>
    <w:rsid w:val="000A306A"/>
    <w:rsid w:val="000A36E9"/>
    <w:rsid w:val="000A372D"/>
    <w:rsid w:val="000A37B7"/>
    <w:rsid w:val="000A3F85"/>
    <w:rsid w:val="000A4A42"/>
    <w:rsid w:val="000A4B3D"/>
    <w:rsid w:val="000A5FDD"/>
    <w:rsid w:val="000A6CF6"/>
    <w:rsid w:val="000A6F8E"/>
    <w:rsid w:val="000A71EB"/>
    <w:rsid w:val="000A755E"/>
    <w:rsid w:val="000A7772"/>
    <w:rsid w:val="000A7822"/>
    <w:rsid w:val="000A7DE8"/>
    <w:rsid w:val="000B0315"/>
    <w:rsid w:val="000B0FC6"/>
    <w:rsid w:val="000B1213"/>
    <w:rsid w:val="000B1629"/>
    <w:rsid w:val="000B1D56"/>
    <w:rsid w:val="000B2A15"/>
    <w:rsid w:val="000B35CC"/>
    <w:rsid w:val="000B3DF5"/>
    <w:rsid w:val="000B405E"/>
    <w:rsid w:val="000B4F24"/>
    <w:rsid w:val="000B580C"/>
    <w:rsid w:val="000B680F"/>
    <w:rsid w:val="000B696B"/>
    <w:rsid w:val="000B6AF6"/>
    <w:rsid w:val="000B764E"/>
    <w:rsid w:val="000B7F71"/>
    <w:rsid w:val="000C000A"/>
    <w:rsid w:val="000C03BA"/>
    <w:rsid w:val="000C0486"/>
    <w:rsid w:val="000C0825"/>
    <w:rsid w:val="000C0C5B"/>
    <w:rsid w:val="000C0D51"/>
    <w:rsid w:val="000C1857"/>
    <w:rsid w:val="000C1B6F"/>
    <w:rsid w:val="000C1F4E"/>
    <w:rsid w:val="000C2555"/>
    <w:rsid w:val="000C3F9E"/>
    <w:rsid w:val="000C3FB0"/>
    <w:rsid w:val="000C4C5C"/>
    <w:rsid w:val="000C4D29"/>
    <w:rsid w:val="000C4F47"/>
    <w:rsid w:val="000C55ED"/>
    <w:rsid w:val="000C6ADF"/>
    <w:rsid w:val="000C6DE0"/>
    <w:rsid w:val="000D01C5"/>
    <w:rsid w:val="000D05CF"/>
    <w:rsid w:val="000D1A95"/>
    <w:rsid w:val="000D1C98"/>
    <w:rsid w:val="000D26C9"/>
    <w:rsid w:val="000D2B44"/>
    <w:rsid w:val="000D2C60"/>
    <w:rsid w:val="000D3449"/>
    <w:rsid w:val="000D374B"/>
    <w:rsid w:val="000D435E"/>
    <w:rsid w:val="000D4413"/>
    <w:rsid w:val="000D48FC"/>
    <w:rsid w:val="000D4A41"/>
    <w:rsid w:val="000D4BB6"/>
    <w:rsid w:val="000D51C7"/>
    <w:rsid w:val="000D52C6"/>
    <w:rsid w:val="000D5EA4"/>
    <w:rsid w:val="000D7249"/>
    <w:rsid w:val="000D7358"/>
    <w:rsid w:val="000D77CA"/>
    <w:rsid w:val="000E019A"/>
    <w:rsid w:val="000E02F5"/>
    <w:rsid w:val="000E0539"/>
    <w:rsid w:val="000E0DEB"/>
    <w:rsid w:val="000E0F1B"/>
    <w:rsid w:val="000E1BFF"/>
    <w:rsid w:val="000E1F93"/>
    <w:rsid w:val="000E21BA"/>
    <w:rsid w:val="000E268F"/>
    <w:rsid w:val="000E2A72"/>
    <w:rsid w:val="000E2DD5"/>
    <w:rsid w:val="000E383E"/>
    <w:rsid w:val="000E3884"/>
    <w:rsid w:val="000E3C64"/>
    <w:rsid w:val="000E410B"/>
    <w:rsid w:val="000E49C1"/>
    <w:rsid w:val="000E4A6E"/>
    <w:rsid w:val="000E4CCE"/>
    <w:rsid w:val="000E4ED2"/>
    <w:rsid w:val="000E5254"/>
    <w:rsid w:val="000E548A"/>
    <w:rsid w:val="000E5FE9"/>
    <w:rsid w:val="000E6086"/>
    <w:rsid w:val="000E7813"/>
    <w:rsid w:val="000F11C6"/>
    <w:rsid w:val="000F1288"/>
    <w:rsid w:val="000F140B"/>
    <w:rsid w:val="000F1794"/>
    <w:rsid w:val="000F1830"/>
    <w:rsid w:val="000F183F"/>
    <w:rsid w:val="000F25F9"/>
    <w:rsid w:val="000F2FE7"/>
    <w:rsid w:val="000F31E9"/>
    <w:rsid w:val="000F3394"/>
    <w:rsid w:val="000F3523"/>
    <w:rsid w:val="000F3679"/>
    <w:rsid w:val="000F391B"/>
    <w:rsid w:val="000F3EAA"/>
    <w:rsid w:val="000F3FBD"/>
    <w:rsid w:val="000F47BB"/>
    <w:rsid w:val="000F4D4B"/>
    <w:rsid w:val="000F627B"/>
    <w:rsid w:val="000F664D"/>
    <w:rsid w:val="000F6A3B"/>
    <w:rsid w:val="000F6A3D"/>
    <w:rsid w:val="000F6C26"/>
    <w:rsid w:val="000F6CFE"/>
    <w:rsid w:val="000F6DBA"/>
    <w:rsid w:val="000F7672"/>
    <w:rsid w:val="000F7EE6"/>
    <w:rsid w:val="00100004"/>
    <w:rsid w:val="001006A8"/>
    <w:rsid w:val="00100BD6"/>
    <w:rsid w:val="00100C82"/>
    <w:rsid w:val="00100C9E"/>
    <w:rsid w:val="00100F3C"/>
    <w:rsid w:val="00102847"/>
    <w:rsid w:val="00102B32"/>
    <w:rsid w:val="00102C77"/>
    <w:rsid w:val="00102C8B"/>
    <w:rsid w:val="001033D8"/>
    <w:rsid w:val="00103B44"/>
    <w:rsid w:val="00104783"/>
    <w:rsid w:val="00104E56"/>
    <w:rsid w:val="0010694B"/>
    <w:rsid w:val="001102C3"/>
    <w:rsid w:val="001104C5"/>
    <w:rsid w:val="0011068D"/>
    <w:rsid w:val="001110F8"/>
    <w:rsid w:val="00111CA3"/>
    <w:rsid w:val="00111D9B"/>
    <w:rsid w:val="00112B31"/>
    <w:rsid w:val="00112DAC"/>
    <w:rsid w:val="0011302C"/>
    <w:rsid w:val="00113080"/>
    <w:rsid w:val="001132BB"/>
    <w:rsid w:val="00113399"/>
    <w:rsid w:val="001133A3"/>
    <w:rsid w:val="001146B2"/>
    <w:rsid w:val="00114A2B"/>
    <w:rsid w:val="00115C4D"/>
    <w:rsid w:val="00116472"/>
    <w:rsid w:val="001164CB"/>
    <w:rsid w:val="00116ACE"/>
    <w:rsid w:val="00116BDB"/>
    <w:rsid w:val="00117050"/>
    <w:rsid w:val="001171B9"/>
    <w:rsid w:val="00117A84"/>
    <w:rsid w:val="00117AD5"/>
    <w:rsid w:val="00120473"/>
    <w:rsid w:val="0012069A"/>
    <w:rsid w:val="00120E37"/>
    <w:rsid w:val="00121BD7"/>
    <w:rsid w:val="00121EA8"/>
    <w:rsid w:val="0012243D"/>
    <w:rsid w:val="00122854"/>
    <w:rsid w:val="00123121"/>
    <w:rsid w:val="0012354E"/>
    <w:rsid w:val="00123BE3"/>
    <w:rsid w:val="00126DC2"/>
    <w:rsid w:val="00127141"/>
    <w:rsid w:val="00127316"/>
    <w:rsid w:val="001274CD"/>
    <w:rsid w:val="00127ADA"/>
    <w:rsid w:val="00130320"/>
    <w:rsid w:val="00130352"/>
    <w:rsid w:val="001305B3"/>
    <w:rsid w:val="001315BD"/>
    <w:rsid w:val="00131939"/>
    <w:rsid w:val="001320AE"/>
    <w:rsid w:val="00132671"/>
    <w:rsid w:val="001327F5"/>
    <w:rsid w:val="00132890"/>
    <w:rsid w:val="00132ADD"/>
    <w:rsid w:val="00132CCE"/>
    <w:rsid w:val="00133B8B"/>
    <w:rsid w:val="00134252"/>
    <w:rsid w:val="00134314"/>
    <w:rsid w:val="00134600"/>
    <w:rsid w:val="00134778"/>
    <w:rsid w:val="00134C93"/>
    <w:rsid w:val="00135111"/>
    <w:rsid w:val="00135545"/>
    <w:rsid w:val="00135896"/>
    <w:rsid w:val="00135C08"/>
    <w:rsid w:val="001361D5"/>
    <w:rsid w:val="00137075"/>
    <w:rsid w:val="0013775C"/>
    <w:rsid w:val="00140034"/>
    <w:rsid w:val="0014013A"/>
    <w:rsid w:val="00140F57"/>
    <w:rsid w:val="00140F65"/>
    <w:rsid w:val="00141465"/>
    <w:rsid w:val="001414EF"/>
    <w:rsid w:val="00141674"/>
    <w:rsid w:val="00142467"/>
    <w:rsid w:val="00142478"/>
    <w:rsid w:val="001441C9"/>
    <w:rsid w:val="0014459C"/>
    <w:rsid w:val="001459C7"/>
    <w:rsid w:val="00146723"/>
    <w:rsid w:val="001468ED"/>
    <w:rsid w:val="00146A85"/>
    <w:rsid w:val="00146DF3"/>
    <w:rsid w:val="00146F2D"/>
    <w:rsid w:val="00147A87"/>
    <w:rsid w:val="00150D4E"/>
    <w:rsid w:val="0015109D"/>
    <w:rsid w:val="00151417"/>
    <w:rsid w:val="00151763"/>
    <w:rsid w:val="00151938"/>
    <w:rsid w:val="00152373"/>
    <w:rsid w:val="0015304A"/>
    <w:rsid w:val="00153222"/>
    <w:rsid w:val="0015337D"/>
    <w:rsid w:val="00153394"/>
    <w:rsid w:val="00153399"/>
    <w:rsid w:val="0015383B"/>
    <w:rsid w:val="00153984"/>
    <w:rsid w:val="00153B03"/>
    <w:rsid w:val="00153BD8"/>
    <w:rsid w:val="00153D08"/>
    <w:rsid w:val="00154233"/>
    <w:rsid w:val="00154314"/>
    <w:rsid w:val="001561DB"/>
    <w:rsid w:val="00156303"/>
    <w:rsid w:val="001565ED"/>
    <w:rsid w:val="00156CD3"/>
    <w:rsid w:val="00156E40"/>
    <w:rsid w:val="0015706F"/>
    <w:rsid w:val="0015711B"/>
    <w:rsid w:val="00157705"/>
    <w:rsid w:val="00157B22"/>
    <w:rsid w:val="00160755"/>
    <w:rsid w:val="00160FF6"/>
    <w:rsid w:val="001622AA"/>
    <w:rsid w:val="0016320D"/>
    <w:rsid w:val="00163C0D"/>
    <w:rsid w:val="00163C29"/>
    <w:rsid w:val="00164210"/>
    <w:rsid w:val="0016443F"/>
    <w:rsid w:val="00164F62"/>
    <w:rsid w:val="00165512"/>
    <w:rsid w:val="001669E7"/>
    <w:rsid w:val="00166A64"/>
    <w:rsid w:val="00167780"/>
    <w:rsid w:val="00167E13"/>
    <w:rsid w:val="0017001B"/>
    <w:rsid w:val="001716A4"/>
    <w:rsid w:val="0017173D"/>
    <w:rsid w:val="00172424"/>
    <w:rsid w:val="00172A27"/>
    <w:rsid w:val="00173534"/>
    <w:rsid w:val="00173946"/>
    <w:rsid w:val="0017395E"/>
    <w:rsid w:val="00173F35"/>
    <w:rsid w:val="001743E0"/>
    <w:rsid w:val="001747FA"/>
    <w:rsid w:val="001750CB"/>
    <w:rsid w:val="00175382"/>
    <w:rsid w:val="00175B6E"/>
    <w:rsid w:val="00176091"/>
    <w:rsid w:val="0017657A"/>
    <w:rsid w:val="00176925"/>
    <w:rsid w:val="00176B6F"/>
    <w:rsid w:val="00176F72"/>
    <w:rsid w:val="001771D5"/>
    <w:rsid w:val="001774C0"/>
    <w:rsid w:val="0018092F"/>
    <w:rsid w:val="00180D78"/>
    <w:rsid w:val="0018102A"/>
    <w:rsid w:val="001810A1"/>
    <w:rsid w:val="0018226B"/>
    <w:rsid w:val="00183499"/>
    <w:rsid w:val="00183750"/>
    <w:rsid w:val="00184EFE"/>
    <w:rsid w:val="0018517E"/>
    <w:rsid w:val="00185661"/>
    <w:rsid w:val="00186000"/>
    <w:rsid w:val="00186409"/>
    <w:rsid w:val="0018643D"/>
    <w:rsid w:val="00186A7A"/>
    <w:rsid w:val="00186C7B"/>
    <w:rsid w:val="00186D01"/>
    <w:rsid w:val="00186DFE"/>
    <w:rsid w:val="00187790"/>
    <w:rsid w:val="001877E3"/>
    <w:rsid w:val="00187814"/>
    <w:rsid w:val="00187ADC"/>
    <w:rsid w:val="001904AD"/>
    <w:rsid w:val="001914BA"/>
    <w:rsid w:val="0019153D"/>
    <w:rsid w:val="001915E0"/>
    <w:rsid w:val="0019164D"/>
    <w:rsid w:val="00191FF3"/>
    <w:rsid w:val="00192805"/>
    <w:rsid w:val="00192BDE"/>
    <w:rsid w:val="00192F20"/>
    <w:rsid w:val="00192FEE"/>
    <w:rsid w:val="00193226"/>
    <w:rsid w:val="001936D5"/>
    <w:rsid w:val="0019374C"/>
    <w:rsid w:val="001943D4"/>
    <w:rsid w:val="0019460B"/>
    <w:rsid w:val="00194DED"/>
    <w:rsid w:val="001954DF"/>
    <w:rsid w:val="00195CFB"/>
    <w:rsid w:val="00196AB2"/>
    <w:rsid w:val="001979F5"/>
    <w:rsid w:val="00197E83"/>
    <w:rsid w:val="001A06E0"/>
    <w:rsid w:val="001A0892"/>
    <w:rsid w:val="001A0BF9"/>
    <w:rsid w:val="001A0D9A"/>
    <w:rsid w:val="001A1E97"/>
    <w:rsid w:val="001A271B"/>
    <w:rsid w:val="001A2F48"/>
    <w:rsid w:val="001A3215"/>
    <w:rsid w:val="001A3931"/>
    <w:rsid w:val="001A3B99"/>
    <w:rsid w:val="001A4966"/>
    <w:rsid w:val="001A4F8C"/>
    <w:rsid w:val="001A552A"/>
    <w:rsid w:val="001A57E7"/>
    <w:rsid w:val="001A5999"/>
    <w:rsid w:val="001A5CF9"/>
    <w:rsid w:val="001A603B"/>
    <w:rsid w:val="001A69E8"/>
    <w:rsid w:val="001A797D"/>
    <w:rsid w:val="001B059D"/>
    <w:rsid w:val="001B134A"/>
    <w:rsid w:val="001B1C9B"/>
    <w:rsid w:val="001B1E1F"/>
    <w:rsid w:val="001B22CE"/>
    <w:rsid w:val="001B2305"/>
    <w:rsid w:val="001B2672"/>
    <w:rsid w:val="001B31D8"/>
    <w:rsid w:val="001B41E5"/>
    <w:rsid w:val="001B4557"/>
    <w:rsid w:val="001B4562"/>
    <w:rsid w:val="001B4CEE"/>
    <w:rsid w:val="001B50B8"/>
    <w:rsid w:val="001B58EB"/>
    <w:rsid w:val="001B592E"/>
    <w:rsid w:val="001B71E0"/>
    <w:rsid w:val="001B7677"/>
    <w:rsid w:val="001B7BBB"/>
    <w:rsid w:val="001B7CB5"/>
    <w:rsid w:val="001B7CDC"/>
    <w:rsid w:val="001C01E1"/>
    <w:rsid w:val="001C0BC6"/>
    <w:rsid w:val="001C0F13"/>
    <w:rsid w:val="001C17EC"/>
    <w:rsid w:val="001C1D1B"/>
    <w:rsid w:val="001C2068"/>
    <w:rsid w:val="001C274C"/>
    <w:rsid w:val="001C2C9D"/>
    <w:rsid w:val="001C2E34"/>
    <w:rsid w:val="001C2E42"/>
    <w:rsid w:val="001C3A10"/>
    <w:rsid w:val="001C3A27"/>
    <w:rsid w:val="001C3EDE"/>
    <w:rsid w:val="001C42C5"/>
    <w:rsid w:val="001C4648"/>
    <w:rsid w:val="001C48B7"/>
    <w:rsid w:val="001C4975"/>
    <w:rsid w:val="001C530C"/>
    <w:rsid w:val="001C57AD"/>
    <w:rsid w:val="001C64FE"/>
    <w:rsid w:val="001C673E"/>
    <w:rsid w:val="001C6DEB"/>
    <w:rsid w:val="001C707A"/>
    <w:rsid w:val="001C7B04"/>
    <w:rsid w:val="001D0856"/>
    <w:rsid w:val="001D23C2"/>
    <w:rsid w:val="001D31F4"/>
    <w:rsid w:val="001D353D"/>
    <w:rsid w:val="001D3B01"/>
    <w:rsid w:val="001D3B4C"/>
    <w:rsid w:val="001D3E20"/>
    <w:rsid w:val="001D5B1E"/>
    <w:rsid w:val="001D5BEE"/>
    <w:rsid w:val="001D6DF7"/>
    <w:rsid w:val="001D7562"/>
    <w:rsid w:val="001D779C"/>
    <w:rsid w:val="001D7D48"/>
    <w:rsid w:val="001E0986"/>
    <w:rsid w:val="001E0CB8"/>
    <w:rsid w:val="001E1DA6"/>
    <w:rsid w:val="001E1DB2"/>
    <w:rsid w:val="001E1F75"/>
    <w:rsid w:val="001E20DA"/>
    <w:rsid w:val="001E236C"/>
    <w:rsid w:val="001E2382"/>
    <w:rsid w:val="001E26D8"/>
    <w:rsid w:val="001E27E0"/>
    <w:rsid w:val="001E2921"/>
    <w:rsid w:val="001E36E2"/>
    <w:rsid w:val="001E3AEA"/>
    <w:rsid w:val="001E6DC2"/>
    <w:rsid w:val="001E6E6B"/>
    <w:rsid w:val="001E7B73"/>
    <w:rsid w:val="001E7D75"/>
    <w:rsid w:val="001E7E94"/>
    <w:rsid w:val="001F091D"/>
    <w:rsid w:val="001F0CF1"/>
    <w:rsid w:val="001F186C"/>
    <w:rsid w:val="001F202F"/>
    <w:rsid w:val="001F287E"/>
    <w:rsid w:val="001F418F"/>
    <w:rsid w:val="001F4FA3"/>
    <w:rsid w:val="001F536B"/>
    <w:rsid w:val="001F716A"/>
    <w:rsid w:val="001F72DC"/>
    <w:rsid w:val="001F740D"/>
    <w:rsid w:val="001F77F8"/>
    <w:rsid w:val="001F7BC8"/>
    <w:rsid w:val="00200742"/>
    <w:rsid w:val="00200960"/>
    <w:rsid w:val="00200D8D"/>
    <w:rsid w:val="00200DB4"/>
    <w:rsid w:val="00200EF7"/>
    <w:rsid w:val="00201878"/>
    <w:rsid w:val="0020196A"/>
    <w:rsid w:val="002019A9"/>
    <w:rsid w:val="00201F73"/>
    <w:rsid w:val="002027E4"/>
    <w:rsid w:val="00203902"/>
    <w:rsid w:val="00204365"/>
    <w:rsid w:val="0020460C"/>
    <w:rsid w:val="00204AA5"/>
    <w:rsid w:val="00204FA4"/>
    <w:rsid w:val="00205055"/>
    <w:rsid w:val="002063D8"/>
    <w:rsid w:val="002067CC"/>
    <w:rsid w:val="002067E4"/>
    <w:rsid w:val="00206859"/>
    <w:rsid w:val="00206FCC"/>
    <w:rsid w:val="00207567"/>
    <w:rsid w:val="00210261"/>
    <w:rsid w:val="0021045E"/>
    <w:rsid w:val="0021059D"/>
    <w:rsid w:val="00210637"/>
    <w:rsid w:val="002111E1"/>
    <w:rsid w:val="00211FDC"/>
    <w:rsid w:val="002125CA"/>
    <w:rsid w:val="00212E64"/>
    <w:rsid w:val="00213276"/>
    <w:rsid w:val="00213992"/>
    <w:rsid w:val="002141D2"/>
    <w:rsid w:val="0021439F"/>
    <w:rsid w:val="0021540D"/>
    <w:rsid w:val="002159E7"/>
    <w:rsid w:val="00215B6A"/>
    <w:rsid w:val="00215D8A"/>
    <w:rsid w:val="00216E06"/>
    <w:rsid w:val="00217256"/>
    <w:rsid w:val="002174EC"/>
    <w:rsid w:val="002175F8"/>
    <w:rsid w:val="0021778C"/>
    <w:rsid w:val="00217A1B"/>
    <w:rsid w:val="00217FBC"/>
    <w:rsid w:val="00220421"/>
    <w:rsid w:val="002204FA"/>
    <w:rsid w:val="002208AF"/>
    <w:rsid w:val="00220C0E"/>
    <w:rsid w:val="00220EA9"/>
    <w:rsid w:val="0022113D"/>
    <w:rsid w:val="00221746"/>
    <w:rsid w:val="00221D96"/>
    <w:rsid w:val="00222389"/>
    <w:rsid w:val="00222CE0"/>
    <w:rsid w:val="0022378A"/>
    <w:rsid w:val="002239D7"/>
    <w:rsid w:val="00223B29"/>
    <w:rsid w:val="00224C52"/>
    <w:rsid w:val="0022529B"/>
    <w:rsid w:val="0022533E"/>
    <w:rsid w:val="002254CC"/>
    <w:rsid w:val="00225791"/>
    <w:rsid w:val="00225A0D"/>
    <w:rsid w:val="00225DCE"/>
    <w:rsid w:val="002262D1"/>
    <w:rsid w:val="00226518"/>
    <w:rsid w:val="00226BE4"/>
    <w:rsid w:val="00227B6B"/>
    <w:rsid w:val="00227D5B"/>
    <w:rsid w:val="00227E25"/>
    <w:rsid w:val="00230306"/>
    <w:rsid w:val="00230CF3"/>
    <w:rsid w:val="00231512"/>
    <w:rsid w:val="00231656"/>
    <w:rsid w:val="002318E0"/>
    <w:rsid w:val="0023191B"/>
    <w:rsid w:val="00232571"/>
    <w:rsid w:val="00232ADA"/>
    <w:rsid w:val="0023366F"/>
    <w:rsid w:val="00233EFD"/>
    <w:rsid w:val="00234194"/>
    <w:rsid w:val="0023468F"/>
    <w:rsid w:val="002347C9"/>
    <w:rsid w:val="00234C2E"/>
    <w:rsid w:val="002355B1"/>
    <w:rsid w:val="002355BE"/>
    <w:rsid w:val="00235A88"/>
    <w:rsid w:val="00236100"/>
    <w:rsid w:val="00236346"/>
    <w:rsid w:val="0023670F"/>
    <w:rsid w:val="002367F6"/>
    <w:rsid w:val="002370C3"/>
    <w:rsid w:val="00237127"/>
    <w:rsid w:val="0023750E"/>
    <w:rsid w:val="00237D9C"/>
    <w:rsid w:val="00237FA2"/>
    <w:rsid w:val="002401EA"/>
    <w:rsid w:val="0024030C"/>
    <w:rsid w:val="00240BB6"/>
    <w:rsid w:val="00242748"/>
    <w:rsid w:val="00242770"/>
    <w:rsid w:val="00242EDF"/>
    <w:rsid w:val="00243608"/>
    <w:rsid w:val="00244656"/>
    <w:rsid w:val="00244E03"/>
    <w:rsid w:val="00245B71"/>
    <w:rsid w:val="00246876"/>
    <w:rsid w:val="00246930"/>
    <w:rsid w:val="00247081"/>
    <w:rsid w:val="0025043C"/>
    <w:rsid w:val="00250A4D"/>
    <w:rsid w:val="00250C8A"/>
    <w:rsid w:val="00251176"/>
    <w:rsid w:val="00251B5C"/>
    <w:rsid w:val="0025205A"/>
    <w:rsid w:val="002522D5"/>
    <w:rsid w:val="002526F3"/>
    <w:rsid w:val="002528EB"/>
    <w:rsid w:val="00252D43"/>
    <w:rsid w:val="002539D2"/>
    <w:rsid w:val="00254123"/>
    <w:rsid w:val="00254588"/>
    <w:rsid w:val="002545A8"/>
    <w:rsid w:val="00254A5F"/>
    <w:rsid w:val="00254F03"/>
    <w:rsid w:val="00254FB4"/>
    <w:rsid w:val="00255291"/>
    <w:rsid w:val="002558E6"/>
    <w:rsid w:val="00255B14"/>
    <w:rsid w:val="00255F33"/>
    <w:rsid w:val="00256B14"/>
    <w:rsid w:val="00256DCE"/>
    <w:rsid w:val="00257006"/>
    <w:rsid w:val="0025702A"/>
    <w:rsid w:val="00257098"/>
    <w:rsid w:val="00257902"/>
    <w:rsid w:val="00257BC6"/>
    <w:rsid w:val="00257D96"/>
    <w:rsid w:val="00257DE5"/>
    <w:rsid w:val="002605F1"/>
    <w:rsid w:val="00260A77"/>
    <w:rsid w:val="00261345"/>
    <w:rsid w:val="00261636"/>
    <w:rsid w:val="00261961"/>
    <w:rsid w:val="00262285"/>
    <w:rsid w:val="0026359B"/>
    <w:rsid w:val="00263CB2"/>
    <w:rsid w:val="00263CD0"/>
    <w:rsid w:val="00264CC3"/>
    <w:rsid w:val="002653A3"/>
    <w:rsid w:val="002662B3"/>
    <w:rsid w:val="002663D3"/>
    <w:rsid w:val="002669D2"/>
    <w:rsid w:val="0027053C"/>
    <w:rsid w:val="00270748"/>
    <w:rsid w:val="00270870"/>
    <w:rsid w:val="00270DF1"/>
    <w:rsid w:val="00270FDA"/>
    <w:rsid w:val="002711DA"/>
    <w:rsid w:val="00271A32"/>
    <w:rsid w:val="00271A34"/>
    <w:rsid w:val="00271A80"/>
    <w:rsid w:val="00271B2E"/>
    <w:rsid w:val="00272523"/>
    <w:rsid w:val="00272BAA"/>
    <w:rsid w:val="00273726"/>
    <w:rsid w:val="00275167"/>
    <w:rsid w:val="00275D49"/>
    <w:rsid w:val="00275FC1"/>
    <w:rsid w:val="00276AE8"/>
    <w:rsid w:val="00280691"/>
    <w:rsid w:val="002809B9"/>
    <w:rsid w:val="00280E62"/>
    <w:rsid w:val="0028162B"/>
    <w:rsid w:val="00281661"/>
    <w:rsid w:val="002829E1"/>
    <w:rsid w:val="00283D0B"/>
    <w:rsid w:val="00283FD7"/>
    <w:rsid w:val="002846A6"/>
    <w:rsid w:val="00284D1C"/>
    <w:rsid w:val="0028504A"/>
    <w:rsid w:val="00285C66"/>
    <w:rsid w:val="002868DD"/>
    <w:rsid w:val="0028699B"/>
    <w:rsid w:val="002869DD"/>
    <w:rsid w:val="0028721A"/>
    <w:rsid w:val="00287426"/>
    <w:rsid w:val="00287CF7"/>
    <w:rsid w:val="002902E4"/>
    <w:rsid w:val="002904DC"/>
    <w:rsid w:val="00290BD6"/>
    <w:rsid w:val="00290E85"/>
    <w:rsid w:val="0029132B"/>
    <w:rsid w:val="0029162B"/>
    <w:rsid w:val="00291880"/>
    <w:rsid w:val="002919D9"/>
    <w:rsid w:val="00291CEA"/>
    <w:rsid w:val="0029286E"/>
    <w:rsid w:val="00292C5F"/>
    <w:rsid w:val="00292C90"/>
    <w:rsid w:val="00292F3D"/>
    <w:rsid w:val="00293E70"/>
    <w:rsid w:val="00294114"/>
    <w:rsid w:val="00294846"/>
    <w:rsid w:val="00294B8F"/>
    <w:rsid w:val="00294D08"/>
    <w:rsid w:val="00295116"/>
    <w:rsid w:val="00295857"/>
    <w:rsid w:val="002958CB"/>
    <w:rsid w:val="00295F41"/>
    <w:rsid w:val="00296B55"/>
    <w:rsid w:val="00296D6D"/>
    <w:rsid w:val="002970F1"/>
    <w:rsid w:val="00297A8C"/>
    <w:rsid w:val="00297D57"/>
    <w:rsid w:val="00297DF7"/>
    <w:rsid w:val="002A00F2"/>
    <w:rsid w:val="002A056F"/>
    <w:rsid w:val="002A09CA"/>
    <w:rsid w:val="002A0DC0"/>
    <w:rsid w:val="002A0DF3"/>
    <w:rsid w:val="002A1445"/>
    <w:rsid w:val="002A15A9"/>
    <w:rsid w:val="002A2610"/>
    <w:rsid w:val="002A323C"/>
    <w:rsid w:val="002A346C"/>
    <w:rsid w:val="002A3921"/>
    <w:rsid w:val="002A4A1E"/>
    <w:rsid w:val="002A5B36"/>
    <w:rsid w:val="002A5C9A"/>
    <w:rsid w:val="002A677A"/>
    <w:rsid w:val="002A69C2"/>
    <w:rsid w:val="002A71A2"/>
    <w:rsid w:val="002A7762"/>
    <w:rsid w:val="002B0010"/>
    <w:rsid w:val="002B06E9"/>
    <w:rsid w:val="002B185C"/>
    <w:rsid w:val="002B2EC1"/>
    <w:rsid w:val="002B4E2B"/>
    <w:rsid w:val="002B4EE7"/>
    <w:rsid w:val="002B5115"/>
    <w:rsid w:val="002B7DB3"/>
    <w:rsid w:val="002C0234"/>
    <w:rsid w:val="002C0980"/>
    <w:rsid w:val="002C0CC1"/>
    <w:rsid w:val="002C1158"/>
    <w:rsid w:val="002C2028"/>
    <w:rsid w:val="002C20DF"/>
    <w:rsid w:val="002C248C"/>
    <w:rsid w:val="002C26CC"/>
    <w:rsid w:val="002C34CB"/>
    <w:rsid w:val="002C487F"/>
    <w:rsid w:val="002C4B6C"/>
    <w:rsid w:val="002C5699"/>
    <w:rsid w:val="002C589D"/>
    <w:rsid w:val="002C5986"/>
    <w:rsid w:val="002C6C63"/>
    <w:rsid w:val="002C7511"/>
    <w:rsid w:val="002C7679"/>
    <w:rsid w:val="002C7ACF"/>
    <w:rsid w:val="002C7C3B"/>
    <w:rsid w:val="002D0750"/>
    <w:rsid w:val="002D0801"/>
    <w:rsid w:val="002D09B1"/>
    <w:rsid w:val="002D16A8"/>
    <w:rsid w:val="002D17DE"/>
    <w:rsid w:val="002D1DC1"/>
    <w:rsid w:val="002D2C2F"/>
    <w:rsid w:val="002D32A5"/>
    <w:rsid w:val="002D383A"/>
    <w:rsid w:val="002D389B"/>
    <w:rsid w:val="002D3C4A"/>
    <w:rsid w:val="002D413C"/>
    <w:rsid w:val="002D42E3"/>
    <w:rsid w:val="002D4DE6"/>
    <w:rsid w:val="002D675C"/>
    <w:rsid w:val="002D6BEF"/>
    <w:rsid w:val="002D6E42"/>
    <w:rsid w:val="002D6E81"/>
    <w:rsid w:val="002D7FC8"/>
    <w:rsid w:val="002E0045"/>
    <w:rsid w:val="002E0117"/>
    <w:rsid w:val="002E0363"/>
    <w:rsid w:val="002E0BE7"/>
    <w:rsid w:val="002E1661"/>
    <w:rsid w:val="002E1B39"/>
    <w:rsid w:val="002E23FE"/>
    <w:rsid w:val="002E2405"/>
    <w:rsid w:val="002E2557"/>
    <w:rsid w:val="002E264D"/>
    <w:rsid w:val="002E2B73"/>
    <w:rsid w:val="002E2CB0"/>
    <w:rsid w:val="002E2E92"/>
    <w:rsid w:val="002E395F"/>
    <w:rsid w:val="002E3AC1"/>
    <w:rsid w:val="002E4CD7"/>
    <w:rsid w:val="002E4F92"/>
    <w:rsid w:val="002E53BC"/>
    <w:rsid w:val="002E5DEB"/>
    <w:rsid w:val="002E61E0"/>
    <w:rsid w:val="002E7D62"/>
    <w:rsid w:val="002F00E3"/>
    <w:rsid w:val="002F00F9"/>
    <w:rsid w:val="002F07DF"/>
    <w:rsid w:val="002F0A2F"/>
    <w:rsid w:val="002F0E96"/>
    <w:rsid w:val="002F1444"/>
    <w:rsid w:val="002F23DC"/>
    <w:rsid w:val="002F289A"/>
    <w:rsid w:val="002F3414"/>
    <w:rsid w:val="002F39C8"/>
    <w:rsid w:val="002F3E1A"/>
    <w:rsid w:val="002F4D7A"/>
    <w:rsid w:val="002F5103"/>
    <w:rsid w:val="002F5584"/>
    <w:rsid w:val="002F60D6"/>
    <w:rsid w:val="002F65F6"/>
    <w:rsid w:val="002F6AB9"/>
    <w:rsid w:val="002F6DF7"/>
    <w:rsid w:val="002F737F"/>
    <w:rsid w:val="002F73DB"/>
    <w:rsid w:val="002F742E"/>
    <w:rsid w:val="002F7D80"/>
    <w:rsid w:val="002F7D8D"/>
    <w:rsid w:val="003004B4"/>
    <w:rsid w:val="00300D1C"/>
    <w:rsid w:val="00300D3A"/>
    <w:rsid w:val="00300D99"/>
    <w:rsid w:val="00300DB1"/>
    <w:rsid w:val="003016C3"/>
    <w:rsid w:val="00302CC2"/>
    <w:rsid w:val="00302D60"/>
    <w:rsid w:val="00303726"/>
    <w:rsid w:val="00303797"/>
    <w:rsid w:val="00303CA6"/>
    <w:rsid w:val="00303EAC"/>
    <w:rsid w:val="00304216"/>
    <w:rsid w:val="00304306"/>
    <w:rsid w:val="003045C0"/>
    <w:rsid w:val="00304A0E"/>
    <w:rsid w:val="00304CB7"/>
    <w:rsid w:val="00305279"/>
    <w:rsid w:val="0030686E"/>
    <w:rsid w:val="00306F64"/>
    <w:rsid w:val="00310056"/>
    <w:rsid w:val="003102E7"/>
    <w:rsid w:val="00310BBF"/>
    <w:rsid w:val="00310E34"/>
    <w:rsid w:val="00310EB6"/>
    <w:rsid w:val="00310EBA"/>
    <w:rsid w:val="00312D6D"/>
    <w:rsid w:val="00313354"/>
    <w:rsid w:val="00313539"/>
    <w:rsid w:val="0031385D"/>
    <w:rsid w:val="00313A85"/>
    <w:rsid w:val="003140BE"/>
    <w:rsid w:val="00314A55"/>
    <w:rsid w:val="00315218"/>
    <w:rsid w:val="00316B08"/>
    <w:rsid w:val="00317615"/>
    <w:rsid w:val="003178DD"/>
    <w:rsid w:val="00320644"/>
    <w:rsid w:val="00320FA6"/>
    <w:rsid w:val="003213A0"/>
    <w:rsid w:val="00322240"/>
    <w:rsid w:val="00322513"/>
    <w:rsid w:val="003230BC"/>
    <w:rsid w:val="00323316"/>
    <w:rsid w:val="00323405"/>
    <w:rsid w:val="00323AF9"/>
    <w:rsid w:val="00323DB2"/>
    <w:rsid w:val="00324C89"/>
    <w:rsid w:val="00324FCC"/>
    <w:rsid w:val="00326B8A"/>
    <w:rsid w:val="00327779"/>
    <w:rsid w:val="00327A53"/>
    <w:rsid w:val="00330829"/>
    <w:rsid w:val="00330B74"/>
    <w:rsid w:val="00330CC2"/>
    <w:rsid w:val="00330FF1"/>
    <w:rsid w:val="00331383"/>
    <w:rsid w:val="003315B8"/>
    <w:rsid w:val="003315BA"/>
    <w:rsid w:val="003330D9"/>
    <w:rsid w:val="0033446C"/>
    <w:rsid w:val="00334D3E"/>
    <w:rsid w:val="0033547A"/>
    <w:rsid w:val="00335AA9"/>
    <w:rsid w:val="00336477"/>
    <w:rsid w:val="00336A3C"/>
    <w:rsid w:val="00336D63"/>
    <w:rsid w:val="0033730E"/>
    <w:rsid w:val="00340835"/>
    <w:rsid w:val="00340A2F"/>
    <w:rsid w:val="00340FAA"/>
    <w:rsid w:val="00342177"/>
    <w:rsid w:val="0034286E"/>
    <w:rsid w:val="00342E73"/>
    <w:rsid w:val="00343179"/>
    <w:rsid w:val="003436E6"/>
    <w:rsid w:val="00343AAC"/>
    <w:rsid w:val="00343C17"/>
    <w:rsid w:val="00344A53"/>
    <w:rsid w:val="00344CC2"/>
    <w:rsid w:val="003461E7"/>
    <w:rsid w:val="00346494"/>
    <w:rsid w:val="00346C05"/>
    <w:rsid w:val="00346ED4"/>
    <w:rsid w:val="00346FA3"/>
    <w:rsid w:val="00347143"/>
    <w:rsid w:val="00350116"/>
    <w:rsid w:val="00350477"/>
    <w:rsid w:val="003513A5"/>
    <w:rsid w:val="0035165D"/>
    <w:rsid w:val="003519ED"/>
    <w:rsid w:val="00351AE8"/>
    <w:rsid w:val="0035235C"/>
    <w:rsid w:val="003524DB"/>
    <w:rsid w:val="00352E7C"/>
    <w:rsid w:val="003530ED"/>
    <w:rsid w:val="0035320E"/>
    <w:rsid w:val="003532FA"/>
    <w:rsid w:val="0035399F"/>
    <w:rsid w:val="00353CA0"/>
    <w:rsid w:val="00353EE2"/>
    <w:rsid w:val="00354005"/>
    <w:rsid w:val="00354461"/>
    <w:rsid w:val="0035459F"/>
    <w:rsid w:val="003546F4"/>
    <w:rsid w:val="003568C2"/>
    <w:rsid w:val="00357702"/>
    <w:rsid w:val="00360A1A"/>
    <w:rsid w:val="0036114F"/>
    <w:rsid w:val="00361250"/>
    <w:rsid w:val="00361F87"/>
    <w:rsid w:val="00362172"/>
    <w:rsid w:val="00362721"/>
    <w:rsid w:val="003628B9"/>
    <w:rsid w:val="00362A2E"/>
    <w:rsid w:val="00362FE5"/>
    <w:rsid w:val="00363A0E"/>
    <w:rsid w:val="003640F2"/>
    <w:rsid w:val="003647CE"/>
    <w:rsid w:val="00364833"/>
    <w:rsid w:val="003653AE"/>
    <w:rsid w:val="003656FF"/>
    <w:rsid w:val="00365CBD"/>
    <w:rsid w:val="003663F7"/>
    <w:rsid w:val="00366C95"/>
    <w:rsid w:val="00366D43"/>
    <w:rsid w:val="00366E8A"/>
    <w:rsid w:val="0036751F"/>
    <w:rsid w:val="003704CB"/>
    <w:rsid w:val="00370E01"/>
    <w:rsid w:val="00370FCF"/>
    <w:rsid w:val="0037154B"/>
    <w:rsid w:val="00372150"/>
    <w:rsid w:val="003721D7"/>
    <w:rsid w:val="00372347"/>
    <w:rsid w:val="00373594"/>
    <w:rsid w:val="00373C1A"/>
    <w:rsid w:val="00375534"/>
    <w:rsid w:val="00375780"/>
    <w:rsid w:val="00375CCE"/>
    <w:rsid w:val="00376860"/>
    <w:rsid w:val="00382B47"/>
    <w:rsid w:val="00382CCA"/>
    <w:rsid w:val="003833CE"/>
    <w:rsid w:val="00383600"/>
    <w:rsid w:val="003838DE"/>
    <w:rsid w:val="00383BF4"/>
    <w:rsid w:val="00385071"/>
    <w:rsid w:val="0038649A"/>
    <w:rsid w:val="00386ECD"/>
    <w:rsid w:val="00387405"/>
    <w:rsid w:val="003875C3"/>
    <w:rsid w:val="00387DD4"/>
    <w:rsid w:val="0039066C"/>
    <w:rsid w:val="00390E36"/>
    <w:rsid w:val="00391DF2"/>
    <w:rsid w:val="003923E1"/>
    <w:rsid w:val="00393331"/>
    <w:rsid w:val="00394256"/>
    <w:rsid w:val="00394879"/>
    <w:rsid w:val="00394DAB"/>
    <w:rsid w:val="00395A8D"/>
    <w:rsid w:val="00395FA3"/>
    <w:rsid w:val="00396240"/>
    <w:rsid w:val="0039632C"/>
    <w:rsid w:val="00396563"/>
    <w:rsid w:val="003978AA"/>
    <w:rsid w:val="003A0159"/>
    <w:rsid w:val="003A023C"/>
    <w:rsid w:val="003A0BC5"/>
    <w:rsid w:val="003A105C"/>
    <w:rsid w:val="003A13BD"/>
    <w:rsid w:val="003A1D54"/>
    <w:rsid w:val="003A1F8D"/>
    <w:rsid w:val="003A1FCE"/>
    <w:rsid w:val="003A2E88"/>
    <w:rsid w:val="003A3179"/>
    <w:rsid w:val="003A371B"/>
    <w:rsid w:val="003A3739"/>
    <w:rsid w:val="003A3A73"/>
    <w:rsid w:val="003A3D56"/>
    <w:rsid w:val="003A42D5"/>
    <w:rsid w:val="003A4DB6"/>
    <w:rsid w:val="003A4F03"/>
    <w:rsid w:val="003A59C0"/>
    <w:rsid w:val="003A7B40"/>
    <w:rsid w:val="003B00D2"/>
    <w:rsid w:val="003B068B"/>
    <w:rsid w:val="003B1437"/>
    <w:rsid w:val="003B24A0"/>
    <w:rsid w:val="003B314D"/>
    <w:rsid w:val="003B44F9"/>
    <w:rsid w:val="003B48ED"/>
    <w:rsid w:val="003B4B99"/>
    <w:rsid w:val="003B4D48"/>
    <w:rsid w:val="003B531D"/>
    <w:rsid w:val="003B5569"/>
    <w:rsid w:val="003B5797"/>
    <w:rsid w:val="003B5C02"/>
    <w:rsid w:val="003B62D2"/>
    <w:rsid w:val="003B660F"/>
    <w:rsid w:val="003B67B2"/>
    <w:rsid w:val="003B6CE6"/>
    <w:rsid w:val="003B6DDB"/>
    <w:rsid w:val="003B79CC"/>
    <w:rsid w:val="003B7B4B"/>
    <w:rsid w:val="003B7CD3"/>
    <w:rsid w:val="003C0535"/>
    <w:rsid w:val="003C0C97"/>
    <w:rsid w:val="003C1225"/>
    <w:rsid w:val="003C1745"/>
    <w:rsid w:val="003C179C"/>
    <w:rsid w:val="003C17FF"/>
    <w:rsid w:val="003C2A25"/>
    <w:rsid w:val="003C2D41"/>
    <w:rsid w:val="003C3A71"/>
    <w:rsid w:val="003C4E4B"/>
    <w:rsid w:val="003C53CF"/>
    <w:rsid w:val="003C5647"/>
    <w:rsid w:val="003C649E"/>
    <w:rsid w:val="003C6C5A"/>
    <w:rsid w:val="003C6F50"/>
    <w:rsid w:val="003C7527"/>
    <w:rsid w:val="003C7528"/>
    <w:rsid w:val="003C7573"/>
    <w:rsid w:val="003D0711"/>
    <w:rsid w:val="003D171E"/>
    <w:rsid w:val="003D197A"/>
    <w:rsid w:val="003D23BF"/>
    <w:rsid w:val="003D24B1"/>
    <w:rsid w:val="003D25A6"/>
    <w:rsid w:val="003D2AC1"/>
    <w:rsid w:val="003D497D"/>
    <w:rsid w:val="003D49F9"/>
    <w:rsid w:val="003D4B12"/>
    <w:rsid w:val="003D4D50"/>
    <w:rsid w:val="003D4F06"/>
    <w:rsid w:val="003D5449"/>
    <w:rsid w:val="003D559C"/>
    <w:rsid w:val="003D5DF5"/>
    <w:rsid w:val="003D5EFC"/>
    <w:rsid w:val="003D664C"/>
    <w:rsid w:val="003D67BA"/>
    <w:rsid w:val="003D69F6"/>
    <w:rsid w:val="003D6D56"/>
    <w:rsid w:val="003D6F1A"/>
    <w:rsid w:val="003D6FCD"/>
    <w:rsid w:val="003E0B2F"/>
    <w:rsid w:val="003E194C"/>
    <w:rsid w:val="003E197F"/>
    <w:rsid w:val="003E1E5A"/>
    <w:rsid w:val="003E2586"/>
    <w:rsid w:val="003E351A"/>
    <w:rsid w:val="003E3988"/>
    <w:rsid w:val="003E3B3F"/>
    <w:rsid w:val="003E3E05"/>
    <w:rsid w:val="003E4637"/>
    <w:rsid w:val="003E4E9E"/>
    <w:rsid w:val="003E56AE"/>
    <w:rsid w:val="003E5BB3"/>
    <w:rsid w:val="003E5EAC"/>
    <w:rsid w:val="003E64E7"/>
    <w:rsid w:val="003F0453"/>
    <w:rsid w:val="003F0887"/>
    <w:rsid w:val="003F0EBD"/>
    <w:rsid w:val="003F2497"/>
    <w:rsid w:val="003F29F7"/>
    <w:rsid w:val="003F2CD5"/>
    <w:rsid w:val="003F31E3"/>
    <w:rsid w:val="003F35CD"/>
    <w:rsid w:val="003F3632"/>
    <w:rsid w:val="003F378C"/>
    <w:rsid w:val="003F3936"/>
    <w:rsid w:val="003F4094"/>
    <w:rsid w:val="003F52E4"/>
    <w:rsid w:val="003F5427"/>
    <w:rsid w:val="003F5930"/>
    <w:rsid w:val="003F5F90"/>
    <w:rsid w:val="003F6ADD"/>
    <w:rsid w:val="003F6E7B"/>
    <w:rsid w:val="003F78E1"/>
    <w:rsid w:val="003F7BF0"/>
    <w:rsid w:val="003F7CD6"/>
    <w:rsid w:val="0040058E"/>
    <w:rsid w:val="00401356"/>
    <w:rsid w:val="0040152F"/>
    <w:rsid w:val="00401ED7"/>
    <w:rsid w:val="0040216F"/>
    <w:rsid w:val="00402ACB"/>
    <w:rsid w:val="00402B67"/>
    <w:rsid w:val="00402BE3"/>
    <w:rsid w:val="00403469"/>
    <w:rsid w:val="00403813"/>
    <w:rsid w:val="00403A3D"/>
    <w:rsid w:val="00404433"/>
    <w:rsid w:val="00405159"/>
    <w:rsid w:val="00405208"/>
    <w:rsid w:val="004055DD"/>
    <w:rsid w:val="00405BDA"/>
    <w:rsid w:val="00407432"/>
    <w:rsid w:val="00407DBD"/>
    <w:rsid w:val="00410A5C"/>
    <w:rsid w:val="00410C19"/>
    <w:rsid w:val="00411004"/>
    <w:rsid w:val="00411926"/>
    <w:rsid w:val="00411A2F"/>
    <w:rsid w:val="00412687"/>
    <w:rsid w:val="00413602"/>
    <w:rsid w:val="00414C2F"/>
    <w:rsid w:val="00415C5D"/>
    <w:rsid w:val="004160D1"/>
    <w:rsid w:val="00416320"/>
    <w:rsid w:val="00416599"/>
    <w:rsid w:val="004202C3"/>
    <w:rsid w:val="004203BC"/>
    <w:rsid w:val="00421267"/>
    <w:rsid w:val="0042218A"/>
    <w:rsid w:val="00422C57"/>
    <w:rsid w:val="00423761"/>
    <w:rsid w:val="00423ACA"/>
    <w:rsid w:val="00423DFD"/>
    <w:rsid w:val="004252B2"/>
    <w:rsid w:val="00425415"/>
    <w:rsid w:val="00425CB8"/>
    <w:rsid w:val="00425F5B"/>
    <w:rsid w:val="004272D5"/>
    <w:rsid w:val="004277B6"/>
    <w:rsid w:val="004300CC"/>
    <w:rsid w:val="00430266"/>
    <w:rsid w:val="004304EE"/>
    <w:rsid w:val="0043068F"/>
    <w:rsid w:val="00430716"/>
    <w:rsid w:val="0043119C"/>
    <w:rsid w:val="004316FB"/>
    <w:rsid w:val="004320A1"/>
    <w:rsid w:val="00432AA8"/>
    <w:rsid w:val="00433548"/>
    <w:rsid w:val="004337FB"/>
    <w:rsid w:val="00435035"/>
    <w:rsid w:val="00435A5E"/>
    <w:rsid w:val="00436DF7"/>
    <w:rsid w:val="004376FC"/>
    <w:rsid w:val="00437915"/>
    <w:rsid w:val="004400FF"/>
    <w:rsid w:val="00440FA0"/>
    <w:rsid w:val="00443D8D"/>
    <w:rsid w:val="0044440E"/>
    <w:rsid w:val="0044442A"/>
    <w:rsid w:val="00444B8D"/>
    <w:rsid w:val="0044540C"/>
    <w:rsid w:val="004457EF"/>
    <w:rsid w:val="0044595B"/>
    <w:rsid w:val="00445B48"/>
    <w:rsid w:val="004462B7"/>
    <w:rsid w:val="004470C4"/>
    <w:rsid w:val="00447F48"/>
    <w:rsid w:val="00450627"/>
    <w:rsid w:val="00450BFB"/>
    <w:rsid w:val="00451ADA"/>
    <w:rsid w:val="00451F71"/>
    <w:rsid w:val="0045281D"/>
    <w:rsid w:val="00452972"/>
    <w:rsid w:val="00452A42"/>
    <w:rsid w:val="00452C70"/>
    <w:rsid w:val="0045314B"/>
    <w:rsid w:val="004532BC"/>
    <w:rsid w:val="00453784"/>
    <w:rsid w:val="004539A6"/>
    <w:rsid w:val="00453D5D"/>
    <w:rsid w:val="0045402F"/>
    <w:rsid w:val="004544EB"/>
    <w:rsid w:val="004550D5"/>
    <w:rsid w:val="0045614B"/>
    <w:rsid w:val="00456227"/>
    <w:rsid w:val="004563AF"/>
    <w:rsid w:val="004579CF"/>
    <w:rsid w:val="00460DA8"/>
    <w:rsid w:val="004618D3"/>
    <w:rsid w:val="00461A24"/>
    <w:rsid w:val="00461BF0"/>
    <w:rsid w:val="00461D06"/>
    <w:rsid w:val="004626BD"/>
    <w:rsid w:val="00462BC6"/>
    <w:rsid w:val="00464426"/>
    <w:rsid w:val="0046474B"/>
    <w:rsid w:val="00464BA1"/>
    <w:rsid w:val="00465127"/>
    <w:rsid w:val="00465871"/>
    <w:rsid w:val="00466FB7"/>
    <w:rsid w:val="00467CA1"/>
    <w:rsid w:val="00467ED8"/>
    <w:rsid w:val="0047030E"/>
    <w:rsid w:val="0047038F"/>
    <w:rsid w:val="004706E3"/>
    <w:rsid w:val="004709E0"/>
    <w:rsid w:val="00471A36"/>
    <w:rsid w:val="00471A5D"/>
    <w:rsid w:val="004720E4"/>
    <w:rsid w:val="00475274"/>
    <w:rsid w:val="004752C7"/>
    <w:rsid w:val="004759AC"/>
    <w:rsid w:val="004760B9"/>
    <w:rsid w:val="004763E7"/>
    <w:rsid w:val="0047651E"/>
    <w:rsid w:val="004765C0"/>
    <w:rsid w:val="00476890"/>
    <w:rsid w:val="004769D9"/>
    <w:rsid w:val="00480095"/>
    <w:rsid w:val="00480414"/>
    <w:rsid w:val="004826A1"/>
    <w:rsid w:val="0048292F"/>
    <w:rsid w:val="004831AF"/>
    <w:rsid w:val="00483938"/>
    <w:rsid w:val="00483DCE"/>
    <w:rsid w:val="00484024"/>
    <w:rsid w:val="004841F7"/>
    <w:rsid w:val="004857C7"/>
    <w:rsid w:val="004859BB"/>
    <w:rsid w:val="00485CB2"/>
    <w:rsid w:val="00486042"/>
    <w:rsid w:val="0048736A"/>
    <w:rsid w:val="004875D0"/>
    <w:rsid w:val="00490DD6"/>
    <w:rsid w:val="00491442"/>
    <w:rsid w:val="00491B46"/>
    <w:rsid w:val="00492085"/>
    <w:rsid w:val="0049244E"/>
    <w:rsid w:val="0049246C"/>
    <w:rsid w:val="004936C7"/>
    <w:rsid w:val="004947FD"/>
    <w:rsid w:val="00494B48"/>
    <w:rsid w:val="00495E75"/>
    <w:rsid w:val="00495F80"/>
    <w:rsid w:val="00496475"/>
    <w:rsid w:val="0049677E"/>
    <w:rsid w:val="00496B52"/>
    <w:rsid w:val="00496DEF"/>
    <w:rsid w:val="0049754D"/>
    <w:rsid w:val="0049799E"/>
    <w:rsid w:val="00497BB3"/>
    <w:rsid w:val="004A1B34"/>
    <w:rsid w:val="004A1C58"/>
    <w:rsid w:val="004A26D7"/>
    <w:rsid w:val="004A2A6A"/>
    <w:rsid w:val="004A2BA3"/>
    <w:rsid w:val="004A2E6C"/>
    <w:rsid w:val="004A33C6"/>
    <w:rsid w:val="004A384F"/>
    <w:rsid w:val="004A3AD7"/>
    <w:rsid w:val="004A3D0B"/>
    <w:rsid w:val="004A4577"/>
    <w:rsid w:val="004A45D3"/>
    <w:rsid w:val="004A4BD6"/>
    <w:rsid w:val="004A4C85"/>
    <w:rsid w:val="004A5CE4"/>
    <w:rsid w:val="004A6A5D"/>
    <w:rsid w:val="004A6EDF"/>
    <w:rsid w:val="004A72D4"/>
    <w:rsid w:val="004B0413"/>
    <w:rsid w:val="004B0BD4"/>
    <w:rsid w:val="004B1FBC"/>
    <w:rsid w:val="004B28AD"/>
    <w:rsid w:val="004B2BA2"/>
    <w:rsid w:val="004B32E6"/>
    <w:rsid w:val="004B38E3"/>
    <w:rsid w:val="004B3CB4"/>
    <w:rsid w:val="004B43C9"/>
    <w:rsid w:val="004B46D9"/>
    <w:rsid w:val="004B52C3"/>
    <w:rsid w:val="004B534B"/>
    <w:rsid w:val="004B56D0"/>
    <w:rsid w:val="004B57FE"/>
    <w:rsid w:val="004B7EA0"/>
    <w:rsid w:val="004C0643"/>
    <w:rsid w:val="004C0AF8"/>
    <w:rsid w:val="004C1235"/>
    <w:rsid w:val="004C15E0"/>
    <w:rsid w:val="004C1DFA"/>
    <w:rsid w:val="004C1E89"/>
    <w:rsid w:val="004C2142"/>
    <w:rsid w:val="004C23E8"/>
    <w:rsid w:val="004C2807"/>
    <w:rsid w:val="004C3727"/>
    <w:rsid w:val="004C3A58"/>
    <w:rsid w:val="004C55F3"/>
    <w:rsid w:val="004C5C44"/>
    <w:rsid w:val="004C5DEF"/>
    <w:rsid w:val="004C6210"/>
    <w:rsid w:val="004C67B9"/>
    <w:rsid w:val="004C681A"/>
    <w:rsid w:val="004C7525"/>
    <w:rsid w:val="004C7ADF"/>
    <w:rsid w:val="004D0C59"/>
    <w:rsid w:val="004D0CB5"/>
    <w:rsid w:val="004D2B39"/>
    <w:rsid w:val="004D3FEA"/>
    <w:rsid w:val="004D4011"/>
    <w:rsid w:val="004D4203"/>
    <w:rsid w:val="004D4A71"/>
    <w:rsid w:val="004D4F65"/>
    <w:rsid w:val="004D6774"/>
    <w:rsid w:val="004D68CE"/>
    <w:rsid w:val="004D6EBF"/>
    <w:rsid w:val="004D6FCD"/>
    <w:rsid w:val="004D7343"/>
    <w:rsid w:val="004D7D0D"/>
    <w:rsid w:val="004E0D7E"/>
    <w:rsid w:val="004E1650"/>
    <w:rsid w:val="004E1A27"/>
    <w:rsid w:val="004E1FEB"/>
    <w:rsid w:val="004E2218"/>
    <w:rsid w:val="004E22F1"/>
    <w:rsid w:val="004E2765"/>
    <w:rsid w:val="004E2A64"/>
    <w:rsid w:val="004E34A0"/>
    <w:rsid w:val="004E366D"/>
    <w:rsid w:val="004E37A9"/>
    <w:rsid w:val="004E45B9"/>
    <w:rsid w:val="004E5C20"/>
    <w:rsid w:val="004E5E1C"/>
    <w:rsid w:val="004E6CA0"/>
    <w:rsid w:val="004E6E13"/>
    <w:rsid w:val="004E6FA1"/>
    <w:rsid w:val="004E7006"/>
    <w:rsid w:val="004E7237"/>
    <w:rsid w:val="004E773E"/>
    <w:rsid w:val="004E7B86"/>
    <w:rsid w:val="004F1025"/>
    <w:rsid w:val="004F1B48"/>
    <w:rsid w:val="004F2132"/>
    <w:rsid w:val="004F21D1"/>
    <w:rsid w:val="004F21DC"/>
    <w:rsid w:val="004F2669"/>
    <w:rsid w:val="004F2F1B"/>
    <w:rsid w:val="004F377C"/>
    <w:rsid w:val="004F3822"/>
    <w:rsid w:val="004F3BD4"/>
    <w:rsid w:val="004F3E2B"/>
    <w:rsid w:val="004F41F2"/>
    <w:rsid w:val="004F433F"/>
    <w:rsid w:val="004F4580"/>
    <w:rsid w:val="004F49E4"/>
    <w:rsid w:val="004F50F1"/>
    <w:rsid w:val="004F5633"/>
    <w:rsid w:val="004F602E"/>
    <w:rsid w:val="004F6202"/>
    <w:rsid w:val="004F68F6"/>
    <w:rsid w:val="004F6DDE"/>
    <w:rsid w:val="004F72EF"/>
    <w:rsid w:val="004F754F"/>
    <w:rsid w:val="004F77CF"/>
    <w:rsid w:val="005004CB"/>
    <w:rsid w:val="005012D3"/>
    <w:rsid w:val="00501984"/>
    <w:rsid w:val="00501D74"/>
    <w:rsid w:val="005020F6"/>
    <w:rsid w:val="00502379"/>
    <w:rsid w:val="0050239D"/>
    <w:rsid w:val="00502539"/>
    <w:rsid w:val="00503399"/>
    <w:rsid w:val="005046A5"/>
    <w:rsid w:val="005047A2"/>
    <w:rsid w:val="005050F9"/>
    <w:rsid w:val="0050561A"/>
    <w:rsid w:val="00505623"/>
    <w:rsid w:val="00506238"/>
    <w:rsid w:val="00506581"/>
    <w:rsid w:val="00506638"/>
    <w:rsid w:val="00506940"/>
    <w:rsid w:val="00506B88"/>
    <w:rsid w:val="00506FBC"/>
    <w:rsid w:val="00507C7D"/>
    <w:rsid w:val="0051020D"/>
    <w:rsid w:val="00510389"/>
    <w:rsid w:val="00510919"/>
    <w:rsid w:val="0051168A"/>
    <w:rsid w:val="005119B8"/>
    <w:rsid w:val="00511D26"/>
    <w:rsid w:val="0051244F"/>
    <w:rsid w:val="005130D4"/>
    <w:rsid w:val="0051383C"/>
    <w:rsid w:val="005147EB"/>
    <w:rsid w:val="00514DE0"/>
    <w:rsid w:val="0051514A"/>
    <w:rsid w:val="005151BF"/>
    <w:rsid w:val="00516861"/>
    <w:rsid w:val="00516933"/>
    <w:rsid w:val="00517000"/>
    <w:rsid w:val="0051714B"/>
    <w:rsid w:val="0052005D"/>
    <w:rsid w:val="00521626"/>
    <w:rsid w:val="0052265F"/>
    <w:rsid w:val="00522664"/>
    <w:rsid w:val="00522CA3"/>
    <w:rsid w:val="00522D40"/>
    <w:rsid w:val="005243D2"/>
    <w:rsid w:val="00524FE2"/>
    <w:rsid w:val="005257C8"/>
    <w:rsid w:val="0052656F"/>
    <w:rsid w:val="00526746"/>
    <w:rsid w:val="00527A8C"/>
    <w:rsid w:val="00530191"/>
    <w:rsid w:val="005302A9"/>
    <w:rsid w:val="0053174C"/>
    <w:rsid w:val="00531BFD"/>
    <w:rsid w:val="00532BB1"/>
    <w:rsid w:val="0053310C"/>
    <w:rsid w:val="00533D13"/>
    <w:rsid w:val="00534B8C"/>
    <w:rsid w:val="005354A4"/>
    <w:rsid w:val="00535541"/>
    <w:rsid w:val="00535E77"/>
    <w:rsid w:val="00535FCC"/>
    <w:rsid w:val="00536006"/>
    <w:rsid w:val="0053663E"/>
    <w:rsid w:val="00536F52"/>
    <w:rsid w:val="00537E42"/>
    <w:rsid w:val="005401AB"/>
    <w:rsid w:val="00540809"/>
    <w:rsid w:val="005422B5"/>
    <w:rsid w:val="00542EDC"/>
    <w:rsid w:val="0054314C"/>
    <w:rsid w:val="0054348B"/>
    <w:rsid w:val="00544AEB"/>
    <w:rsid w:val="00544C7F"/>
    <w:rsid w:val="00544EEA"/>
    <w:rsid w:val="00546A31"/>
    <w:rsid w:val="00547443"/>
    <w:rsid w:val="00547563"/>
    <w:rsid w:val="00547DE0"/>
    <w:rsid w:val="005504FA"/>
    <w:rsid w:val="0055079A"/>
    <w:rsid w:val="00551268"/>
    <w:rsid w:val="00551592"/>
    <w:rsid w:val="0055176E"/>
    <w:rsid w:val="005525AE"/>
    <w:rsid w:val="00552797"/>
    <w:rsid w:val="005528BF"/>
    <w:rsid w:val="00553970"/>
    <w:rsid w:val="00553FEA"/>
    <w:rsid w:val="0055483B"/>
    <w:rsid w:val="00554F5E"/>
    <w:rsid w:val="0055570D"/>
    <w:rsid w:val="00555A57"/>
    <w:rsid w:val="00555E6C"/>
    <w:rsid w:val="00556544"/>
    <w:rsid w:val="00556E82"/>
    <w:rsid w:val="0056018A"/>
    <w:rsid w:val="0056034C"/>
    <w:rsid w:val="00560764"/>
    <w:rsid w:val="00560FB5"/>
    <w:rsid w:val="00561460"/>
    <w:rsid w:val="00561D0B"/>
    <w:rsid w:val="00561E6A"/>
    <w:rsid w:val="0056220F"/>
    <w:rsid w:val="00562B86"/>
    <w:rsid w:val="00562D5B"/>
    <w:rsid w:val="00563540"/>
    <w:rsid w:val="00563EEF"/>
    <w:rsid w:val="00564023"/>
    <w:rsid w:val="00564096"/>
    <w:rsid w:val="00564A32"/>
    <w:rsid w:val="005659A6"/>
    <w:rsid w:val="00565D14"/>
    <w:rsid w:val="00567041"/>
    <w:rsid w:val="005674A2"/>
    <w:rsid w:val="005675E5"/>
    <w:rsid w:val="005679AD"/>
    <w:rsid w:val="00567E7D"/>
    <w:rsid w:val="005700AB"/>
    <w:rsid w:val="005703B2"/>
    <w:rsid w:val="005706C7"/>
    <w:rsid w:val="0057085D"/>
    <w:rsid w:val="00571A8F"/>
    <w:rsid w:val="00571DD4"/>
    <w:rsid w:val="0057230E"/>
    <w:rsid w:val="005723F8"/>
    <w:rsid w:val="00572737"/>
    <w:rsid w:val="00572DF0"/>
    <w:rsid w:val="00573198"/>
    <w:rsid w:val="00573221"/>
    <w:rsid w:val="00573636"/>
    <w:rsid w:val="00574977"/>
    <w:rsid w:val="005752FA"/>
    <w:rsid w:val="005762DD"/>
    <w:rsid w:val="005765C1"/>
    <w:rsid w:val="0057673D"/>
    <w:rsid w:val="005777FE"/>
    <w:rsid w:val="00577C43"/>
    <w:rsid w:val="00577C76"/>
    <w:rsid w:val="00577F44"/>
    <w:rsid w:val="005804C1"/>
    <w:rsid w:val="00580E35"/>
    <w:rsid w:val="005827FE"/>
    <w:rsid w:val="00582840"/>
    <w:rsid w:val="00582960"/>
    <w:rsid w:val="00583928"/>
    <w:rsid w:val="00583A46"/>
    <w:rsid w:val="00583CAE"/>
    <w:rsid w:val="00583D0B"/>
    <w:rsid w:val="0058495B"/>
    <w:rsid w:val="00584B42"/>
    <w:rsid w:val="00584C2A"/>
    <w:rsid w:val="00584D84"/>
    <w:rsid w:val="0058505A"/>
    <w:rsid w:val="00585435"/>
    <w:rsid w:val="005859DB"/>
    <w:rsid w:val="00585DE9"/>
    <w:rsid w:val="00585F02"/>
    <w:rsid w:val="00585F5F"/>
    <w:rsid w:val="00586360"/>
    <w:rsid w:val="00586E79"/>
    <w:rsid w:val="00587629"/>
    <w:rsid w:val="00587779"/>
    <w:rsid w:val="00587AC7"/>
    <w:rsid w:val="00587C90"/>
    <w:rsid w:val="00590278"/>
    <w:rsid w:val="0059195C"/>
    <w:rsid w:val="00591C74"/>
    <w:rsid w:val="00591E62"/>
    <w:rsid w:val="0059205C"/>
    <w:rsid w:val="00592175"/>
    <w:rsid w:val="00593750"/>
    <w:rsid w:val="005948C3"/>
    <w:rsid w:val="0059505A"/>
    <w:rsid w:val="0059552F"/>
    <w:rsid w:val="00595575"/>
    <w:rsid w:val="00595888"/>
    <w:rsid w:val="0059591D"/>
    <w:rsid w:val="00595BD0"/>
    <w:rsid w:val="0059656B"/>
    <w:rsid w:val="00596C8E"/>
    <w:rsid w:val="0059714E"/>
    <w:rsid w:val="005979A3"/>
    <w:rsid w:val="00597F61"/>
    <w:rsid w:val="005A015B"/>
    <w:rsid w:val="005A0D24"/>
    <w:rsid w:val="005A0EA4"/>
    <w:rsid w:val="005A2361"/>
    <w:rsid w:val="005A29C8"/>
    <w:rsid w:val="005A3059"/>
    <w:rsid w:val="005A3269"/>
    <w:rsid w:val="005A3513"/>
    <w:rsid w:val="005A3F94"/>
    <w:rsid w:val="005A43DA"/>
    <w:rsid w:val="005A4625"/>
    <w:rsid w:val="005A4776"/>
    <w:rsid w:val="005A4A21"/>
    <w:rsid w:val="005A5062"/>
    <w:rsid w:val="005A53AF"/>
    <w:rsid w:val="005A5CE0"/>
    <w:rsid w:val="005A7148"/>
    <w:rsid w:val="005A72EE"/>
    <w:rsid w:val="005A7666"/>
    <w:rsid w:val="005A7810"/>
    <w:rsid w:val="005B0253"/>
    <w:rsid w:val="005B031A"/>
    <w:rsid w:val="005B0369"/>
    <w:rsid w:val="005B0560"/>
    <w:rsid w:val="005B1A62"/>
    <w:rsid w:val="005B1A85"/>
    <w:rsid w:val="005B2250"/>
    <w:rsid w:val="005B2FA6"/>
    <w:rsid w:val="005B3EE7"/>
    <w:rsid w:val="005B48EA"/>
    <w:rsid w:val="005B4EC8"/>
    <w:rsid w:val="005B7A52"/>
    <w:rsid w:val="005B7EF1"/>
    <w:rsid w:val="005C0507"/>
    <w:rsid w:val="005C0666"/>
    <w:rsid w:val="005C06F2"/>
    <w:rsid w:val="005C0910"/>
    <w:rsid w:val="005C0AEB"/>
    <w:rsid w:val="005C18EE"/>
    <w:rsid w:val="005C1FD8"/>
    <w:rsid w:val="005C2C15"/>
    <w:rsid w:val="005C2C89"/>
    <w:rsid w:val="005C4CDA"/>
    <w:rsid w:val="005C56EF"/>
    <w:rsid w:val="005C610D"/>
    <w:rsid w:val="005C6D2C"/>
    <w:rsid w:val="005C7977"/>
    <w:rsid w:val="005C797A"/>
    <w:rsid w:val="005D02DF"/>
    <w:rsid w:val="005D12F6"/>
    <w:rsid w:val="005D157F"/>
    <w:rsid w:val="005D19FF"/>
    <w:rsid w:val="005D1A5D"/>
    <w:rsid w:val="005D2591"/>
    <w:rsid w:val="005D2D23"/>
    <w:rsid w:val="005D3573"/>
    <w:rsid w:val="005D3F2F"/>
    <w:rsid w:val="005D483B"/>
    <w:rsid w:val="005D4F7E"/>
    <w:rsid w:val="005D5684"/>
    <w:rsid w:val="005D5882"/>
    <w:rsid w:val="005D5AF1"/>
    <w:rsid w:val="005D62FA"/>
    <w:rsid w:val="005D63AE"/>
    <w:rsid w:val="005D6EEB"/>
    <w:rsid w:val="005D7904"/>
    <w:rsid w:val="005D7982"/>
    <w:rsid w:val="005D7D2D"/>
    <w:rsid w:val="005D7D4E"/>
    <w:rsid w:val="005E0A4F"/>
    <w:rsid w:val="005E1034"/>
    <w:rsid w:val="005E12AE"/>
    <w:rsid w:val="005E1536"/>
    <w:rsid w:val="005E1B49"/>
    <w:rsid w:val="005E26F1"/>
    <w:rsid w:val="005E3476"/>
    <w:rsid w:val="005E435A"/>
    <w:rsid w:val="005E4388"/>
    <w:rsid w:val="005E50DA"/>
    <w:rsid w:val="005E51DC"/>
    <w:rsid w:val="005E5CE2"/>
    <w:rsid w:val="005E68FC"/>
    <w:rsid w:val="005E7AE4"/>
    <w:rsid w:val="005E7F85"/>
    <w:rsid w:val="005F00E1"/>
    <w:rsid w:val="005F0566"/>
    <w:rsid w:val="005F09AC"/>
    <w:rsid w:val="005F104E"/>
    <w:rsid w:val="005F118C"/>
    <w:rsid w:val="005F1272"/>
    <w:rsid w:val="005F141C"/>
    <w:rsid w:val="005F176B"/>
    <w:rsid w:val="005F178F"/>
    <w:rsid w:val="005F22F7"/>
    <w:rsid w:val="005F33D4"/>
    <w:rsid w:val="005F37A5"/>
    <w:rsid w:val="005F3849"/>
    <w:rsid w:val="005F4A9C"/>
    <w:rsid w:val="005F4BF6"/>
    <w:rsid w:val="005F51D7"/>
    <w:rsid w:val="005F5665"/>
    <w:rsid w:val="005F5AB0"/>
    <w:rsid w:val="005F6A99"/>
    <w:rsid w:val="005F7222"/>
    <w:rsid w:val="005F763A"/>
    <w:rsid w:val="005F769D"/>
    <w:rsid w:val="005F7B3F"/>
    <w:rsid w:val="005F7C46"/>
    <w:rsid w:val="005F7DF4"/>
    <w:rsid w:val="005F7DFE"/>
    <w:rsid w:val="005F7F8A"/>
    <w:rsid w:val="00600829"/>
    <w:rsid w:val="00600F72"/>
    <w:rsid w:val="006010AF"/>
    <w:rsid w:val="0060111B"/>
    <w:rsid w:val="00601CD1"/>
    <w:rsid w:val="00601EAC"/>
    <w:rsid w:val="0060285D"/>
    <w:rsid w:val="00603A1E"/>
    <w:rsid w:val="00603B5E"/>
    <w:rsid w:val="0060456B"/>
    <w:rsid w:val="006046D5"/>
    <w:rsid w:val="006046EB"/>
    <w:rsid w:val="00604EA2"/>
    <w:rsid w:val="00605A1B"/>
    <w:rsid w:val="00605D4E"/>
    <w:rsid w:val="0060663A"/>
    <w:rsid w:val="006069D2"/>
    <w:rsid w:val="00606ACF"/>
    <w:rsid w:val="0060759F"/>
    <w:rsid w:val="006100AA"/>
    <w:rsid w:val="006104CB"/>
    <w:rsid w:val="006107E1"/>
    <w:rsid w:val="0061116A"/>
    <w:rsid w:val="00611235"/>
    <w:rsid w:val="0061149C"/>
    <w:rsid w:val="0061179F"/>
    <w:rsid w:val="00611DE9"/>
    <w:rsid w:val="00611E6C"/>
    <w:rsid w:val="00612DA8"/>
    <w:rsid w:val="00612EE8"/>
    <w:rsid w:val="0061303C"/>
    <w:rsid w:val="006138B7"/>
    <w:rsid w:val="00613A15"/>
    <w:rsid w:val="00613D32"/>
    <w:rsid w:val="00613FD7"/>
    <w:rsid w:val="00614980"/>
    <w:rsid w:val="006156FF"/>
    <w:rsid w:val="00615778"/>
    <w:rsid w:val="00615E72"/>
    <w:rsid w:val="00616258"/>
    <w:rsid w:val="00616AB5"/>
    <w:rsid w:val="00616B72"/>
    <w:rsid w:val="00616CD0"/>
    <w:rsid w:val="006170A2"/>
    <w:rsid w:val="00617549"/>
    <w:rsid w:val="00617DB3"/>
    <w:rsid w:val="0062046D"/>
    <w:rsid w:val="006206A4"/>
    <w:rsid w:val="00620BB5"/>
    <w:rsid w:val="00620E41"/>
    <w:rsid w:val="00621ECE"/>
    <w:rsid w:val="00622052"/>
    <w:rsid w:val="0062252F"/>
    <w:rsid w:val="00622C0F"/>
    <w:rsid w:val="00622DCB"/>
    <w:rsid w:val="00623045"/>
    <w:rsid w:val="00623D93"/>
    <w:rsid w:val="00623EE3"/>
    <w:rsid w:val="00623FC5"/>
    <w:rsid w:val="00624661"/>
    <w:rsid w:val="00624926"/>
    <w:rsid w:val="00624D76"/>
    <w:rsid w:val="00624E48"/>
    <w:rsid w:val="0062574A"/>
    <w:rsid w:val="006263C9"/>
    <w:rsid w:val="006269BA"/>
    <w:rsid w:val="006276CA"/>
    <w:rsid w:val="00627819"/>
    <w:rsid w:val="00627BAF"/>
    <w:rsid w:val="00627C10"/>
    <w:rsid w:val="00630293"/>
    <w:rsid w:val="0063048A"/>
    <w:rsid w:val="00630C95"/>
    <w:rsid w:val="0063106C"/>
    <w:rsid w:val="006316C8"/>
    <w:rsid w:val="00631BE5"/>
    <w:rsid w:val="00632069"/>
    <w:rsid w:val="006320E5"/>
    <w:rsid w:val="0063326E"/>
    <w:rsid w:val="00633647"/>
    <w:rsid w:val="006338FF"/>
    <w:rsid w:val="00633C52"/>
    <w:rsid w:val="00633F51"/>
    <w:rsid w:val="00634425"/>
    <w:rsid w:val="00634B9E"/>
    <w:rsid w:val="006350EC"/>
    <w:rsid w:val="00635EE7"/>
    <w:rsid w:val="006365D7"/>
    <w:rsid w:val="00636B26"/>
    <w:rsid w:val="00637145"/>
    <w:rsid w:val="0064055C"/>
    <w:rsid w:val="00641008"/>
    <w:rsid w:val="00641846"/>
    <w:rsid w:val="00641CF7"/>
    <w:rsid w:val="00642152"/>
    <w:rsid w:val="00642560"/>
    <w:rsid w:val="00642E90"/>
    <w:rsid w:val="00642F73"/>
    <w:rsid w:val="0064490E"/>
    <w:rsid w:val="00644EC3"/>
    <w:rsid w:val="0064583A"/>
    <w:rsid w:val="00645FC0"/>
    <w:rsid w:val="00646133"/>
    <w:rsid w:val="006461A3"/>
    <w:rsid w:val="00646BAC"/>
    <w:rsid w:val="00646F7D"/>
    <w:rsid w:val="00647A0B"/>
    <w:rsid w:val="00650231"/>
    <w:rsid w:val="0065070E"/>
    <w:rsid w:val="00650AD0"/>
    <w:rsid w:val="00651452"/>
    <w:rsid w:val="00651E56"/>
    <w:rsid w:val="00652170"/>
    <w:rsid w:val="006525CD"/>
    <w:rsid w:val="00652E09"/>
    <w:rsid w:val="00654A14"/>
    <w:rsid w:val="006553BA"/>
    <w:rsid w:val="006559A0"/>
    <w:rsid w:val="00655D88"/>
    <w:rsid w:val="00656535"/>
    <w:rsid w:val="006566E7"/>
    <w:rsid w:val="006573E5"/>
    <w:rsid w:val="00657989"/>
    <w:rsid w:val="00660948"/>
    <w:rsid w:val="00660BA3"/>
    <w:rsid w:val="00661F39"/>
    <w:rsid w:val="0066217D"/>
    <w:rsid w:val="0066243F"/>
    <w:rsid w:val="0066275F"/>
    <w:rsid w:val="0066286C"/>
    <w:rsid w:val="00662D40"/>
    <w:rsid w:val="00662ECB"/>
    <w:rsid w:val="00662F60"/>
    <w:rsid w:val="006638E8"/>
    <w:rsid w:val="00664176"/>
    <w:rsid w:val="006646CA"/>
    <w:rsid w:val="00664C97"/>
    <w:rsid w:val="00664DAC"/>
    <w:rsid w:val="00665D47"/>
    <w:rsid w:val="00666343"/>
    <w:rsid w:val="00666586"/>
    <w:rsid w:val="00666FB9"/>
    <w:rsid w:val="00667565"/>
    <w:rsid w:val="00667AFA"/>
    <w:rsid w:val="00667EF4"/>
    <w:rsid w:val="0067037C"/>
    <w:rsid w:val="00670A23"/>
    <w:rsid w:val="00670A79"/>
    <w:rsid w:val="006710D6"/>
    <w:rsid w:val="006710E9"/>
    <w:rsid w:val="00671132"/>
    <w:rsid w:val="00671898"/>
    <w:rsid w:val="006719AD"/>
    <w:rsid w:val="00671CF3"/>
    <w:rsid w:val="006740A8"/>
    <w:rsid w:val="006747B8"/>
    <w:rsid w:val="006749E8"/>
    <w:rsid w:val="00674E22"/>
    <w:rsid w:val="00674EF6"/>
    <w:rsid w:val="006760EF"/>
    <w:rsid w:val="0067715D"/>
    <w:rsid w:val="006776C1"/>
    <w:rsid w:val="00680626"/>
    <w:rsid w:val="00680644"/>
    <w:rsid w:val="00680777"/>
    <w:rsid w:val="00680A32"/>
    <w:rsid w:val="006810F7"/>
    <w:rsid w:val="0068136F"/>
    <w:rsid w:val="006813BB"/>
    <w:rsid w:val="00682AEC"/>
    <w:rsid w:val="006835F7"/>
    <w:rsid w:val="006849EB"/>
    <w:rsid w:val="00684B7E"/>
    <w:rsid w:val="00684BEE"/>
    <w:rsid w:val="00684D63"/>
    <w:rsid w:val="00684EDC"/>
    <w:rsid w:val="006855E5"/>
    <w:rsid w:val="00685B58"/>
    <w:rsid w:val="00685B89"/>
    <w:rsid w:val="006871DA"/>
    <w:rsid w:val="00687605"/>
    <w:rsid w:val="00687E50"/>
    <w:rsid w:val="00687FE6"/>
    <w:rsid w:val="00690479"/>
    <w:rsid w:val="006905D4"/>
    <w:rsid w:val="006908AF"/>
    <w:rsid w:val="0069093F"/>
    <w:rsid w:val="00691040"/>
    <w:rsid w:val="006914D8"/>
    <w:rsid w:val="00691DE4"/>
    <w:rsid w:val="00692FA2"/>
    <w:rsid w:val="006939BB"/>
    <w:rsid w:val="00693D4C"/>
    <w:rsid w:val="006942C6"/>
    <w:rsid w:val="00694321"/>
    <w:rsid w:val="00694B46"/>
    <w:rsid w:val="0069565B"/>
    <w:rsid w:val="0069607C"/>
    <w:rsid w:val="0069655A"/>
    <w:rsid w:val="00696794"/>
    <w:rsid w:val="00697139"/>
    <w:rsid w:val="006A0137"/>
    <w:rsid w:val="006A08D7"/>
    <w:rsid w:val="006A0933"/>
    <w:rsid w:val="006A140D"/>
    <w:rsid w:val="006A1D3E"/>
    <w:rsid w:val="006A1E79"/>
    <w:rsid w:val="006A2385"/>
    <w:rsid w:val="006A2F03"/>
    <w:rsid w:val="006A40A4"/>
    <w:rsid w:val="006A495A"/>
    <w:rsid w:val="006A53CA"/>
    <w:rsid w:val="006A576E"/>
    <w:rsid w:val="006A58BC"/>
    <w:rsid w:val="006A6245"/>
    <w:rsid w:val="006A670E"/>
    <w:rsid w:val="006A6BF5"/>
    <w:rsid w:val="006A6C5D"/>
    <w:rsid w:val="006A7142"/>
    <w:rsid w:val="006A7CDB"/>
    <w:rsid w:val="006B0D29"/>
    <w:rsid w:val="006B0E77"/>
    <w:rsid w:val="006B13EC"/>
    <w:rsid w:val="006B14E4"/>
    <w:rsid w:val="006B1588"/>
    <w:rsid w:val="006B1691"/>
    <w:rsid w:val="006B1D71"/>
    <w:rsid w:val="006B1D8D"/>
    <w:rsid w:val="006B23D7"/>
    <w:rsid w:val="006B2881"/>
    <w:rsid w:val="006B2FC4"/>
    <w:rsid w:val="006B32E1"/>
    <w:rsid w:val="006B337B"/>
    <w:rsid w:val="006B3B76"/>
    <w:rsid w:val="006B480F"/>
    <w:rsid w:val="006B4857"/>
    <w:rsid w:val="006B494C"/>
    <w:rsid w:val="006B4EC1"/>
    <w:rsid w:val="006B50BD"/>
    <w:rsid w:val="006B57C1"/>
    <w:rsid w:val="006B5E0F"/>
    <w:rsid w:val="006B6D6C"/>
    <w:rsid w:val="006B6E11"/>
    <w:rsid w:val="006B6FB2"/>
    <w:rsid w:val="006B74AA"/>
    <w:rsid w:val="006C0183"/>
    <w:rsid w:val="006C02F5"/>
    <w:rsid w:val="006C1032"/>
    <w:rsid w:val="006C1BC0"/>
    <w:rsid w:val="006C21C7"/>
    <w:rsid w:val="006C2AC2"/>
    <w:rsid w:val="006C2F3F"/>
    <w:rsid w:val="006C2FC4"/>
    <w:rsid w:val="006C3179"/>
    <w:rsid w:val="006C3256"/>
    <w:rsid w:val="006C325E"/>
    <w:rsid w:val="006C3605"/>
    <w:rsid w:val="006C3790"/>
    <w:rsid w:val="006C3F9E"/>
    <w:rsid w:val="006C4546"/>
    <w:rsid w:val="006C4883"/>
    <w:rsid w:val="006C4A24"/>
    <w:rsid w:val="006C4A72"/>
    <w:rsid w:val="006C53D5"/>
    <w:rsid w:val="006C5654"/>
    <w:rsid w:val="006C5780"/>
    <w:rsid w:val="006C6048"/>
    <w:rsid w:val="006C642A"/>
    <w:rsid w:val="006C7CB4"/>
    <w:rsid w:val="006D0116"/>
    <w:rsid w:val="006D04FF"/>
    <w:rsid w:val="006D09EB"/>
    <w:rsid w:val="006D0BFE"/>
    <w:rsid w:val="006D1BD0"/>
    <w:rsid w:val="006D20E5"/>
    <w:rsid w:val="006D2389"/>
    <w:rsid w:val="006D27C7"/>
    <w:rsid w:val="006D2A10"/>
    <w:rsid w:val="006D2B92"/>
    <w:rsid w:val="006D3048"/>
    <w:rsid w:val="006D38DE"/>
    <w:rsid w:val="006D4450"/>
    <w:rsid w:val="006D4754"/>
    <w:rsid w:val="006D4C92"/>
    <w:rsid w:val="006D4F42"/>
    <w:rsid w:val="006D4FD6"/>
    <w:rsid w:val="006D54F5"/>
    <w:rsid w:val="006D55D3"/>
    <w:rsid w:val="006D581F"/>
    <w:rsid w:val="006D6272"/>
    <w:rsid w:val="006D6423"/>
    <w:rsid w:val="006D7711"/>
    <w:rsid w:val="006E0519"/>
    <w:rsid w:val="006E0B8C"/>
    <w:rsid w:val="006E2347"/>
    <w:rsid w:val="006E2560"/>
    <w:rsid w:val="006E2CFA"/>
    <w:rsid w:val="006E2F1B"/>
    <w:rsid w:val="006E3ED2"/>
    <w:rsid w:val="006E4133"/>
    <w:rsid w:val="006E5980"/>
    <w:rsid w:val="006E5BE4"/>
    <w:rsid w:val="006E5E82"/>
    <w:rsid w:val="006E63C0"/>
    <w:rsid w:val="006E717F"/>
    <w:rsid w:val="006E7428"/>
    <w:rsid w:val="006E76C9"/>
    <w:rsid w:val="006F087F"/>
    <w:rsid w:val="006F0C1B"/>
    <w:rsid w:val="006F2198"/>
    <w:rsid w:val="006F2C86"/>
    <w:rsid w:val="006F2DA4"/>
    <w:rsid w:val="006F2DB5"/>
    <w:rsid w:val="006F3BDF"/>
    <w:rsid w:val="006F41E3"/>
    <w:rsid w:val="006F4524"/>
    <w:rsid w:val="006F46F7"/>
    <w:rsid w:val="006F4CCA"/>
    <w:rsid w:val="006F502F"/>
    <w:rsid w:val="006F523A"/>
    <w:rsid w:val="006F5617"/>
    <w:rsid w:val="006F56D6"/>
    <w:rsid w:val="006F5B39"/>
    <w:rsid w:val="006F64CB"/>
    <w:rsid w:val="006F678E"/>
    <w:rsid w:val="006F67FE"/>
    <w:rsid w:val="006F6D2E"/>
    <w:rsid w:val="006F7949"/>
    <w:rsid w:val="006F79D1"/>
    <w:rsid w:val="0070111E"/>
    <w:rsid w:val="00701224"/>
    <w:rsid w:val="00701761"/>
    <w:rsid w:val="00701BBC"/>
    <w:rsid w:val="0070208E"/>
    <w:rsid w:val="00702469"/>
    <w:rsid w:val="00702649"/>
    <w:rsid w:val="00703535"/>
    <w:rsid w:val="00703930"/>
    <w:rsid w:val="00703D6D"/>
    <w:rsid w:val="00704461"/>
    <w:rsid w:val="007046E6"/>
    <w:rsid w:val="00705034"/>
    <w:rsid w:val="00705050"/>
    <w:rsid w:val="00705113"/>
    <w:rsid w:val="00705164"/>
    <w:rsid w:val="00705609"/>
    <w:rsid w:val="00705F09"/>
    <w:rsid w:val="007062F6"/>
    <w:rsid w:val="00706A55"/>
    <w:rsid w:val="0070719F"/>
    <w:rsid w:val="007071BD"/>
    <w:rsid w:val="0070794B"/>
    <w:rsid w:val="0071053E"/>
    <w:rsid w:val="00710E6A"/>
    <w:rsid w:val="007124F7"/>
    <w:rsid w:val="00712515"/>
    <w:rsid w:val="00712DC2"/>
    <w:rsid w:val="00712E1E"/>
    <w:rsid w:val="00712E93"/>
    <w:rsid w:val="00713033"/>
    <w:rsid w:val="00713092"/>
    <w:rsid w:val="00714063"/>
    <w:rsid w:val="007146D2"/>
    <w:rsid w:val="007148BA"/>
    <w:rsid w:val="00715543"/>
    <w:rsid w:val="007156A7"/>
    <w:rsid w:val="00715A70"/>
    <w:rsid w:val="00715BAA"/>
    <w:rsid w:val="00715EDE"/>
    <w:rsid w:val="00716637"/>
    <w:rsid w:val="00716695"/>
    <w:rsid w:val="00716718"/>
    <w:rsid w:val="00716958"/>
    <w:rsid w:val="00716CE9"/>
    <w:rsid w:val="00717774"/>
    <w:rsid w:val="0072089C"/>
    <w:rsid w:val="0072098A"/>
    <w:rsid w:val="00721372"/>
    <w:rsid w:val="0072187B"/>
    <w:rsid w:val="00721C21"/>
    <w:rsid w:val="00722635"/>
    <w:rsid w:val="007228A5"/>
    <w:rsid w:val="007229A6"/>
    <w:rsid w:val="007235B9"/>
    <w:rsid w:val="007236B5"/>
    <w:rsid w:val="00723775"/>
    <w:rsid w:val="0072386D"/>
    <w:rsid w:val="0072387D"/>
    <w:rsid w:val="00723D07"/>
    <w:rsid w:val="007264A4"/>
    <w:rsid w:val="00726D74"/>
    <w:rsid w:val="00727761"/>
    <w:rsid w:val="00727DF0"/>
    <w:rsid w:val="00727E96"/>
    <w:rsid w:val="007302F1"/>
    <w:rsid w:val="007318A6"/>
    <w:rsid w:val="00732A4B"/>
    <w:rsid w:val="00733173"/>
    <w:rsid w:val="00733180"/>
    <w:rsid w:val="00733BF4"/>
    <w:rsid w:val="00733C4E"/>
    <w:rsid w:val="00733C85"/>
    <w:rsid w:val="00733E73"/>
    <w:rsid w:val="00734183"/>
    <w:rsid w:val="007342E1"/>
    <w:rsid w:val="00734D4B"/>
    <w:rsid w:val="0073517A"/>
    <w:rsid w:val="00735408"/>
    <w:rsid w:val="0073552B"/>
    <w:rsid w:val="007367B0"/>
    <w:rsid w:val="0073682B"/>
    <w:rsid w:val="00736DA4"/>
    <w:rsid w:val="00737020"/>
    <w:rsid w:val="00737544"/>
    <w:rsid w:val="007376B8"/>
    <w:rsid w:val="0074067E"/>
    <w:rsid w:val="007407E1"/>
    <w:rsid w:val="00741100"/>
    <w:rsid w:val="00741D3B"/>
    <w:rsid w:val="00741DFF"/>
    <w:rsid w:val="00741E1C"/>
    <w:rsid w:val="00742B15"/>
    <w:rsid w:val="00743CC0"/>
    <w:rsid w:val="0074411C"/>
    <w:rsid w:val="007441A3"/>
    <w:rsid w:val="00744297"/>
    <w:rsid w:val="007445DD"/>
    <w:rsid w:val="00744A67"/>
    <w:rsid w:val="00744AC0"/>
    <w:rsid w:val="00744DD4"/>
    <w:rsid w:val="00744FD8"/>
    <w:rsid w:val="007450B2"/>
    <w:rsid w:val="0074554E"/>
    <w:rsid w:val="00745FB5"/>
    <w:rsid w:val="00746921"/>
    <w:rsid w:val="00746B4B"/>
    <w:rsid w:val="0074763A"/>
    <w:rsid w:val="00750F45"/>
    <w:rsid w:val="007511A9"/>
    <w:rsid w:val="00751332"/>
    <w:rsid w:val="007515CE"/>
    <w:rsid w:val="007518C5"/>
    <w:rsid w:val="00751FA0"/>
    <w:rsid w:val="0075222C"/>
    <w:rsid w:val="007523F7"/>
    <w:rsid w:val="007526D5"/>
    <w:rsid w:val="007532A6"/>
    <w:rsid w:val="00753727"/>
    <w:rsid w:val="00753B53"/>
    <w:rsid w:val="00753D93"/>
    <w:rsid w:val="00754DB5"/>
    <w:rsid w:val="00755207"/>
    <w:rsid w:val="0075523A"/>
    <w:rsid w:val="0075536A"/>
    <w:rsid w:val="007555F7"/>
    <w:rsid w:val="00755AA9"/>
    <w:rsid w:val="007560EF"/>
    <w:rsid w:val="0075655E"/>
    <w:rsid w:val="00757BC0"/>
    <w:rsid w:val="00760769"/>
    <w:rsid w:val="00760D10"/>
    <w:rsid w:val="0076146E"/>
    <w:rsid w:val="00761530"/>
    <w:rsid w:val="00761F66"/>
    <w:rsid w:val="00761FBB"/>
    <w:rsid w:val="00762112"/>
    <w:rsid w:val="00762B49"/>
    <w:rsid w:val="00763E07"/>
    <w:rsid w:val="00764550"/>
    <w:rsid w:val="0076594B"/>
    <w:rsid w:val="00765BEC"/>
    <w:rsid w:val="00766033"/>
    <w:rsid w:val="0076694B"/>
    <w:rsid w:val="00766D1C"/>
    <w:rsid w:val="00766E4A"/>
    <w:rsid w:val="007707C2"/>
    <w:rsid w:val="00771133"/>
    <w:rsid w:val="007711A8"/>
    <w:rsid w:val="007715F6"/>
    <w:rsid w:val="0077196A"/>
    <w:rsid w:val="00771A9A"/>
    <w:rsid w:val="00771D5A"/>
    <w:rsid w:val="007720A7"/>
    <w:rsid w:val="00772A22"/>
    <w:rsid w:val="00772E61"/>
    <w:rsid w:val="00772EF1"/>
    <w:rsid w:val="0077355A"/>
    <w:rsid w:val="00773CC6"/>
    <w:rsid w:val="00774B8C"/>
    <w:rsid w:val="0077571F"/>
    <w:rsid w:val="00775CA8"/>
    <w:rsid w:val="00775D25"/>
    <w:rsid w:val="00775E0B"/>
    <w:rsid w:val="0077643C"/>
    <w:rsid w:val="00776688"/>
    <w:rsid w:val="00777045"/>
    <w:rsid w:val="00777635"/>
    <w:rsid w:val="00777D21"/>
    <w:rsid w:val="00780096"/>
    <w:rsid w:val="00780236"/>
    <w:rsid w:val="00780395"/>
    <w:rsid w:val="00780D87"/>
    <w:rsid w:val="0078117C"/>
    <w:rsid w:val="00781D3C"/>
    <w:rsid w:val="00781F77"/>
    <w:rsid w:val="00782CDB"/>
    <w:rsid w:val="00782F68"/>
    <w:rsid w:val="0078365A"/>
    <w:rsid w:val="0078404F"/>
    <w:rsid w:val="007842D5"/>
    <w:rsid w:val="00784644"/>
    <w:rsid w:val="007849D9"/>
    <w:rsid w:val="00785EAC"/>
    <w:rsid w:val="00785F82"/>
    <w:rsid w:val="00786FFE"/>
    <w:rsid w:val="00787008"/>
    <w:rsid w:val="00787066"/>
    <w:rsid w:val="0078774F"/>
    <w:rsid w:val="00790E54"/>
    <w:rsid w:val="007918C3"/>
    <w:rsid w:val="00791B07"/>
    <w:rsid w:val="00791DA1"/>
    <w:rsid w:val="0079353C"/>
    <w:rsid w:val="00793F5F"/>
    <w:rsid w:val="00794A54"/>
    <w:rsid w:val="00795C03"/>
    <w:rsid w:val="00796017"/>
    <w:rsid w:val="00796226"/>
    <w:rsid w:val="0079656C"/>
    <w:rsid w:val="0079689D"/>
    <w:rsid w:val="007979EE"/>
    <w:rsid w:val="00797BC5"/>
    <w:rsid w:val="00797DA4"/>
    <w:rsid w:val="007A1106"/>
    <w:rsid w:val="007A148C"/>
    <w:rsid w:val="007A1A70"/>
    <w:rsid w:val="007A1E37"/>
    <w:rsid w:val="007A26E1"/>
    <w:rsid w:val="007A2A55"/>
    <w:rsid w:val="007A328B"/>
    <w:rsid w:val="007A358C"/>
    <w:rsid w:val="007A38FD"/>
    <w:rsid w:val="007A3C73"/>
    <w:rsid w:val="007A3DCC"/>
    <w:rsid w:val="007A3EA7"/>
    <w:rsid w:val="007A4BDA"/>
    <w:rsid w:val="007A4C30"/>
    <w:rsid w:val="007A5C44"/>
    <w:rsid w:val="007A6201"/>
    <w:rsid w:val="007A6C88"/>
    <w:rsid w:val="007A70D5"/>
    <w:rsid w:val="007A7837"/>
    <w:rsid w:val="007A7B18"/>
    <w:rsid w:val="007A7CFD"/>
    <w:rsid w:val="007B01B5"/>
    <w:rsid w:val="007B0749"/>
    <w:rsid w:val="007B0A4B"/>
    <w:rsid w:val="007B1150"/>
    <w:rsid w:val="007B1BC0"/>
    <w:rsid w:val="007B1D03"/>
    <w:rsid w:val="007B1D1D"/>
    <w:rsid w:val="007B2BC0"/>
    <w:rsid w:val="007B2CAC"/>
    <w:rsid w:val="007B2D2B"/>
    <w:rsid w:val="007B320A"/>
    <w:rsid w:val="007B32AE"/>
    <w:rsid w:val="007B4340"/>
    <w:rsid w:val="007B4A68"/>
    <w:rsid w:val="007B5D3E"/>
    <w:rsid w:val="007B6856"/>
    <w:rsid w:val="007B69D4"/>
    <w:rsid w:val="007B70B9"/>
    <w:rsid w:val="007B72D4"/>
    <w:rsid w:val="007B738A"/>
    <w:rsid w:val="007B7BD5"/>
    <w:rsid w:val="007C0A6C"/>
    <w:rsid w:val="007C1A3B"/>
    <w:rsid w:val="007C36A3"/>
    <w:rsid w:val="007C3ED2"/>
    <w:rsid w:val="007C4444"/>
    <w:rsid w:val="007C44F4"/>
    <w:rsid w:val="007C4D48"/>
    <w:rsid w:val="007C57FF"/>
    <w:rsid w:val="007C5EAF"/>
    <w:rsid w:val="007C6353"/>
    <w:rsid w:val="007C7E5A"/>
    <w:rsid w:val="007D017A"/>
    <w:rsid w:val="007D0C9F"/>
    <w:rsid w:val="007D0DA2"/>
    <w:rsid w:val="007D0F94"/>
    <w:rsid w:val="007D221A"/>
    <w:rsid w:val="007D222A"/>
    <w:rsid w:val="007D263D"/>
    <w:rsid w:val="007D26A0"/>
    <w:rsid w:val="007D2B1C"/>
    <w:rsid w:val="007D38C6"/>
    <w:rsid w:val="007D3D71"/>
    <w:rsid w:val="007D400E"/>
    <w:rsid w:val="007D4490"/>
    <w:rsid w:val="007D496C"/>
    <w:rsid w:val="007D4E43"/>
    <w:rsid w:val="007D5180"/>
    <w:rsid w:val="007D59E8"/>
    <w:rsid w:val="007D6434"/>
    <w:rsid w:val="007D697A"/>
    <w:rsid w:val="007D6FA5"/>
    <w:rsid w:val="007D70F6"/>
    <w:rsid w:val="007D74D9"/>
    <w:rsid w:val="007D7897"/>
    <w:rsid w:val="007D79AE"/>
    <w:rsid w:val="007E0454"/>
    <w:rsid w:val="007E05EB"/>
    <w:rsid w:val="007E0B59"/>
    <w:rsid w:val="007E0C5A"/>
    <w:rsid w:val="007E1153"/>
    <w:rsid w:val="007E156E"/>
    <w:rsid w:val="007E249B"/>
    <w:rsid w:val="007E298B"/>
    <w:rsid w:val="007E2B60"/>
    <w:rsid w:val="007E2C79"/>
    <w:rsid w:val="007E4317"/>
    <w:rsid w:val="007E46A8"/>
    <w:rsid w:val="007E4CBC"/>
    <w:rsid w:val="007E6105"/>
    <w:rsid w:val="007E6930"/>
    <w:rsid w:val="007E6B89"/>
    <w:rsid w:val="007E6BA4"/>
    <w:rsid w:val="007E7BCD"/>
    <w:rsid w:val="007E7D7F"/>
    <w:rsid w:val="007F033D"/>
    <w:rsid w:val="007F0765"/>
    <w:rsid w:val="007F1412"/>
    <w:rsid w:val="007F17AA"/>
    <w:rsid w:val="007F18DE"/>
    <w:rsid w:val="007F1A2D"/>
    <w:rsid w:val="007F1C31"/>
    <w:rsid w:val="007F1D54"/>
    <w:rsid w:val="007F2027"/>
    <w:rsid w:val="007F2256"/>
    <w:rsid w:val="007F2CDA"/>
    <w:rsid w:val="007F324A"/>
    <w:rsid w:val="007F394E"/>
    <w:rsid w:val="007F3C42"/>
    <w:rsid w:val="007F47D5"/>
    <w:rsid w:val="007F4DCB"/>
    <w:rsid w:val="007F50B2"/>
    <w:rsid w:val="007F5F16"/>
    <w:rsid w:val="007F68FA"/>
    <w:rsid w:val="007F713C"/>
    <w:rsid w:val="007F78DE"/>
    <w:rsid w:val="007F7BDC"/>
    <w:rsid w:val="007F7C5F"/>
    <w:rsid w:val="007F7D42"/>
    <w:rsid w:val="0080099A"/>
    <w:rsid w:val="008012B3"/>
    <w:rsid w:val="0080157A"/>
    <w:rsid w:val="00801EFD"/>
    <w:rsid w:val="00802018"/>
    <w:rsid w:val="008024A8"/>
    <w:rsid w:val="0080305D"/>
    <w:rsid w:val="0080313B"/>
    <w:rsid w:val="008034AA"/>
    <w:rsid w:val="00803601"/>
    <w:rsid w:val="00803E5F"/>
    <w:rsid w:val="00803F62"/>
    <w:rsid w:val="00804798"/>
    <w:rsid w:val="00805A10"/>
    <w:rsid w:val="00805A8F"/>
    <w:rsid w:val="00806137"/>
    <w:rsid w:val="00806D15"/>
    <w:rsid w:val="0080726F"/>
    <w:rsid w:val="00810068"/>
    <w:rsid w:val="008100E5"/>
    <w:rsid w:val="00810378"/>
    <w:rsid w:val="008109F3"/>
    <w:rsid w:val="008119CB"/>
    <w:rsid w:val="00811B6D"/>
    <w:rsid w:val="00812AB4"/>
    <w:rsid w:val="00812CF6"/>
    <w:rsid w:val="00812FF2"/>
    <w:rsid w:val="00813F1C"/>
    <w:rsid w:val="00814AD7"/>
    <w:rsid w:val="00814E3E"/>
    <w:rsid w:val="00814E98"/>
    <w:rsid w:val="00814ED1"/>
    <w:rsid w:val="00814F7D"/>
    <w:rsid w:val="00814FFE"/>
    <w:rsid w:val="0081527E"/>
    <w:rsid w:val="00815470"/>
    <w:rsid w:val="00815951"/>
    <w:rsid w:val="00815DC0"/>
    <w:rsid w:val="00816D24"/>
    <w:rsid w:val="008202A7"/>
    <w:rsid w:val="00820B02"/>
    <w:rsid w:val="00820EB2"/>
    <w:rsid w:val="00820EC0"/>
    <w:rsid w:val="00821F3B"/>
    <w:rsid w:val="00822206"/>
    <w:rsid w:val="00822232"/>
    <w:rsid w:val="00822A29"/>
    <w:rsid w:val="00823CEB"/>
    <w:rsid w:val="00824551"/>
    <w:rsid w:val="00824FE1"/>
    <w:rsid w:val="008256D5"/>
    <w:rsid w:val="008264B2"/>
    <w:rsid w:val="00826AB0"/>
    <w:rsid w:val="00826B29"/>
    <w:rsid w:val="00826F0B"/>
    <w:rsid w:val="00827511"/>
    <w:rsid w:val="00827706"/>
    <w:rsid w:val="008279D2"/>
    <w:rsid w:val="008306A9"/>
    <w:rsid w:val="00830B9A"/>
    <w:rsid w:val="00830BD7"/>
    <w:rsid w:val="00830D01"/>
    <w:rsid w:val="00831786"/>
    <w:rsid w:val="008325EC"/>
    <w:rsid w:val="008330F7"/>
    <w:rsid w:val="00833A1D"/>
    <w:rsid w:val="0083448E"/>
    <w:rsid w:val="0083477C"/>
    <w:rsid w:val="00834DDF"/>
    <w:rsid w:val="00835505"/>
    <w:rsid w:val="00836925"/>
    <w:rsid w:val="00837C23"/>
    <w:rsid w:val="00837D20"/>
    <w:rsid w:val="00837EB7"/>
    <w:rsid w:val="008402D4"/>
    <w:rsid w:val="008405E9"/>
    <w:rsid w:val="00840E4D"/>
    <w:rsid w:val="008418A5"/>
    <w:rsid w:val="00841C49"/>
    <w:rsid w:val="008423A5"/>
    <w:rsid w:val="008425B5"/>
    <w:rsid w:val="008428C9"/>
    <w:rsid w:val="00842C65"/>
    <w:rsid w:val="00842E2D"/>
    <w:rsid w:val="00842F87"/>
    <w:rsid w:val="0084325D"/>
    <w:rsid w:val="00843334"/>
    <w:rsid w:val="00843AFD"/>
    <w:rsid w:val="00843D35"/>
    <w:rsid w:val="00843D5D"/>
    <w:rsid w:val="0084465D"/>
    <w:rsid w:val="00844AC6"/>
    <w:rsid w:val="00845292"/>
    <w:rsid w:val="008453BB"/>
    <w:rsid w:val="00845F6C"/>
    <w:rsid w:val="00846C91"/>
    <w:rsid w:val="0084728E"/>
    <w:rsid w:val="0085017F"/>
    <w:rsid w:val="008509A2"/>
    <w:rsid w:val="00850F09"/>
    <w:rsid w:val="008516F0"/>
    <w:rsid w:val="0085191F"/>
    <w:rsid w:val="0085275D"/>
    <w:rsid w:val="00852D70"/>
    <w:rsid w:val="008532D9"/>
    <w:rsid w:val="00853385"/>
    <w:rsid w:val="00854B5F"/>
    <w:rsid w:val="00854FD8"/>
    <w:rsid w:val="008561F0"/>
    <w:rsid w:val="008563DC"/>
    <w:rsid w:val="008568BB"/>
    <w:rsid w:val="008572B7"/>
    <w:rsid w:val="008601BB"/>
    <w:rsid w:val="00860423"/>
    <w:rsid w:val="00860BD0"/>
    <w:rsid w:val="0086156A"/>
    <w:rsid w:val="0086269C"/>
    <w:rsid w:val="00862C4E"/>
    <w:rsid w:val="00862C87"/>
    <w:rsid w:val="008642C4"/>
    <w:rsid w:val="00864864"/>
    <w:rsid w:val="008652DE"/>
    <w:rsid w:val="008653A9"/>
    <w:rsid w:val="00866193"/>
    <w:rsid w:val="00866405"/>
    <w:rsid w:val="00867823"/>
    <w:rsid w:val="00870265"/>
    <w:rsid w:val="00870514"/>
    <w:rsid w:val="00870C72"/>
    <w:rsid w:val="00870CC0"/>
    <w:rsid w:val="00872051"/>
    <w:rsid w:val="0087316D"/>
    <w:rsid w:val="00873366"/>
    <w:rsid w:val="00873389"/>
    <w:rsid w:val="008737B7"/>
    <w:rsid w:val="00873CAA"/>
    <w:rsid w:val="008742B5"/>
    <w:rsid w:val="008747AF"/>
    <w:rsid w:val="008749C6"/>
    <w:rsid w:val="00874B26"/>
    <w:rsid w:val="0087591E"/>
    <w:rsid w:val="008759DC"/>
    <w:rsid w:val="00877D5F"/>
    <w:rsid w:val="00880011"/>
    <w:rsid w:val="008809B0"/>
    <w:rsid w:val="00880B6D"/>
    <w:rsid w:val="008816A4"/>
    <w:rsid w:val="00881D45"/>
    <w:rsid w:val="00882017"/>
    <w:rsid w:val="008824F0"/>
    <w:rsid w:val="008827E2"/>
    <w:rsid w:val="00882945"/>
    <w:rsid w:val="00882B4B"/>
    <w:rsid w:val="0088358B"/>
    <w:rsid w:val="00884CDC"/>
    <w:rsid w:val="00885015"/>
    <w:rsid w:val="008857C2"/>
    <w:rsid w:val="00885954"/>
    <w:rsid w:val="00885C42"/>
    <w:rsid w:val="00886B81"/>
    <w:rsid w:val="00887119"/>
    <w:rsid w:val="00887B94"/>
    <w:rsid w:val="00890C74"/>
    <w:rsid w:val="00891123"/>
    <w:rsid w:val="008911F4"/>
    <w:rsid w:val="00891214"/>
    <w:rsid w:val="00891A9C"/>
    <w:rsid w:val="00891F85"/>
    <w:rsid w:val="008930E6"/>
    <w:rsid w:val="00893CAA"/>
    <w:rsid w:val="00894829"/>
    <w:rsid w:val="008953C2"/>
    <w:rsid w:val="00895411"/>
    <w:rsid w:val="00895BA2"/>
    <w:rsid w:val="00895C5C"/>
    <w:rsid w:val="00895CA9"/>
    <w:rsid w:val="008967BC"/>
    <w:rsid w:val="008967EC"/>
    <w:rsid w:val="00896C3D"/>
    <w:rsid w:val="008973F4"/>
    <w:rsid w:val="008A0068"/>
    <w:rsid w:val="008A04B3"/>
    <w:rsid w:val="008A0BA7"/>
    <w:rsid w:val="008A0C8D"/>
    <w:rsid w:val="008A14F9"/>
    <w:rsid w:val="008A1994"/>
    <w:rsid w:val="008A1FBF"/>
    <w:rsid w:val="008A26BB"/>
    <w:rsid w:val="008A43F4"/>
    <w:rsid w:val="008A563D"/>
    <w:rsid w:val="008A6466"/>
    <w:rsid w:val="008A67E2"/>
    <w:rsid w:val="008A6AA2"/>
    <w:rsid w:val="008A6BBA"/>
    <w:rsid w:val="008A6D64"/>
    <w:rsid w:val="008A7881"/>
    <w:rsid w:val="008B0BA2"/>
    <w:rsid w:val="008B0DB2"/>
    <w:rsid w:val="008B23A5"/>
    <w:rsid w:val="008B294F"/>
    <w:rsid w:val="008B3B19"/>
    <w:rsid w:val="008B4351"/>
    <w:rsid w:val="008B492C"/>
    <w:rsid w:val="008B4CE8"/>
    <w:rsid w:val="008B5BE5"/>
    <w:rsid w:val="008B66D0"/>
    <w:rsid w:val="008B6B9C"/>
    <w:rsid w:val="008B6F47"/>
    <w:rsid w:val="008B7AD9"/>
    <w:rsid w:val="008C0074"/>
    <w:rsid w:val="008C055E"/>
    <w:rsid w:val="008C0C6B"/>
    <w:rsid w:val="008C189B"/>
    <w:rsid w:val="008C19A6"/>
    <w:rsid w:val="008C20D9"/>
    <w:rsid w:val="008C3837"/>
    <w:rsid w:val="008C3C87"/>
    <w:rsid w:val="008C3DB6"/>
    <w:rsid w:val="008C65B7"/>
    <w:rsid w:val="008C6AB3"/>
    <w:rsid w:val="008C6D31"/>
    <w:rsid w:val="008D00FB"/>
    <w:rsid w:val="008D153E"/>
    <w:rsid w:val="008D22FF"/>
    <w:rsid w:val="008D2CF8"/>
    <w:rsid w:val="008D3547"/>
    <w:rsid w:val="008D3ADA"/>
    <w:rsid w:val="008D53DD"/>
    <w:rsid w:val="008D563F"/>
    <w:rsid w:val="008D66A1"/>
    <w:rsid w:val="008D6FE5"/>
    <w:rsid w:val="008D7412"/>
    <w:rsid w:val="008D7549"/>
    <w:rsid w:val="008E1D6D"/>
    <w:rsid w:val="008E1F96"/>
    <w:rsid w:val="008E2151"/>
    <w:rsid w:val="008E2395"/>
    <w:rsid w:val="008E25D3"/>
    <w:rsid w:val="008E313D"/>
    <w:rsid w:val="008E3BF5"/>
    <w:rsid w:val="008E4033"/>
    <w:rsid w:val="008E49E2"/>
    <w:rsid w:val="008E4C56"/>
    <w:rsid w:val="008E50AB"/>
    <w:rsid w:val="008E5116"/>
    <w:rsid w:val="008E5C79"/>
    <w:rsid w:val="008E5EDB"/>
    <w:rsid w:val="008E7749"/>
    <w:rsid w:val="008E7878"/>
    <w:rsid w:val="008E7902"/>
    <w:rsid w:val="008E7CF1"/>
    <w:rsid w:val="008F011D"/>
    <w:rsid w:val="008F0592"/>
    <w:rsid w:val="008F0BE2"/>
    <w:rsid w:val="008F148C"/>
    <w:rsid w:val="008F1A50"/>
    <w:rsid w:val="008F23BA"/>
    <w:rsid w:val="008F27B4"/>
    <w:rsid w:val="008F2D41"/>
    <w:rsid w:val="008F4032"/>
    <w:rsid w:val="008F500E"/>
    <w:rsid w:val="008F6417"/>
    <w:rsid w:val="008F6589"/>
    <w:rsid w:val="008F6691"/>
    <w:rsid w:val="008F6CC0"/>
    <w:rsid w:val="008F7833"/>
    <w:rsid w:val="008F7A25"/>
    <w:rsid w:val="008F7D34"/>
    <w:rsid w:val="0090041F"/>
    <w:rsid w:val="00900CF5"/>
    <w:rsid w:val="00901BDF"/>
    <w:rsid w:val="0090213B"/>
    <w:rsid w:val="0090225D"/>
    <w:rsid w:val="009031C4"/>
    <w:rsid w:val="00904C5F"/>
    <w:rsid w:val="00905940"/>
    <w:rsid w:val="00905C99"/>
    <w:rsid w:val="00905FA0"/>
    <w:rsid w:val="00906388"/>
    <w:rsid w:val="009069AC"/>
    <w:rsid w:val="00907870"/>
    <w:rsid w:val="0090796E"/>
    <w:rsid w:val="009079E6"/>
    <w:rsid w:val="00907A84"/>
    <w:rsid w:val="00910387"/>
    <w:rsid w:val="00910841"/>
    <w:rsid w:val="00910EF5"/>
    <w:rsid w:val="009126C7"/>
    <w:rsid w:val="009129B8"/>
    <w:rsid w:val="00912E44"/>
    <w:rsid w:val="00912F46"/>
    <w:rsid w:val="009134D9"/>
    <w:rsid w:val="00913AD8"/>
    <w:rsid w:val="009145D7"/>
    <w:rsid w:val="00914CAB"/>
    <w:rsid w:val="00914EF3"/>
    <w:rsid w:val="00915014"/>
    <w:rsid w:val="009151E5"/>
    <w:rsid w:val="009152E9"/>
    <w:rsid w:val="00915C0C"/>
    <w:rsid w:val="009169C2"/>
    <w:rsid w:val="00917534"/>
    <w:rsid w:val="009175C7"/>
    <w:rsid w:val="0091776A"/>
    <w:rsid w:val="0091779B"/>
    <w:rsid w:val="00917C25"/>
    <w:rsid w:val="0092103A"/>
    <w:rsid w:val="0092156F"/>
    <w:rsid w:val="009216EC"/>
    <w:rsid w:val="00921B2B"/>
    <w:rsid w:val="00921DD7"/>
    <w:rsid w:val="00921FD6"/>
    <w:rsid w:val="0092261D"/>
    <w:rsid w:val="00922D7D"/>
    <w:rsid w:val="009243F7"/>
    <w:rsid w:val="009246E3"/>
    <w:rsid w:val="00924CBF"/>
    <w:rsid w:val="00924DCA"/>
    <w:rsid w:val="00924EC1"/>
    <w:rsid w:val="00925355"/>
    <w:rsid w:val="0092572F"/>
    <w:rsid w:val="00925CB6"/>
    <w:rsid w:val="00926569"/>
    <w:rsid w:val="00926D22"/>
    <w:rsid w:val="009271E7"/>
    <w:rsid w:val="00930835"/>
    <w:rsid w:val="009308DF"/>
    <w:rsid w:val="00930FAC"/>
    <w:rsid w:val="00931955"/>
    <w:rsid w:val="00932D03"/>
    <w:rsid w:val="00933915"/>
    <w:rsid w:val="00934DCA"/>
    <w:rsid w:val="00935F3E"/>
    <w:rsid w:val="0093617E"/>
    <w:rsid w:val="00936198"/>
    <w:rsid w:val="00936465"/>
    <w:rsid w:val="00936B68"/>
    <w:rsid w:val="00936F8D"/>
    <w:rsid w:val="0093760E"/>
    <w:rsid w:val="00937CD8"/>
    <w:rsid w:val="009401FA"/>
    <w:rsid w:val="009403A7"/>
    <w:rsid w:val="009404C0"/>
    <w:rsid w:val="0094072F"/>
    <w:rsid w:val="00940C7F"/>
    <w:rsid w:val="00940D0B"/>
    <w:rsid w:val="00940F34"/>
    <w:rsid w:val="009411A4"/>
    <w:rsid w:val="009416BB"/>
    <w:rsid w:val="0094211C"/>
    <w:rsid w:val="00942416"/>
    <w:rsid w:val="00943B76"/>
    <w:rsid w:val="00944331"/>
    <w:rsid w:val="00944332"/>
    <w:rsid w:val="00944599"/>
    <w:rsid w:val="00944CFE"/>
    <w:rsid w:val="0094577B"/>
    <w:rsid w:val="00945971"/>
    <w:rsid w:val="00945CD3"/>
    <w:rsid w:val="009464CF"/>
    <w:rsid w:val="00946C8C"/>
    <w:rsid w:val="0094747D"/>
    <w:rsid w:val="00947E4F"/>
    <w:rsid w:val="0095013B"/>
    <w:rsid w:val="00950190"/>
    <w:rsid w:val="00951740"/>
    <w:rsid w:val="00951D74"/>
    <w:rsid w:val="0095356D"/>
    <w:rsid w:val="009535BF"/>
    <w:rsid w:val="00953C68"/>
    <w:rsid w:val="00953FA2"/>
    <w:rsid w:val="009547A9"/>
    <w:rsid w:val="009555F3"/>
    <w:rsid w:val="00955DEB"/>
    <w:rsid w:val="00955F75"/>
    <w:rsid w:val="00956BE6"/>
    <w:rsid w:val="0095734C"/>
    <w:rsid w:val="00957F9F"/>
    <w:rsid w:val="009600FE"/>
    <w:rsid w:val="009610BC"/>
    <w:rsid w:val="00961937"/>
    <w:rsid w:val="009625EC"/>
    <w:rsid w:val="00963789"/>
    <w:rsid w:val="00963FDF"/>
    <w:rsid w:val="00964270"/>
    <w:rsid w:val="00964636"/>
    <w:rsid w:val="009647EF"/>
    <w:rsid w:val="00964F18"/>
    <w:rsid w:val="009651ED"/>
    <w:rsid w:val="00965638"/>
    <w:rsid w:val="00966688"/>
    <w:rsid w:val="0096784D"/>
    <w:rsid w:val="00967A10"/>
    <w:rsid w:val="00970BD4"/>
    <w:rsid w:val="00971562"/>
    <w:rsid w:val="009722BF"/>
    <w:rsid w:val="00972857"/>
    <w:rsid w:val="00972E9E"/>
    <w:rsid w:val="00973766"/>
    <w:rsid w:val="00973A5D"/>
    <w:rsid w:val="00973BA1"/>
    <w:rsid w:val="00973CFF"/>
    <w:rsid w:val="00974078"/>
    <w:rsid w:val="0097424F"/>
    <w:rsid w:val="00974587"/>
    <w:rsid w:val="00974D57"/>
    <w:rsid w:val="00975D17"/>
    <w:rsid w:val="00975D1A"/>
    <w:rsid w:val="00976403"/>
    <w:rsid w:val="00976620"/>
    <w:rsid w:val="00976D3D"/>
    <w:rsid w:val="0098029E"/>
    <w:rsid w:val="0098117F"/>
    <w:rsid w:val="00982278"/>
    <w:rsid w:val="00982789"/>
    <w:rsid w:val="00982F3B"/>
    <w:rsid w:val="00983947"/>
    <w:rsid w:val="009849F5"/>
    <w:rsid w:val="0098588F"/>
    <w:rsid w:val="00986172"/>
    <w:rsid w:val="0098695D"/>
    <w:rsid w:val="00986CDD"/>
    <w:rsid w:val="00986F5C"/>
    <w:rsid w:val="009902BE"/>
    <w:rsid w:val="00990568"/>
    <w:rsid w:val="00991346"/>
    <w:rsid w:val="0099191C"/>
    <w:rsid w:val="00991EDF"/>
    <w:rsid w:val="0099286C"/>
    <w:rsid w:val="00992915"/>
    <w:rsid w:val="00993007"/>
    <w:rsid w:val="00993BD9"/>
    <w:rsid w:val="00993C57"/>
    <w:rsid w:val="00993E54"/>
    <w:rsid w:val="00993EBC"/>
    <w:rsid w:val="00994032"/>
    <w:rsid w:val="00994085"/>
    <w:rsid w:val="00994BFD"/>
    <w:rsid w:val="009958B8"/>
    <w:rsid w:val="00995B5D"/>
    <w:rsid w:val="009960E8"/>
    <w:rsid w:val="00996AFF"/>
    <w:rsid w:val="00996E4D"/>
    <w:rsid w:val="00996EBB"/>
    <w:rsid w:val="00996F92"/>
    <w:rsid w:val="009972A9"/>
    <w:rsid w:val="009976D9"/>
    <w:rsid w:val="00997B29"/>
    <w:rsid w:val="009A02F7"/>
    <w:rsid w:val="009A0B57"/>
    <w:rsid w:val="009A16BA"/>
    <w:rsid w:val="009A1FE1"/>
    <w:rsid w:val="009A212E"/>
    <w:rsid w:val="009A293D"/>
    <w:rsid w:val="009A33E9"/>
    <w:rsid w:val="009A4173"/>
    <w:rsid w:val="009A5FE8"/>
    <w:rsid w:val="009A606B"/>
    <w:rsid w:val="009A66A9"/>
    <w:rsid w:val="009A7237"/>
    <w:rsid w:val="009A7476"/>
    <w:rsid w:val="009A76E5"/>
    <w:rsid w:val="009A79F6"/>
    <w:rsid w:val="009B01CA"/>
    <w:rsid w:val="009B0A2E"/>
    <w:rsid w:val="009B1CED"/>
    <w:rsid w:val="009B1F8D"/>
    <w:rsid w:val="009B2853"/>
    <w:rsid w:val="009B28B1"/>
    <w:rsid w:val="009B2FB5"/>
    <w:rsid w:val="009B40B5"/>
    <w:rsid w:val="009B43A9"/>
    <w:rsid w:val="009B456B"/>
    <w:rsid w:val="009B55B7"/>
    <w:rsid w:val="009B6770"/>
    <w:rsid w:val="009B697C"/>
    <w:rsid w:val="009B703C"/>
    <w:rsid w:val="009B714D"/>
    <w:rsid w:val="009B7335"/>
    <w:rsid w:val="009B7372"/>
    <w:rsid w:val="009B78FD"/>
    <w:rsid w:val="009C00BB"/>
    <w:rsid w:val="009C0591"/>
    <w:rsid w:val="009C06B8"/>
    <w:rsid w:val="009C0A57"/>
    <w:rsid w:val="009C0BA8"/>
    <w:rsid w:val="009C132F"/>
    <w:rsid w:val="009C1A5D"/>
    <w:rsid w:val="009C1B11"/>
    <w:rsid w:val="009C23EE"/>
    <w:rsid w:val="009C29CA"/>
    <w:rsid w:val="009C3803"/>
    <w:rsid w:val="009C3E36"/>
    <w:rsid w:val="009C3FCF"/>
    <w:rsid w:val="009C415D"/>
    <w:rsid w:val="009C4253"/>
    <w:rsid w:val="009C5820"/>
    <w:rsid w:val="009C632E"/>
    <w:rsid w:val="009C641C"/>
    <w:rsid w:val="009C65BE"/>
    <w:rsid w:val="009C727B"/>
    <w:rsid w:val="009C7AE7"/>
    <w:rsid w:val="009D0011"/>
    <w:rsid w:val="009D1033"/>
    <w:rsid w:val="009D10FA"/>
    <w:rsid w:val="009D1536"/>
    <w:rsid w:val="009D19DA"/>
    <w:rsid w:val="009D265F"/>
    <w:rsid w:val="009D269B"/>
    <w:rsid w:val="009D2C9A"/>
    <w:rsid w:val="009D3468"/>
    <w:rsid w:val="009D3766"/>
    <w:rsid w:val="009D38A4"/>
    <w:rsid w:val="009D3D35"/>
    <w:rsid w:val="009D3F45"/>
    <w:rsid w:val="009D408D"/>
    <w:rsid w:val="009D4575"/>
    <w:rsid w:val="009D48EB"/>
    <w:rsid w:val="009D4F03"/>
    <w:rsid w:val="009D5752"/>
    <w:rsid w:val="009D595C"/>
    <w:rsid w:val="009D5C2F"/>
    <w:rsid w:val="009D5D1E"/>
    <w:rsid w:val="009D5D46"/>
    <w:rsid w:val="009D62F4"/>
    <w:rsid w:val="009D65ED"/>
    <w:rsid w:val="009D75AF"/>
    <w:rsid w:val="009D7924"/>
    <w:rsid w:val="009E0781"/>
    <w:rsid w:val="009E1486"/>
    <w:rsid w:val="009E15C6"/>
    <w:rsid w:val="009E2175"/>
    <w:rsid w:val="009E2301"/>
    <w:rsid w:val="009E2778"/>
    <w:rsid w:val="009E34A0"/>
    <w:rsid w:val="009E384D"/>
    <w:rsid w:val="009E38E1"/>
    <w:rsid w:val="009E3F43"/>
    <w:rsid w:val="009E4722"/>
    <w:rsid w:val="009E4AAA"/>
    <w:rsid w:val="009E5319"/>
    <w:rsid w:val="009E56CE"/>
    <w:rsid w:val="009E5720"/>
    <w:rsid w:val="009E58DF"/>
    <w:rsid w:val="009E5B2D"/>
    <w:rsid w:val="009E6206"/>
    <w:rsid w:val="009E6422"/>
    <w:rsid w:val="009E707C"/>
    <w:rsid w:val="009E7C36"/>
    <w:rsid w:val="009E7DB3"/>
    <w:rsid w:val="009F02BC"/>
    <w:rsid w:val="009F0426"/>
    <w:rsid w:val="009F0C85"/>
    <w:rsid w:val="009F0D5D"/>
    <w:rsid w:val="009F1186"/>
    <w:rsid w:val="009F11A0"/>
    <w:rsid w:val="009F14DC"/>
    <w:rsid w:val="009F1772"/>
    <w:rsid w:val="009F1BB5"/>
    <w:rsid w:val="009F1EFB"/>
    <w:rsid w:val="009F23F8"/>
    <w:rsid w:val="009F27EF"/>
    <w:rsid w:val="009F28DE"/>
    <w:rsid w:val="009F2C82"/>
    <w:rsid w:val="009F3912"/>
    <w:rsid w:val="009F50BF"/>
    <w:rsid w:val="009F5DDE"/>
    <w:rsid w:val="009F6273"/>
    <w:rsid w:val="009F6448"/>
    <w:rsid w:val="009F6536"/>
    <w:rsid w:val="009F6AF8"/>
    <w:rsid w:val="009F6DAC"/>
    <w:rsid w:val="009F79CE"/>
    <w:rsid w:val="009F7D1C"/>
    <w:rsid w:val="00A00282"/>
    <w:rsid w:val="00A00BD7"/>
    <w:rsid w:val="00A010B7"/>
    <w:rsid w:val="00A01FAB"/>
    <w:rsid w:val="00A0281E"/>
    <w:rsid w:val="00A033CB"/>
    <w:rsid w:val="00A03F03"/>
    <w:rsid w:val="00A04023"/>
    <w:rsid w:val="00A040C7"/>
    <w:rsid w:val="00A04982"/>
    <w:rsid w:val="00A05CA2"/>
    <w:rsid w:val="00A064EB"/>
    <w:rsid w:val="00A06C97"/>
    <w:rsid w:val="00A06C9C"/>
    <w:rsid w:val="00A06DF8"/>
    <w:rsid w:val="00A079E8"/>
    <w:rsid w:val="00A07C1A"/>
    <w:rsid w:val="00A101C4"/>
    <w:rsid w:val="00A10479"/>
    <w:rsid w:val="00A1083E"/>
    <w:rsid w:val="00A10E6D"/>
    <w:rsid w:val="00A11277"/>
    <w:rsid w:val="00A11367"/>
    <w:rsid w:val="00A12D64"/>
    <w:rsid w:val="00A12F5C"/>
    <w:rsid w:val="00A13385"/>
    <w:rsid w:val="00A13E89"/>
    <w:rsid w:val="00A14041"/>
    <w:rsid w:val="00A1483E"/>
    <w:rsid w:val="00A14A8F"/>
    <w:rsid w:val="00A155AE"/>
    <w:rsid w:val="00A155BC"/>
    <w:rsid w:val="00A155DF"/>
    <w:rsid w:val="00A1591B"/>
    <w:rsid w:val="00A161C4"/>
    <w:rsid w:val="00A1656E"/>
    <w:rsid w:val="00A1671A"/>
    <w:rsid w:val="00A16A91"/>
    <w:rsid w:val="00A16AFE"/>
    <w:rsid w:val="00A1742D"/>
    <w:rsid w:val="00A17BB6"/>
    <w:rsid w:val="00A17DC9"/>
    <w:rsid w:val="00A2077E"/>
    <w:rsid w:val="00A20F53"/>
    <w:rsid w:val="00A21060"/>
    <w:rsid w:val="00A2282A"/>
    <w:rsid w:val="00A262EB"/>
    <w:rsid w:val="00A26348"/>
    <w:rsid w:val="00A26880"/>
    <w:rsid w:val="00A26909"/>
    <w:rsid w:val="00A26ED1"/>
    <w:rsid w:val="00A27C65"/>
    <w:rsid w:val="00A30E88"/>
    <w:rsid w:val="00A31A50"/>
    <w:rsid w:val="00A325FC"/>
    <w:rsid w:val="00A328C5"/>
    <w:rsid w:val="00A32C51"/>
    <w:rsid w:val="00A32CD7"/>
    <w:rsid w:val="00A32D7E"/>
    <w:rsid w:val="00A332DD"/>
    <w:rsid w:val="00A33BE3"/>
    <w:rsid w:val="00A33F53"/>
    <w:rsid w:val="00A33FCF"/>
    <w:rsid w:val="00A3410B"/>
    <w:rsid w:val="00A3445F"/>
    <w:rsid w:val="00A3453B"/>
    <w:rsid w:val="00A347E3"/>
    <w:rsid w:val="00A36AD4"/>
    <w:rsid w:val="00A36AFA"/>
    <w:rsid w:val="00A36C50"/>
    <w:rsid w:val="00A3714E"/>
    <w:rsid w:val="00A376E8"/>
    <w:rsid w:val="00A37C8D"/>
    <w:rsid w:val="00A37F29"/>
    <w:rsid w:val="00A403B9"/>
    <w:rsid w:val="00A414D6"/>
    <w:rsid w:val="00A416C7"/>
    <w:rsid w:val="00A41978"/>
    <w:rsid w:val="00A41D7E"/>
    <w:rsid w:val="00A42161"/>
    <w:rsid w:val="00A42DEC"/>
    <w:rsid w:val="00A43165"/>
    <w:rsid w:val="00A433DE"/>
    <w:rsid w:val="00A4369E"/>
    <w:rsid w:val="00A4397A"/>
    <w:rsid w:val="00A443E2"/>
    <w:rsid w:val="00A4472E"/>
    <w:rsid w:val="00A44962"/>
    <w:rsid w:val="00A44A60"/>
    <w:rsid w:val="00A44B2E"/>
    <w:rsid w:val="00A4567E"/>
    <w:rsid w:val="00A471EF"/>
    <w:rsid w:val="00A473C1"/>
    <w:rsid w:val="00A47646"/>
    <w:rsid w:val="00A5074A"/>
    <w:rsid w:val="00A50CEE"/>
    <w:rsid w:val="00A512AC"/>
    <w:rsid w:val="00A51665"/>
    <w:rsid w:val="00A52233"/>
    <w:rsid w:val="00A52631"/>
    <w:rsid w:val="00A527DA"/>
    <w:rsid w:val="00A5293D"/>
    <w:rsid w:val="00A52D4B"/>
    <w:rsid w:val="00A531FD"/>
    <w:rsid w:val="00A535F8"/>
    <w:rsid w:val="00A53EEB"/>
    <w:rsid w:val="00A54ADF"/>
    <w:rsid w:val="00A5532E"/>
    <w:rsid w:val="00A5535D"/>
    <w:rsid w:val="00A55C2C"/>
    <w:rsid w:val="00A55EA0"/>
    <w:rsid w:val="00A5623B"/>
    <w:rsid w:val="00A56346"/>
    <w:rsid w:val="00A57348"/>
    <w:rsid w:val="00A5754F"/>
    <w:rsid w:val="00A57BAE"/>
    <w:rsid w:val="00A61B21"/>
    <w:rsid w:val="00A61C68"/>
    <w:rsid w:val="00A6252D"/>
    <w:rsid w:val="00A62773"/>
    <w:rsid w:val="00A62E1E"/>
    <w:rsid w:val="00A63728"/>
    <w:rsid w:val="00A64A5B"/>
    <w:rsid w:val="00A64D43"/>
    <w:rsid w:val="00A65324"/>
    <w:rsid w:val="00A6560E"/>
    <w:rsid w:val="00A66F73"/>
    <w:rsid w:val="00A670CC"/>
    <w:rsid w:val="00A677A5"/>
    <w:rsid w:val="00A67E15"/>
    <w:rsid w:val="00A67FF8"/>
    <w:rsid w:val="00A7005E"/>
    <w:rsid w:val="00A704B2"/>
    <w:rsid w:val="00A71FDE"/>
    <w:rsid w:val="00A7267E"/>
    <w:rsid w:val="00A72785"/>
    <w:rsid w:val="00A72DC7"/>
    <w:rsid w:val="00A72F90"/>
    <w:rsid w:val="00A73550"/>
    <w:rsid w:val="00A73FE2"/>
    <w:rsid w:val="00A7452F"/>
    <w:rsid w:val="00A75566"/>
    <w:rsid w:val="00A75EA6"/>
    <w:rsid w:val="00A7647C"/>
    <w:rsid w:val="00A76AC9"/>
    <w:rsid w:val="00A770CE"/>
    <w:rsid w:val="00A77102"/>
    <w:rsid w:val="00A77A0C"/>
    <w:rsid w:val="00A803E9"/>
    <w:rsid w:val="00A81B8B"/>
    <w:rsid w:val="00A81DCD"/>
    <w:rsid w:val="00A830EF"/>
    <w:rsid w:val="00A8317E"/>
    <w:rsid w:val="00A83C20"/>
    <w:rsid w:val="00A841FD"/>
    <w:rsid w:val="00A84220"/>
    <w:rsid w:val="00A859CA"/>
    <w:rsid w:val="00A86F7F"/>
    <w:rsid w:val="00A87908"/>
    <w:rsid w:val="00A87E62"/>
    <w:rsid w:val="00A902DE"/>
    <w:rsid w:val="00A91645"/>
    <w:rsid w:val="00A9166C"/>
    <w:rsid w:val="00A91C8C"/>
    <w:rsid w:val="00A92403"/>
    <w:rsid w:val="00A92DFE"/>
    <w:rsid w:val="00A93F37"/>
    <w:rsid w:val="00A95614"/>
    <w:rsid w:val="00A966D8"/>
    <w:rsid w:val="00A96983"/>
    <w:rsid w:val="00A96A18"/>
    <w:rsid w:val="00A97011"/>
    <w:rsid w:val="00A9762C"/>
    <w:rsid w:val="00A97CCB"/>
    <w:rsid w:val="00A97EF5"/>
    <w:rsid w:val="00AA15EC"/>
    <w:rsid w:val="00AA1D6E"/>
    <w:rsid w:val="00AA1D89"/>
    <w:rsid w:val="00AA201C"/>
    <w:rsid w:val="00AA2E5A"/>
    <w:rsid w:val="00AA32E7"/>
    <w:rsid w:val="00AA47BC"/>
    <w:rsid w:val="00AA5BC2"/>
    <w:rsid w:val="00AA65BB"/>
    <w:rsid w:val="00AA6951"/>
    <w:rsid w:val="00AA6BF5"/>
    <w:rsid w:val="00AA6F32"/>
    <w:rsid w:val="00AA72BE"/>
    <w:rsid w:val="00AA7749"/>
    <w:rsid w:val="00AA792E"/>
    <w:rsid w:val="00AA7D82"/>
    <w:rsid w:val="00AB0236"/>
    <w:rsid w:val="00AB078F"/>
    <w:rsid w:val="00AB104E"/>
    <w:rsid w:val="00AB12C9"/>
    <w:rsid w:val="00AB276D"/>
    <w:rsid w:val="00AB2892"/>
    <w:rsid w:val="00AB2E45"/>
    <w:rsid w:val="00AB3237"/>
    <w:rsid w:val="00AB3F17"/>
    <w:rsid w:val="00AB477B"/>
    <w:rsid w:val="00AB51CC"/>
    <w:rsid w:val="00AB56A0"/>
    <w:rsid w:val="00AB5E16"/>
    <w:rsid w:val="00AB7064"/>
    <w:rsid w:val="00AB7730"/>
    <w:rsid w:val="00AC04E3"/>
    <w:rsid w:val="00AC0B48"/>
    <w:rsid w:val="00AC0C8F"/>
    <w:rsid w:val="00AC128A"/>
    <w:rsid w:val="00AC14B5"/>
    <w:rsid w:val="00AC18AC"/>
    <w:rsid w:val="00AC2738"/>
    <w:rsid w:val="00AC2E80"/>
    <w:rsid w:val="00AC307F"/>
    <w:rsid w:val="00AC3F3E"/>
    <w:rsid w:val="00AC40CB"/>
    <w:rsid w:val="00AC41D1"/>
    <w:rsid w:val="00AC43DF"/>
    <w:rsid w:val="00AC547C"/>
    <w:rsid w:val="00AC5564"/>
    <w:rsid w:val="00AC5846"/>
    <w:rsid w:val="00AC5EB6"/>
    <w:rsid w:val="00AC6076"/>
    <w:rsid w:val="00AC6760"/>
    <w:rsid w:val="00AC69AD"/>
    <w:rsid w:val="00AC6E0B"/>
    <w:rsid w:val="00AD1407"/>
    <w:rsid w:val="00AD1947"/>
    <w:rsid w:val="00AD1BCD"/>
    <w:rsid w:val="00AD29D7"/>
    <w:rsid w:val="00AD2EF1"/>
    <w:rsid w:val="00AD37F1"/>
    <w:rsid w:val="00AD4BE0"/>
    <w:rsid w:val="00AD4DDA"/>
    <w:rsid w:val="00AD56AA"/>
    <w:rsid w:val="00AD5966"/>
    <w:rsid w:val="00AD6C34"/>
    <w:rsid w:val="00AD773E"/>
    <w:rsid w:val="00AD77C5"/>
    <w:rsid w:val="00AD7C75"/>
    <w:rsid w:val="00AE0555"/>
    <w:rsid w:val="00AE067D"/>
    <w:rsid w:val="00AE0B6A"/>
    <w:rsid w:val="00AE15FA"/>
    <w:rsid w:val="00AE1D29"/>
    <w:rsid w:val="00AE1F52"/>
    <w:rsid w:val="00AE2956"/>
    <w:rsid w:val="00AE32D7"/>
    <w:rsid w:val="00AE3979"/>
    <w:rsid w:val="00AE3D14"/>
    <w:rsid w:val="00AE3D63"/>
    <w:rsid w:val="00AE4790"/>
    <w:rsid w:val="00AE4BC4"/>
    <w:rsid w:val="00AE5140"/>
    <w:rsid w:val="00AE6326"/>
    <w:rsid w:val="00AE6745"/>
    <w:rsid w:val="00AE6A6D"/>
    <w:rsid w:val="00AE7698"/>
    <w:rsid w:val="00AE76BE"/>
    <w:rsid w:val="00AE7C21"/>
    <w:rsid w:val="00AE7FCC"/>
    <w:rsid w:val="00AF0A2B"/>
    <w:rsid w:val="00AF0F7C"/>
    <w:rsid w:val="00AF129A"/>
    <w:rsid w:val="00AF1734"/>
    <w:rsid w:val="00AF198F"/>
    <w:rsid w:val="00AF1C37"/>
    <w:rsid w:val="00AF2C67"/>
    <w:rsid w:val="00AF36FB"/>
    <w:rsid w:val="00AF44D0"/>
    <w:rsid w:val="00AF49AE"/>
    <w:rsid w:val="00AF4F24"/>
    <w:rsid w:val="00AF5162"/>
    <w:rsid w:val="00AF520E"/>
    <w:rsid w:val="00AF61C9"/>
    <w:rsid w:val="00AF64CA"/>
    <w:rsid w:val="00AF65FA"/>
    <w:rsid w:val="00AF6C5A"/>
    <w:rsid w:val="00AF7190"/>
    <w:rsid w:val="00AF71A4"/>
    <w:rsid w:val="00AF72F9"/>
    <w:rsid w:val="00AF755E"/>
    <w:rsid w:val="00B00A78"/>
    <w:rsid w:val="00B00C6B"/>
    <w:rsid w:val="00B00D78"/>
    <w:rsid w:val="00B00EFA"/>
    <w:rsid w:val="00B01FF9"/>
    <w:rsid w:val="00B022A8"/>
    <w:rsid w:val="00B02366"/>
    <w:rsid w:val="00B033A5"/>
    <w:rsid w:val="00B03A36"/>
    <w:rsid w:val="00B03CE8"/>
    <w:rsid w:val="00B049C8"/>
    <w:rsid w:val="00B04AF1"/>
    <w:rsid w:val="00B0522E"/>
    <w:rsid w:val="00B05279"/>
    <w:rsid w:val="00B05874"/>
    <w:rsid w:val="00B05BCF"/>
    <w:rsid w:val="00B05F8E"/>
    <w:rsid w:val="00B0706F"/>
    <w:rsid w:val="00B070F4"/>
    <w:rsid w:val="00B079FE"/>
    <w:rsid w:val="00B105C2"/>
    <w:rsid w:val="00B10CA5"/>
    <w:rsid w:val="00B10CB4"/>
    <w:rsid w:val="00B11F83"/>
    <w:rsid w:val="00B12DF8"/>
    <w:rsid w:val="00B130A9"/>
    <w:rsid w:val="00B1402B"/>
    <w:rsid w:val="00B14EC0"/>
    <w:rsid w:val="00B151ED"/>
    <w:rsid w:val="00B158E6"/>
    <w:rsid w:val="00B15943"/>
    <w:rsid w:val="00B159D1"/>
    <w:rsid w:val="00B15B1B"/>
    <w:rsid w:val="00B15BE6"/>
    <w:rsid w:val="00B16216"/>
    <w:rsid w:val="00B1685D"/>
    <w:rsid w:val="00B1690A"/>
    <w:rsid w:val="00B16E09"/>
    <w:rsid w:val="00B1747B"/>
    <w:rsid w:val="00B17C47"/>
    <w:rsid w:val="00B17C50"/>
    <w:rsid w:val="00B203EA"/>
    <w:rsid w:val="00B20578"/>
    <w:rsid w:val="00B209F9"/>
    <w:rsid w:val="00B20ABF"/>
    <w:rsid w:val="00B21231"/>
    <w:rsid w:val="00B215E8"/>
    <w:rsid w:val="00B21740"/>
    <w:rsid w:val="00B22573"/>
    <w:rsid w:val="00B229C8"/>
    <w:rsid w:val="00B22A30"/>
    <w:rsid w:val="00B22B6D"/>
    <w:rsid w:val="00B22B79"/>
    <w:rsid w:val="00B22CB6"/>
    <w:rsid w:val="00B2355E"/>
    <w:rsid w:val="00B235B0"/>
    <w:rsid w:val="00B2418B"/>
    <w:rsid w:val="00B24D09"/>
    <w:rsid w:val="00B250FE"/>
    <w:rsid w:val="00B253DB"/>
    <w:rsid w:val="00B25AA1"/>
    <w:rsid w:val="00B25ACB"/>
    <w:rsid w:val="00B25C06"/>
    <w:rsid w:val="00B26203"/>
    <w:rsid w:val="00B26C2F"/>
    <w:rsid w:val="00B27383"/>
    <w:rsid w:val="00B273FE"/>
    <w:rsid w:val="00B27D97"/>
    <w:rsid w:val="00B27EEB"/>
    <w:rsid w:val="00B303AA"/>
    <w:rsid w:val="00B30D09"/>
    <w:rsid w:val="00B313F3"/>
    <w:rsid w:val="00B3290F"/>
    <w:rsid w:val="00B33477"/>
    <w:rsid w:val="00B33634"/>
    <w:rsid w:val="00B33B13"/>
    <w:rsid w:val="00B33D8C"/>
    <w:rsid w:val="00B344E0"/>
    <w:rsid w:val="00B34FCA"/>
    <w:rsid w:val="00B34FF8"/>
    <w:rsid w:val="00B35337"/>
    <w:rsid w:val="00B353AD"/>
    <w:rsid w:val="00B36161"/>
    <w:rsid w:val="00B36335"/>
    <w:rsid w:val="00B36904"/>
    <w:rsid w:val="00B36D28"/>
    <w:rsid w:val="00B40974"/>
    <w:rsid w:val="00B40BF3"/>
    <w:rsid w:val="00B40C03"/>
    <w:rsid w:val="00B41E4F"/>
    <w:rsid w:val="00B41ED9"/>
    <w:rsid w:val="00B42CD7"/>
    <w:rsid w:val="00B42D0B"/>
    <w:rsid w:val="00B42F2D"/>
    <w:rsid w:val="00B432CD"/>
    <w:rsid w:val="00B43946"/>
    <w:rsid w:val="00B445B8"/>
    <w:rsid w:val="00B44723"/>
    <w:rsid w:val="00B4508A"/>
    <w:rsid w:val="00B4537A"/>
    <w:rsid w:val="00B45C5D"/>
    <w:rsid w:val="00B478E0"/>
    <w:rsid w:val="00B5035D"/>
    <w:rsid w:val="00B513C2"/>
    <w:rsid w:val="00B51672"/>
    <w:rsid w:val="00B51981"/>
    <w:rsid w:val="00B52B4B"/>
    <w:rsid w:val="00B52F21"/>
    <w:rsid w:val="00B53BF5"/>
    <w:rsid w:val="00B53F29"/>
    <w:rsid w:val="00B550AE"/>
    <w:rsid w:val="00B553CD"/>
    <w:rsid w:val="00B55C35"/>
    <w:rsid w:val="00B55D27"/>
    <w:rsid w:val="00B563A8"/>
    <w:rsid w:val="00B563E1"/>
    <w:rsid w:val="00B56757"/>
    <w:rsid w:val="00B56882"/>
    <w:rsid w:val="00B56C00"/>
    <w:rsid w:val="00B56C01"/>
    <w:rsid w:val="00B56E64"/>
    <w:rsid w:val="00B56ECC"/>
    <w:rsid w:val="00B57A27"/>
    <w:rsid w:val="00B60302"/>
    <w:rsid w:val="00B60AD5"/>
    <w:rsid w:val="00B62363"/>
    <w:rsid w:val="00B62D43"/>
    <w:rsid w:val="00B632FB"/>
    <w:rsid w:val="00B63391"/>
    <w:rsid w:val="00B646BF"/>
    <w:rsid w:val="00B647B3"/>
    <w:rsid w:val="00B64917"/>
    <w:rsid w:val="00B6519D"/>
    <w:rsid w:val="00B651DD"/>
    <w:rsid w:val="00B65306"/>
    <w:rsid w:val="00B65426"/>
    <w:rsid w:val="00B65451"/>
    <w:rsid w:val="00B6553E"/>
    <w:rsid w:val="00B65B47"/>
    <w:rsid w:val="00B65ED2"/>
    <w:rsid w:val="00B66A58"/>
    <w:rsid w:val="00B673EC"/>
    <w:rsid w:val="00B67661"/>
    <w:rsid w:val="00B67AA6"/>
    <w:rsid w:val="00B67F05"/>
    <w:rsid w:val="00B708CB"/>
    <w:rsid w:val="00B71CCE"/>
    <w:rsid w:val="00B71D3A"/>
    <w:rsid w:val="00B728AE"/>
    <w:rsid w:val="00B72B95"/>
    <w:rsid w:val="00B74007"/>
    <w:rsid w:val="00B742EE"/>
    <w:rsid w:val="00B7480F"/>
    <w:rsid w:val="00B7492F"/>
    <w:rsid w:val="00B74A1B"/>
    <w:rsid w:val="00B74C58"/>
    <w:rsid w:val="00B74F5F"/>
    <w:rsid w:val="00B75D4F"/>
    <w:rsid w:val="00B768EE"/>
    <w:rsid w:val="00B76951"/>
    <w:rsid w:val="00B775B6"/>
    <w:rsid w:val="00B77637"/>
    <w:rsid w:val="00B77A8E"/>
    <w:rsid w:val="00B80C87"/>
    <w:rsid w:val="00B80E2F"/>
    <w:rsid w:val="00B81274"/>
    <w:rsid w:val="00B812A2"/>
    <w:rsid w:val="00B81447"/>
    <w:rsid w:val="00B81857"/>
    <w:rsid w:val="00B81EE8"/>
    <w:rsid w:val="00B821DB"/>
    <w:rsid w:val="00B821E6"/>
    <w:rsid w:val="00B82F31"/>
    <w:rsid w:val="00B8347C"/>
    <w:rsid w:val="00B839BC"/>
    <w:rsid w:val="00B83A41"/>
    <w:rsid w:val="00B842F7"/>
    <w:rsid w:val="00B84AB7"/>
    <w:rsid w:val="00B85209"/>
    <w:rsid w:val="00B86526"/>
    <w:rsid w:val="00B865AE"/>
    <w:rsid w:val="00B8694F"/>
    <w:rsid w:val="00B86EDC"/>
    <w:rsid w:val="00B87062"/>
    <w:rsid w:val="00B87704"/>
    <w:rsid w:val="00B90B51"/>
    <w:rsid w:val="00B91A32"/>
    <w:rsid w:val="00B91FD0"/>
    <w:rsid w:val="00B92337"/>
    <w:rsid w:val="00B9237B"/>
    <w:rsid w:val="00B9285F"/>
    <w:rsid w:val="00B9342F"/>
    <w:rsid w:val="00B9356E"/>
    <w:rsid w:val="00B945AC"/>
    <w:rsid w:val="00B94688"/>
    <w:rsid w:val="00B946DE"/>
    <w:rsid w:val="00B949CC"/>
    <w:rsid w:val="00B9510B"/>
    <w:rsid w:val="00B96574"/>
    <w:rsid w:val="00B97259"/>
    <w:rsid w:val="00B975EA"/>
    <w:rsid w:val="00B978BF"/>
    <w:rsid w:val="00BA063D"/>
    <w:rsid w:val="00BA076D"/>
    <w:rsid w:val="00BA09B6"/>
    <w:rsid w:val="00BA09D7"/>
    <w:rsid w:val="00BA0FFE"/>
    <w:rsid w:val="00BA12AB"/>
    <w:rsid w:val="00BA13D1"/>
    <w:rsid w:val="00BA1B07"/>
    <w:rsid w:val="00BA20F0"/>
    <w:rsid w:val="00BA2459"/>
    <w:rsid w:val="00BA2460"/>
    <w:rsid w:val="00BA2845"/>
    <w:rsid w:val="00BA2DB5"/>
    <w:rsid w:val="00BA3537"/>
    <w:rsid w:val="00BA3603"/>
    <w:rsid w:val="00BA37A7"/>
    <w:rsid w:val="00BA4BE8"/>
    <w:rsid w:val="00BA4CC0"/>
    <w:rsid w:val="00BA524F"/>
    <w:rsid w:val="00BA58F3"/>
    <w:rsid w:val="00BA5D69"/>
    <w:rsid w:val="00BA5FEA"/>
    <w:rsid w:val="00BA630E"/>
    <w:rsid w:val="00BA66E1"/>
    <w:rsid w:val="00BA6802"/>
    <w:rsid w:val="00BB024B"/>
    <w:rsid w:val="00BB059E"/>
    <w:rsid w:val="00BB0807"/>
    <w:rsid w:val="00BB0F5C"/>
    <w:rsid w:val="00BB17D5"/>
    <w:rsid w:val="00BB17FB"/>
    <w:rsid w:val="00BB20B6"/>
    <w:rsid w:val="00BB2473"/>
    <w:rsid w:val="00BB2983"/>
    <w:rsid w:val="00BB2AF7"/>
    <w:rsid w:val="00BB362F"/>
    <w:rsid w:val="00BB38AF"/>
    <w:rsid w:val="00BB3D69"/>
    <w:rsid w:val="00BB4176"/>
    <w:rsid w:val="00BB4519"/>
    <w:rsid w:val="00BB4CDB"/>
    <w:rsid w:val="00BB534F"/>
    <w:rsid w:val="00BB5399"/>
    <w:rsid w:val="00BB5CFB"/>
    <w:rsid w:val="00BB5EFE"/>
    <w:rsid w:val="00BB5F33"/>
    <w:rsid w:val="00BB6013"/>
    <w:rsid w:val="00BB6821"/>
    <w:rsid w:val="00BB6B63"/>
    <w:rsid w:val="00BB70C4"/>
    <w:rsid w:val="00BB7618"/>
    <w:rsid w:val="00BB7A99"/>
    <w:rsid w:val="00BC0C61"/>
    <w:rsid w:val="00BC0FA5"/>
    <w:rsid w:val="00BC1702"/>
    <w:rsid w:val="00BC1714"/>
    <w:rsid w:val="00BC224F"/>
    <w:rsid w:val="00BC2701"/>
    <w:rsid w:val="00BC3E67"/>
    <w:rsid w:val="00BC4122"/>
    <w:rsid w:val="00BC46CD"/>
    <w:rsid w:val="00BC4A5C"/>
    <w:rsid w:val="00BC50B8"/>
    <w:rsid w:val="00BC5296"/>
    <w:rsid w:val="00BC5E1C"/>
    <w:rsid w:val="00BC6593"/>
    <w:rsid w:val="00BC6A82"/>
    <w:rsid w:val="00BC6B36"/>
    <w:rsid w:val="00BC7053"/>
    <w:rsid w:val="00BC7148"/>
    <w:rsid w:val="00BC7B20"/>
    <w:rsid w:val="00BC7CE3"/>
    <w:rsid w:val="00BD19D1"/>
    <w:rsid w:val="00BD1C8B"/>
    <w:rsid w:val="00BD1C8E"/>
    <w:rsid w:val="00BD2CD2"/>
    <w:rsid w:val="00BD449A"/>
    <w:rsid w:val="00BD464A"/>
    <w:rsid w:val="00BD4B1B"/>
    <w:rsid w:val="00BD4BEC"/>
    <w:rsid w:val="00BD4C60"/>
    <w:rsid w:val="00BD4EF1"/>
    <w:rsid w:val="00BD5064"/>
    <w:rsid w:val="00BD53E2"/>
    <w:rsid w:val="00BD64B4"/>
    <w:rsid w:val="00BD67FC"/>
    <w:rsid w:val="00BD75EE"/>
    <w:rsid w:val="00BE03AC"/>
    <w:rsid w:val="00BE069D"/>
    <w:rsid w:val="00BE06D8"/>
    <w:rsid w:val="00BE094C"/>
    <w:rsid w:val="00BE0FD4"/>
    <w:rsid w:val="00BE1186"/>
    <w:rsid w:val="00BE1306"/>
    <w:rsid w:val="00BE18B7"/>
    <w:rsid w:val="00BE21CF"/>
    <w:rsid w:val="00BE24BA"/>
    <w:rsid w:val="00BE2785"/>
    <w:rsid w:val="00BE2AAF"/>
    <w:rsid w:val="00BE4623"/>
    <w:rsid w:val="00BE591D"/>
    <w:rsid w:val="00BE5BAE"/>
    <w:rsid w:val="00BE7364"/>
    <w:rsid w:val="00BE778E"/>
    <w:rsid w:val="00BE7942"/>
    <w:rsid w:val="00BE79C1"/>
    <w:rsid w:val="00BE7A3A"/>
    <w:rsid w:val="00BF0572"/>
    <w:rsid w:val="00BF0ABA"/>
    <w:rsid w:val="00BF13CD"/>
    <w:rsid w:val="00BF1494"/>
    <w:rsid w:val="00BF20DA"/>
    <w:rsid w:val="00BF357D"/>
    <w:rsid w:val="00BF3853"/>
    <w:rsid w:val="00BF418B"/>
    <w:rsid w:val="00BF41B2"/>
    <w:rsid w:val="00BF42AB"/>
    <w:rsid w:val="00BF5718"/>
    <w:rsid w:val="00BF5792"/>
    <w:rsid w:val="00BF5BDB"/>
    <w:rsid w:val="00BF5D69"/>
    <w:rsid w:val="00BF60A3"/>
    <w:rsid w:val="00BF751F"/>
    <w:rsid w:val="00BF78E6"/>
    <w:rsid w:val="00C00D11"/>
    <w:rsid w:val="00C00FE5"/>
    <w:rsid w:val="00C0146B"/>
    <w:rsid w:val="00C015A5"/>
    <w:rsid w:val="00C016F0"/>
    <w:rsid w:val="00C03264"/>
    <w:rsid w:val="00C03621"/>
    <w:rsid w:val="00C03FB0"/>
    <w:rsid w:val="00C04A21"/>
    <w:rsid w:val="00C04EF8"/>
    <w:rsid w:val="00C055D8"/>
    <w:rsid w:val="00C055FE"/>
    <w:rsid w:val="00C05A62"/>
    <w:rsid w:val="00C0610D"/>
    <w:rsid w:val="00C0658B"/>
    <w:rsid w:val="00C06B83"/>
    <w:rsid w:val="00C06EA7"/>
    <w:rsid w:val="00C07A19"/>
    <w:rsid w:val="00C1018F"/>
    <w:rsid w:val="00C10243"/>
    <w:rsid w:val="00C1095B"/>
    <w:rsid w:val="00C10AC2"/>
    <w:rsid w:val="00C10C63"/>
    <w:rsid w:val="00C1183A"/>
    <w:rsid w:val="00C118BD"/>
    <w:rsid w:val="00C124DC"/>
    <w:rsid w:val="00C12628"/>
    <w:rsid w:val="00C12A8F"/>
    <w:rsid w:val="00C12ADB"/>
    <w:rsid w:val="00C12B01"/>
    <w:rsid w:val="00C12FF9"/>
    <w:rsid w:val="00C131AB"/>
    <w:rsid w:val="00C132F5"/>
    <w:rsid w:val="00C1398E"/>
    <w:rsid w:val="00C13A06"/>
    <w:rsid w:val="00C13B4F"/>
    <w:rsid w:val="00C13DBC"/>
    <w:rsid w:val="00C14389"/>
    <w:rsid w:val="00C14A17"/>
    <w:rsid w:val="00C14B5F"/>
    <w:rsid w:val="00C14C29"/>
    <w:rsid w:val="00C14C45"/>
    <w:rsid w:val="00C14FC8"/>
    <w:rsid w:val="00C15055"/>
    <w:rsid w:val="00C1555F"/>
    <w:rsid w:val="00C158D6"/>
    <w:rsid w:val="00C15F0E"/>
    <w:rsid w:val="00C169DC"/>
    <w:rsid w:val="00C16FBF"/>
    <w:rsid w:val="00C173FA"/>
    <w:rsid w:val="00C2019C"/>
    <w:rsid w:val="00C20718"/>
    <w:rsid w:val="00C20BCE"/>
    <w:rsid w:val="00C21CAB"/>
    <w:rsid w:val="00C21F58"/>
    <w:rsid w:val="00C22434"/>
    <w:rsid w:val="00C228D8"/>
    <w:rsid w:val="00C228EB"/>
    <w:rsid w:val="00C2318F"/>
    <w:rsid w:val="00C24EAA"/>
    <w:rsid w:val="00C255AD"/>
    <w:rsid w:val="00C255EF"/>
    <w:rsid w:val="00C2652F"/>
    <w:rsid w:val="00C26885"/>
    <w:rsid w:val="00C26EBE"/>
    <w:rsid w:val="00C2716D"/>
    <w:rsid w:val="00C27435"/>
    <w:rsid w:val="00C3088F"/>
    <w:rsid w:val="00C3129D"/>
    <w:rsid w:val="00C325FF"/>
    <w:rsid w:val="00C33160"/>
    <w:rsid w:val="00C33266"/>
    <w:rsid w:val="00C339C5"/>
    <w:rsid w:val="00C33DEB"/>
    <w:rsid w:val="00C34622"/>
    <w:rsid w:val="00C34CAC"/>
    <w:rsid w:val="00C351C3"/>
    <w:rsid w:val="00C353D7"/>
    <w:rsid w:val="00C356D5"/>
    <w:rsid w:val="00C35F6A"/>
    <w:rsid w:val="00C369E7"/>
    <w:rsid w:val="00C36D2B"/>
    <w:rsid w:val="00C403A0"/>
    <w:rsid w:val="00C40621"/>
    <w:rsid w:val="00C41CEF"/>
    <w:rsid w:val="00C4200B"/>
    <w:rsid w:val="00C424E0"/>
    <w:rsid w:val="00C435ED"/>
    <w:rsid w:val="00C443C7"/>
    <w:rsid w:val="00C44650"/>
    <w:rsid w:val="00C446AC"/>
    <w:rsid w:val="00C44835"/>
    <w:rsid w:val="00C44B2B"/>
    <w:rsid w:val="00C45021"/>
    <w:rsid w:val="00C45D63"/>
    <w:rsid w:val="00C46A90"/>
    <w:rsid w:val="00C4726C"/>
    <w:rsid w:val="00C47CDC"/>
    <w:rsid w:val="00C5026C"/>
    <w:rsid w:val="00C5037B"/>
    <w:rsid w:val="00C50BE4"/>
    <w:rsid w:val="00C5154E"/>
    <w:rsid w:val="00C51CA7"/>
    <w:rsid w:val="00C53381"/>
    <w:rsid w:val="00C53669"/>
    <w:rsid w:val="00C53674"/>
    <w:rsid w:val="00C53835"/>
    <w:rsid w:val="00C53D44"/>
    <w:rsid w:val="00C54FBE"/>
    <w:rsid w:val="00C55536"/>
    <w:rsid w:val="00C55AF4"/>
    <w:rsid w:val="00C56852"/>
    <w:rsid w:val="00C5688C"/>
    <w:rsid w:val="00C57526"/>
    <w:rsid w:val="00C5772C"/>
    <w:rsid w:val="00C5784C"/>
    <w:rsid w:val="00C57C5C"/>
    <w:rsid w:val="00C612E8"/>
    <w:rsid w:val="00C61427"/>
    <w:rsid w:val="00C6196E"/>
    <w:rsid w:val="00C622DB"/>
    <w:rsid w:val="00C62604"/>
    <w:rsid w:val="00C62D17"/>
    <w:rsid w:val="00C63578"/>
    <w:rsid w:val="00C6449B"/>
    <w:rsid w:val="00C64864"/>
    <w:rsid w:val="00C64900"/>
    <w:rsid w:val="00C64E2D"/>
    <w:rsid w:val="00C64F29"/>
    <w:rsid w:val="00C651D2"/>
    <w:rsid w:val="00C6592C"/>
    <w:rsid w:val="00C6593E"/>
    <w:rsid w:val="00C660E3"/>
    <w:rsid w:val="00C6614A"/>
    <w:rsid w:val="00C661D4"/>
    <w:rsid w:val="00C66443"/>
    <w:rsid w:val="00C667DF"/>
    <w:rsid w:val="00C66811"/>
    <w:rsid w:val="00C70EDF"/>
    <w:rsid w:val="00C71D79"/>
    <w:rsid w:val="00C720F2"/>
    <w:rsid w:val="00C73060"/>
    <w:rsid w:val="00C73600"/>
    <w:rsid w:val="00C73787"/>
    <w:rsid w:val="00C739FA"/>
    <w:rsid w:val="00C770BA"/>
    <w:rsid w:val="00C77809"/>
    <w:rsid w:val="00C7790F"/>
    <w:rsid w:val="00C80043"/>
    <w:rsid w:val="00C80354"/>
    <w:rsid w:val="00C80D60"/>
    <w:rsid w:val="00C81107"/>
    <w:rsid w:val="00C81214"/>
    <w:rsid w:val="00C826A6"/>
    <w:rsid w:val="00C82A0B"/>
    <w:rsid w:val="00C83057"/>
    <w:rsid w:val="00C835E3"/>
    <w:rsid w:val="00C83689"/>
    <w:rsid w:val="00C8370A"/>
    <w:rsid w:val="00C83F4D"/>
    <w:rsid w:val="00C841E6"/>
    <w:rsid w:val="00C847B4"/>
    <w:rsid w:val="00C848B7"/>
    <w:rsid w:val="00C84991"/>
    <w:rsid w:val="00C84DE8"/>
    <w:rsid w:val="00C8512B"/>
    <w:rsid w:val="00C8518C"/>
    <w:rsid w:val="00C85309"/>
    <w:rsid w:val="00C8532F"/>
    <w:rsid w:val="00C85748"/>
    <w:rsid w:val="00C861C1"/>
    <w:rsid w:val="00C86EB3"/>
    <w:rsid w:val="00C87883"/>
    <w:rsid w:val="00C87F2D"/>
    <w:rsid w:val="00C9076C"/>
    <w:rsid w:val="00C907A9"/>
    <w:rsid w:val="00C90816"/>
    <w:rsid w:val="00C90B13"/>
    <w:rsid w:val="00C91103"/>
    <w:rsid w:val="00C91863"/>
    <w:rsid w:val="00C92211"/>
    <w:rsid w:val="00C92BC3"/>
    <w:rsid w:val="00C93110"/>
    <w:rsid w:val="00C93654"/>
    <w:rsid w:val="00C93A8A"/>
    <w:rsid w:val="00C93FAE"/>
    <w:rsid w:val="00C94373"/>
    <w:rsid w:val="00C9441B"/>
    <w:rsid w:val="00C94AB4"/>
    <w:rsid w:val="00C95601"/>
    <w:rsid w:val="00C95751"/>
    <w:rsid w:val="00C9580C"/>
    <w:rsid w:val="00C95908"/>
    <w:rsid w:val="00C977F3"/>
    <w:rsid w:val="00C97D8E"/>
    <w:rsid w:val="00CA1781"/>
    <w:rsid w:val="00CA1851"/>
    <w:rsid w:val="00CA1FAF"/>
    <w:rsid w:val="00CA2336"/>
    <w:rsid w:val="00CA25C9"/>
    <w:rsid w:val="00CA260B"/>
    <w:rsid w:val="00CA26E4"/>
    <w:rsid w:val="00CA2933"/>
    <w:rsid w:val="00CA314F"/>
    <w:rsid w:val="00CA3CD6"/>
    <w:rsid w:val="00CA41B8"/>
    <w:rsid w:val="00CA4814"/>
    <w:rsid w:val="00CA4F84"/>
    <w:rsid w:val="00CA55A2"/>
    <w:rsid w:val="00CA5CCC"/>
    <w:rsid w:val="00CA5F0C"/>
    <w:rsid w:val="00CA61D1"/>
    <w:rsid w:val="00CA77CE"/>
    <w:rsid w:val="00CA7E53"/>
    <w:rsid w:val="00CB046D"/>
    <w:rsid w:val="00CB107D"/>
    <w:rsid w:val="00CB10F2"/>
    <w:rsid w:val="00CB2D2B"/>
    <w:rsid w:val="00CB3D5D"/>
    <w:rsid w:val="00CB3FD1"/>
    <w:rsid w:val="00CB416E"/>
    <w:rsid w:val="00CB51A8"/>
    <w:rsid w:val="00CB5BD3"/>
    <w:rsid w:val="00CB7042"/>
    <w:rsid w:val="00CB7499"/>
    <w:rsid w:val="00CB7DE0"/>
    <w:rsid w:val="00CC08FF"/>
    <w:rsid w:val="00CC0F0B"/>
    <w:rsid w:val="00CC1DA0"/>
    <w:rsid w:val="00CC1E3C"/>
    <w:rsid w:val="00CC210D"/>
    <w:rsid w:val="00CC2127"/>
    <w:rsid w:val="00CC22B2"/>
    <w:rsid w:val="00CC31BF"/>
    <w:rsid w:val="00CC473A"/>
    <w:rsid w:val="00CC51CA"/>
    <w:rsid w:val="00CC5431"/>
    <w:rsid w:val="00CC6051"/>
    <w:rsid w:val="00CC6CC3"/>
    <w:rsid w:val="00CC6EB0"/>
    <w:rsid w:val="00CC748B"/>
    <w:rsid w:val="00CD0044"/>
    <w:rsid w:val="00CD09D5"/>
    <w:rsid w:val="00CD0ACA"/>
    <w:rsid w:val="00CD0CB0"/>
    <w:rsid w:val="00CD1791"/>
    <w:rsid w:val="00CD19FD"/>
    <w:rsid w:val="00CD1F5F"/>
    <w:rsid w:val="00CD20AD"/>
    <w:rsid w:val="00CD236D"/>
    <w:rsid w:val="00CD2493"/>
    <w:rsid w:val="00CD2E89"/>
    <w:rsid w:val="00CD35B1"/>
    <w:rsid w:val="00CD383E"/>
    <w:rsid w:val="00CD3919"/>
    <w:rsid w:val="00CD4893"/>
    <w:rsid w:val="00CD48CE"/>
    <w:rsid w:val="00CD49D3"/>
    <w:rsid w:val="00CD5972"/>
    <w:rsid w:val="00CD5A5C"/>
    <w:rsid w:val="00CD6B26"/>
    <w:rsid w:val="00CD7F2C"/>
    <w:rsid w:val="00CE047B"/>
    <w:rsid w:val="00CE0B20"/>
    <w:rsid w:val="00CE0BC0"/>
    <w:rsid w:val="00CE1110"/>
    <w:rsid w:val="00CE18C8"/>
    <w:rsid w:val="00CE1BA2"/>
    <w:rsid w:val="00CE2254"/>
    <w:rsid w:val="00CE35ED"/>
    <w:rsid w:val="00CE4057"/>
    <w:rsid w:val="00CE433A"/>
    <w:rsid w:val="00CE4490"/>
    <w:rsid w:val="00CE4A95"/>
    <w:rsid w:val="00CE52BC"/>
    <w:rsid w:val="00CE5594"/>
    <w:rsid w:val="00CE5733"/>
    <w:rsid w:val="00CE57FB"/>
    <w:rsid w:val="00CE601B"/>
    <w:rsid w:val="00CE74D4"/>
    <w:rsid w:val="00CE76C9"/>
    <w:rsid w:val="00CF08F9"/>
    <w:rsid w:val="00CF1A7D"/>
    <w:rsid w:val="00CF1C8F"/>
    <w:rsid w:val="00CF2D5E"/>
    <w:rsid w:val="00CF3AAE"/>
    <w:rsid w:val="00CF3F75"/>
    <w:rsid w:val="00CF4200"/>
    <w:rsid w:val="00CF455D"/>
    <w:rsid w:val="00CF4ED6"/>
    <w:rsid w:val="00CF546C"/>
    <w:rsid w:val="00CF67C7"/>
    <w:rsid w:val="00CF67F6"/>
    <w:rsid w:val="00CF6822"/>
    <w:rsid w:val="00D00D08"/>
    <w:rsid w:val="00D00D2E"/>
    <w:rsid w:val="00D00FD0"/>
    <w:rsid w:val="00D0181F"/>
    <w:rsid w:val="00D0295A"/>
    <w:rsid w:val="00D03431"/>
    <w:rsid w:val="00D03938"/>
    <w:rsid w:val="00D03ABB"/>
    <w:rsid w:val="00D03DC2"/>
    <w:rsid w:val="00D042BF"/>
    <w:rsid w:val="00D044D8"/>
    <w:rsid w:val="00D05805"/>
    <w:rsid w:val="00D06196"/>
    <w:rsid w:val="00D061E2"/>
    <w:rsid w:val="00D064EC"/>
    <w:rsid w:val="00D07868"/>
    <w:rsid w:val="00D0793E"/>
    <w:rsid w:val="00D1072B"/>
    <w:rsid w:val="00D11545"/>
    <w:rsid w:val="00D11F76"/>
    <w:rsid w:val="00D12BB7"/>
    <w:rsid w:val="00D13435"/>
    <w:rsid w:val="00D13649"/>
    <w:rsid w:val="00D13D44"/>
    <w:rsid w:val="00D1429E"/>
    <w:rsid w:val="00D14A2E"/>
    <w:rsid w:val="00D15611"/>
    <w:rsid w:val="00D156B9"/>
    <w:rsid w:val="00D158EB"/>
    <w:rsid w:val="00D15D5E"/>
    <w:rsid w:val="00D162A6"/>
    <w:rsid w:val="00D16C64"/>
    <w:rsid w:val="00D16F2E"/>
    <w:rsid w:val="00D17008"/>
    <w:rsid w:val="00D17DA6"/>
    <w:rsid w:val="00D201A3"/>
    <w:rsid w:val="00D2085F"/>
    <w:rsid w:val="00D2089E"/>
    <w:rsid w:val="00D20D21"/>
    <w:rsid w:val="00D2134A"/>
    <w:rsid w:val="00D21604"/>
    <w:rsid w:val="00D21924"/>
    <w:rsid w:val="00D21971"/>
    <w:rsid w:val="00D21A3C"/>
    <w:rsid w:val="00D22096"/>
    <w:rsid w:val="00D22939"/>
    <w:rsid w:val="00D24278"/>
    <w:rsid w:val="00D2434D"/>
    <w:rsid w:val="00D243EB"/>
    <w:rsid w:val="00D2554F"/>
    <w:rsid w:val="00D25D15"/>
    <w:rsid w:val="00D2602F"/>
    <w:rsid w:val="00D26416"/>
    <w:rsid w:val="00D26705"/>
    <w:rsid w:val="00D26740"/>
    <w:rsid w:val="00D27C44"/>
    <w:rsid w:val="00D27DAF"/>
    <w:rsid w:val="00D31AF6"/>
    <w:rsid w:val="00D321A5"/>
    <w:rsid w:val="00D322CB"/>
    <w:rsid w:val="00D327DF"/>
    <w:rsid w:val="00D333E7"/>
    <w:rsid w:val="00D335DF"/>
    <w:rsid w:val="00D33DDB"/>
    <w:rsid w:val="00D341F4"/>
    <w:rsid w:val="00D34C42"/>
    <w:rsid w:val="00D34D1A"/>
    <w:rsid w:val="00D358D6"/>
    <w:rsid w:val="00D35AD3"/>
    <w:rsid w:val="00D35D2C"/>
    <w:rsid w:val="00D3600E"/>
    <w:rsid w:val="00D36529"/>
    <w:rsid w:val="00D367B3"/>
    <w:rsid w:val="00D36959"/>
    <w:rsid w:val="00D36E68"/>
    <w:rsid w:val="00D37000"/>
    <w:rsid w:val="00D40663"/>
    <w:rsid w:val="00D40D9C"/>
    <w:rsid w:val="00D40EBE"/>
    <w:rsid w:val="00D419BA"/>
    <w:rsid w:val="00D41FAD"/>
    <w:rsid w:val="00D42662"/>
    <w:rsid w:val="00D42F0F"/>
    <w:rsid w:val="00D431DB"/>
    <w:rsid w:val="00D43A40"/>
    <w:rsid w:val="00D44338"/>
    <w:rsid w:val="00D45321"/>
    <w:rsid w:val="00D456D5"/>
    <w:rsid w:val="00D45A99"/>
    <w:rsid w:val="00D4673F"/>
    <w:rsid w:val="00D46BF7"/>
    <w:rsid w:val="00D46E7F"/>
    <w:rsid w:val="00D46F27"/>
    <w:rsid w:val="00D50A92"/>
    <w:rsid w:val="00D520E9"/>
    <w:rsid w:val="00D52112"/>
    <w:rsid w:val="00D5243D"/>
    <w:rsid w:val="00D52D89"/>
    <w:rsid w:val="00D52E16"/>
    <w:rsid w:val="00D530A1"/>
    <w:rsid w:val="00D5445D"/>
    <w:rsid w:val="00D54831"/>
    <w:rsid w:val="00D55475"/>
    <w:rsid w:val="00D5561E"/>
    <w:rsid w:val="00D56BE8"/>
    <w:rsid w:val="00D5724A"/>
    <w:rsid w:val="00D5727F"/>
    <w:rsid w:val="00D60920"/>
    <w:rsid w:val="00D616E2"/>
    <w:rsid w:val="00D61D5C"/>
    <w:rsid w:val="00D61F23"/>
    <w:rsid w:val="00D63713"/>
    <w:rsid w:val="00D64174"/>
    <w:rsid w:val="00D641D5"/>
    <w:rsid w:val="00D64230"/>
    <w:rsid w:val="00D649FF"/>
    <w:rsid w:val="00D66BF0"/>
    <w:rsid w:val="00D670CE"/>
    <w:rsid w:val="00D67B9B"/>
    <w:rsid w:val="00D703DC"/>
    <w:rsid w:val="00D705A6"/>
    <w:rsid w:val="00D72076"/>
    <w:rsid w:val="00D728D6"/>
    <w:rsid w:val="00D72EB4"/>
    <w:rsid w:val="00D72FEC"/>
    <w:rsid w:val="00D73044"/>
    <w:rsid w:val="00D73624"/>
    <w:rsid w:val="00D73C79"/>
    <w:rsid w:val="00D73CFA"/>
    <w:rsid w:val="00D74739"/>
    <w:rsid w:val="00D74868"/>
    <w:rsid w:val="00D74D00"/>
    <w:rsid w:val="00D7512D"/>
    <w:rsid w:val="00D75895"/>
    <w:rsid w:val="00D75FDC"/>
    <w:rsid w:val="00D770B5"/>
    <w:rsid w:val="00D81CD1"/>
    <w:rsid w:val="00D81FF2"/>
    <w:rsid w:val="00D82521"/>
    <w:rsid w:val="00D82FCB"/>
    <w:rsid w:val="00D830BC"/>
    <w:rsid w:val="00D8313A"/>
    <w:rsid w:val="00D83CCE"/>
    <w:rsid w:val="00D83D76"/>
    <w:rsid w:val="00D83E1B"/>
    <w:rsid w:val="00D849D6"/>
    <w:rsid w:val="00D849E8"/>
    <w:rsid w:val="00D851C0"/>
    <w:rsid w:val="00D853C6"/>
    <w:rsid w:val="00D8582D"/>
    <w:rsid w:val="00D8672C"/>
    <w:rsid w:val="00D868C1"/>
    <w:rsid w:val="00D86EC4"/>
    <w:rsid w:val="00D871A2"/>
    <w:rsid w:val="00D872BF"/>
    <w:rsid w:val="00D87409"/>
    <w:rsid w:val="00D87B0C"/>
    <w:rsid w:val="00D905F6"/>
    <w:rsid w:val="00D90A6B"/>
    <w:rsid w:val="00D90AFA"/>
    <w:rsid w:val="00D90BB8"/>
    <w:rsid w:val="00D90CAE"/>
    <w:rsid w:val="00D91461"/>
    <w:rsid w:val="00D915F3"/>
    <w:rsid w:val="00D91B55"/>
    <w:rsid w:val="00D91E88"/>
    <w:rsid w:val="00D92260"/>
    <w:rsid w:val="00D9246E"/>
    <w:rsid w:val="00D925C2"/>
    <w:rsid w:val="00D94CE5"/>
    <w:rsid w:val="00D95CB7"/>
    <w:rsid w:val="00D95E27"/>
    <w:rsid w:val="00D9600A"/>
    <w:rsid w:val="00D96042"/>
    <w:rsid w:val="00D96050"/>
    <w:rsid w:val="00D961D2"/>
    <w:rsid w:val="00D96B21"/>
    <w:rsid w:val="00D96B59"/>
    <w:rsid w:val="00DA02A2"/>
    <w:rsid w:val="00DA0949"/>
    <w:rsid w:val="00DA0C58"/>
    <w:rsid w:val="00DA0E4A"/>
    <w:rsid w:val="00DA13CA"/>
    <w:rsid w:val="00DA14C0"/>
    <w:rsid w:val="00DA1ADE"/>
    <w:rsid w:val="00DA1B1F"/>
    <w:rsid w:val="00DA1C35"/>
    <w:rsid w:val="00DA2774"/>
    <w:rsid w:val="00DA28CC"/>
    <w:rsid w:val="00DA30DC"/>
    <w:rsid w:val="00DA3959"/>
    <w:rsid w:val="00DA42BE"/>
    <w:rsid w:val="00DA4C0D"/>
    <w:rsid w:val="00DA5752"/>
    <w:rsid w:val="00DA6727"/>
    <w:rsid w:val="00DA6B16"/>
    <w:rsid w:val="00DA6DAF"/>
    <w:rsid w:val="00DB014B"/>
    <w:rsid w:val="00DB0216"/>
    <w:rsid w:val="00DB0995"/>
    <w:rsid w:val="00DB0DB9"/>
    <w:rsid w:val="00DB1882"/>
    <w:rsid w:val="00DB2036"/>
    <w:rsid w:val="00DB236F"/>
    <w:rsid w:val="00DB243F"/>
    <w:rsid w:val="00DB24AE"/>
    <w:rsid w:val="00DB24DA"/>
    <w:rsid w:val="00DB32F3"/>
    <w:rsid w:val="00DB34B1"/>
    <w:rsid w:val="00DB3651"/>
    <w:rsid w:val="00DB3C70"/>
    <w:rsid w:val="00DB3E97"/>
    <w:rsid w:val="00DB43DC"/>
    <w:rsid w:val="00DB48AB"/>
    <w:rsid w:val="00DB4BFA"/>
    <w:rsid w:val="00DB4D3C"/>
    <w:rsid w:val="00DB4D7C"/>
    <w:rsid w:val="00DB4F9D"/>
    <w:rsid w:val="00DB5AAE"/>
    <w:rsid w:val="00DB5B66"/>
    <w:rsid w:val="00DB6D1A"/>
    <w:rsid w:val="00DB70EE"/>
    <w:rsid w:val="00DB75C9"/>
    <w:rsid w:val="00DB7B9D"/>
    <w:rsid w:val="00DB7EB0"/>
    <w:rsid w:val="00DB7F8D"/>
    <w:rsid w:val="00DC0031"/>
    <w:rsid w:val="00DC130E"/>
    <w:rsid w:val="00DC27B3"/>
    <w:rsid w:val="00DC2C7C"/>
    <w:rsid w:val="00DC3579"/>
    <w:rsid w:val="00DC3D05"/>
    <w:rsid w:val="00DC517B"/>
    <w:rsid w:val="00DC5452"/>
    <w:rsid w:val="00DC6FB8"/>
    <w:rsid w:val="00DC7991"/>
    <w:rsid w:val="00DD0451"/>
    <w:rsid w:val="00DD0F10"/>
    <w:rsid w:val="00DD178A"/>
    <w:rsid w:val="00DD19CB"/>
    <w:rsid w:val="00DD21A2"/>
    <w:rsid w:val="00DD28C1"/>
    <w:rsid w:val="00DD2988"/>
    <w:rsid w:val="00DD2C4A"/>
    <w:rsid w:val="00DD4A05"/>
    <w:rsid w:val="00DD50F1"/>
    <w:rsid w:val="00DD51E6"/>
    <w:rsid w:val="00DD6BBA"/>
    <w:rsid w:val="00DE0284"/>
    <w:rsid w:val="00DE0423"/>
    <w:rsid w:val="00DE060A"/>
    <w:rsid w:val="00DE0FEA"/>
    <w:rsid w:val="00DE2007"/>
    <w:rsid w:val="00DE24D4"/>
    <w:rsid w:val="00DE268F"/>
    <w:rsid w:val="00DE2BEE"/>
    <w:rsid w:val="00DE3943"/>
    <w:rsid w:val="00DE517A"/>
    <w:rsid w:val="00DE54B5"/>
    <w:rsid w:val="00DE570A"/>
    <w:rsid w:val="00DE5914"/>
    <w:rsid w:val="00DE5987"/>
    <w:rsid w:val="00DE5F5A"/>
    <w:rsid w:val="00DE608E"/>
    <w:rsid w:val="00DE6533"/>
    <w:rsid w:val="00DE65A4"/>
    <w:rsid w:val="00DE6A71"/>
    <w:rsid w:val="00DE6ED8"/>
    <w:rsid w:val="00DE6F0E"/>
    <w:rsid w:val="00DE78F3"/>
    <w:rsid w:val="00DE7E31"/>
    <w:rsid w:val="00DF0E99"/>
    <w:rsid w:val="00DF1525"/>
    <w:rsid w:val="00DF19F2"/>
    <w:rsid w:val="00DF1CD7"/>
    <w:rsid w:val="00DF1F2D"/>
    <w:rsid w:val="00DF1F63"/>
    <w:rsid w:val="00DF20EB"/>
    <w:rsid w:val="00DF2558"/>
    <w:rsid w:val="00DF307C"/>
    <w:rsid w:val="00DF3693"/>
    <w:rsid w:val="00DF3A3A"/>
    <w:rsid w:val="00DF3C16"/>
    <w:rsid w:val="00DF490B"/>
    <w:rsid w:val="00DF5799"/>
    <w:rsid w:val="00DF6236"/>
    <w:rsid w:val="00DF6444"/>
    <w:rsid w:val="00DF6F3D"/>
    <w:rsid w:val="00DF764C"/>
    <w:rsid w:val="00E0050E"/>
    <w:rsid w:val="00E008B3"/>
    <w:rsid w:val="00E00A11"/>
    <w:rsid w:val="00E00CF1"/>
    <w:rsid w:val="00E00FE6"/>
    <w:rsid w:val="00E01045"/>
    <w:rsid w:val="00E01335"/>
    <w:rsid w:val="00E01337"/>
    <w:rsid w:val="00E01CD5"/>
    <w:rsid w:val="00E01D7C"/>
    <w:rsid w:val="00E02B45"/>
    <w:rsid w:val="00E02FF3"/>
    <w:rsid w:val="00E041BD"/>
    <w:rsid w:val="00E04CCD"/>
    <w:rsid w:val="00E06248"/>
    <w:rsid w:val="00E06894"/>
    <w:rsid w:val="00E074DB"/>
    <w:rsid w:val="00E07808"/>
    <w:rsid w:val="00E07B04"/>
    <w:rsid w:val="00E10282"/>
    <w:rsid w:val="00E1047A"/>
    <w:rsid w:val="00E10A68"/>
    <w:rsid w:val="00E10D04"/>
    <w:rsid w:val="00E114CE"/>
    <w:rsid w:val="00E11839"/>
    <w:rsid w:val="00E119C0"/>
    <w:rsid w:val="00E11CB2"/>
    <w:rsid w:val="00E1293B"/>
    <w:rsid w:val="00E14BD7"/>
    <w:rsid w:val="00E14E2A"/>
    <w:rsid w:val="00E14F3E"/>
    <w:rsid w:val="00E1564B"/>
    <w:rsid w:val="00E161B3"/>
    <w:rsid w:val="00E1692D"/>
    <w:rsid w:val="00E16DE2"/>
    <w:rsid w:val="00E16FD0"/>
    <w:rsid w:val="00E2065D"/>
    <w:rsid w:val="00E20C61"/>
    <w:rsid w:val="00E20C84"/>
    <w:rsid w:val="00E2205E"/>
    <w:rsid w:val="00E227A6"/>
    <w:rsid w:val="00E2333A"/>
    <w:rsid w:val="00E24BFF"/>
    <w:rsid w:val="00E24CDA"/>
    <w:rsid w:val="00E25668"/>
    <w:rsid w:val="00E26A4E"/>
    <w:rsid w:val="00E27113"/>
    <w:rsid w:val="00E27180"/>
    <w:rsid w:val="00E27DD4"/>
    <w:rsid w:val="00E305BA"/>
    <w:rsid w:val="00E30CA3"/>
    <w:rsid w:val="00E30DFB"/>
    <w:rsid w:val="00E31504"/>
    <w:rsid w:val="00E31781"/>
    <w:rsid w:val="00E31E15"/>
    <w:rsid w:val="00E31E1E"/>
    <w:rsid w:val="00E321B2"/>
    <w:rsid w:val="00E3288B"/>
    <w:rsid w:val="00E32E0A"/>
    <w:rsid w:val="00E32FF2"/>
    <w:rsid w:val="00E332D5"/>
    <w:rsid w:val="00E33CF2"/>
    <w:rsid w:val="00E34088"/>
    <w:rsid w:val="00E34415"/>
    <w:rsid w:val="00E3452B"/>
    <w:rsid w:val="00E34AA3"/>
    <w:rsid w:val="00E355A8"/>
    <w:rsid w:val="00E357DC"/>
    <w:rsid w:val="00E36395"/>
    <w:rsid w:val="00E378B0"/>
    <w:rsid w:val="00E37C85"/>
    <w:rsid w:val="00E4081A"/>
    <w:rsid w:val="00E413DD"/>
    <w:rsid w:val="00E417BB"/>
    <w:rsid w:val="00E4221A"/>
    <w:rsid w:val="00E42F0A"/>
    <w:rsid w:val="00E44721"/>
    <w:rsid w:val="00E458F3"/>
    <w:rsid w:val="00E46196"/>
    <w:rsid w:val="00E47C9C"/>
    <w:rsid w:val="00E50C44"/>
    <w:rsid w:val="00E50D5C"/>
    <w:rsid w:val="00E513EC"/>
    <w:rsid w:val="00E51F02"/>
    <w:rsid w:val="00E51FEF"/>
    <w:rsid w:val="00E5239D"/>
    <w:rsid w:val="00E523C1"/>
    <w:rsid w:val="00E526A5"/>
    <w:rsid w:val="00E541F7"/>
    <w:rsid w:val="00E55005"/>
    <w:rsid w:val="00E55143"/>
    <w:rsid w:val="00E555A7"/>
    <w:rsid w:val="00E55DF5"/>
    <w:rsid w:val="00E55E54"/>
    <w:rsid w:val="00E56270"/>
    <w:rsid w:val="00E566AA"/>
    <w:rsid w:val="00E573DE"/>
    <w:rsid w:val="00E57BE1"/>
    <w:rsid w:val="00E57BF9"/>
    <w:rsid w:val="00E600CA"/>
    <w:rsid w:val="00E60BD7"/>
    <w:rsid w:val="00E618F9"/>
    <w:rsid w:val="00E61B03"/>
    <w:rsid w:val="00E62908"/>
    <w:rsid w:val="00E63B64"/>
    <w:rsid w:val="00E64027"/>
    <w:rsid w:val="00E645FC"/>
    <w:rsid w:val="00E64751"/>
    <w:rsid w:val="00E6486E"/>
    <w:rsid w:val="00E65361"/>
    <w:rsid w:val="00E66CBC"/>
    <w:rsid w:val="00E66CEB"/>
    <w:rsid w:val="00E66D99"/>
    <w:rsid w:val="00E66DCE"/>
    <w:rsid w:val="00E673BD"/>
    <w:rsid w:val="00E67516"/>
    <w:rsid w:val="00E703F2"/>
    <w:rsid w:val="00E70553"/>
    <w:rsid w:val="00E708F9"/>
    <w:rsid w:val="00E71CE8"/>
    <w:rsid w:val="00E73903"/>
    <w:rsid w:val="00E73CA6"/>
    <w:rsid w:val="00E73E31"/>
    <w:rsid w:val="00E74B56"/>
    <w:rsid w:val="00E74D1F"/>
    <w:rsid w:val="00E75194"/>
    <w:rsid w:val="00E75751"/>
    <w:rsid w:val="00E762D6"/>
    <w:rsid w:val="00E764D5"/>
    <w:rsid w:val="00E76A83"/>
    <w:rsid w:val="00E76C9C"/>
    <w:rsid w:val="00E77606"/>
    <w:rsid w:val="00E77DF2"/>
    <w:rsid w:val="00E80688"/>
    <w:rsid w:val="00E80ADF"/>
    <w:rsid w:val="00E816A1"/>
    <w:rsid w:val="00E81F6E"/>
    <w:rsid w:val="00E82DF3"/>
    <w:rsid w:val="00E82E70"/>
    <w:rsid w:val="00E83147"/>
    <w:rsid w:val="00E83575"/>
    <w:rsid w:val="00E83C13"/>
    <w:rsid w:val="00E83D4B"/>
    <w:rsid w:val="00E84460"/>
    <w:rsid w:val="00E84758"/>
    <w:rsid w:val="00E85249"/>
    <w:rsid w:val="00E85AA6"/>
    <w:rsid w:val="00E860AF"/>
    <w:rsid w:val="00E86160"/>
    <w:rsid w:val="00E8665E"/>
    <w:rsid w:val="00E901A0"/>
    <w:rsid w:val="00E90929"/>
    <w:rsid w:val="00E90D4D"/>
    <w:rsid w:val="00E922C7"/>
    <w:rsid w:val="00E92C1D"/>
    <w:rsid w:val="00E931A4"/>
    <w:rsid w:val="00E93D2B"/>
    <w:rsid w:val="00E93D95"/>
    <w:rsid w:val="00E94EFE"/>
    <w:rsid w:val="00E94F67"/>
    <w:rsid w:val="00E953A0"/>
    <w:rsid w:val="00E954A6"/>
    <w:rsid w:val="00E95532"/>
    <w:rsid w:val="00E9611F"/>
    <w:rsid w:val="00E96359"/>
    <w:rsid w:val="00E964EF"/>
    <w:rsid w:val="00E96642"/>
    <w:rsid w:val="00E96765"/>
    <w:rsid w:val="00E96ADE"/>
    <w:rsid w:val="00E96E34"/>
    <w:rsid w:val="00EA16DC"/>
    <w:rsid w:val="00EA1AE3"/>
    <w:rsid w:val="00EA242C"/>
    <w:rsid w:val="00EA31E2"/>
    <w:rsid w:val="00EA3A44"/>
    <w:rsid w:val="00EA49B0"/>
    <w:rsid w:val="00EA53C6"/>
    <w:rsid w:val="00EA59D7"/>
    <w:rsid w:val="00EA59FF"/>
    <w:rsid w:val="00EA5F78"/>
    <w:rsid w:val="00EA6550"/>
    <w:rsid w:val="00EA6631"/>
    <w:rsid w:val="00EA683D"/>
    <w:rsid w:val="00EA7BCF"/>
    <w:rsid w:val="00EA7C74"/>
    <w:rsid w:val="00EA7E1F"/>
    <w:rsid w:val="00EB0B72"/>
    <w:rsid w:val="00EB1AD5"/>
    <w:rsid w:val="00EB202A"/>
    <w:rsid w:val="00EB23A6"/>
    <w:rsid w:val="00EB25FD"/>
    <w:rsid w:val="00EB2A7F"/>
    <w:rsid w:val="00EB33FD"/>
    <w:rsid w:val="00EB3B54"/>
    <w:rsid w:val="00EB3FDF"/>
    <w:rsid w:val="00EB456E"/>
    <w:rsid w:val="00EB5328"/>
    <w:rsid w:val="00EB5C8F"/>
    <w:rsid w:val="00EB5CA0"/>
    <w:rsid w:val="00EB6BCA"/>
    <w:rsid w:val="00EB6C82"/>
    <w:rsid w:val="00EB748E"/>
    <w:rsid w:val="00EB7BCF"/>
    <w:rsid w:val="00EC00E3"/>
    <w:rsid w:val="00EC0BB6"/>
    <w:rsid w:val="00EC1F7F"/>
    <w:rsid w:val="00EC2457"/>
    <w:rsid w:val="00EC38FC"/>
    <w:rsid w:val="00EC3E21"/>
    <w:rsid w:val="00EC49F7"/>
    <w:rsid w:val="00EC4FCF"/>
    <w:rsid w:val="00EC51B2"/>
    <w:rsid w:val="00EC5692"/>
    <w:rsid w:val="00EC5ADB"/>
    <w:rsid w:val="00EC5BAB"/>
    <w:rsid w:val="00EC5EDF"/>
    <w:rsid w:val="00EC6611"/>
    <w:rsid w:val="00EC6884"/>
    <w:rsid w:val="00EC70A3"/>
    <w:rsid w:val="00EC779E"/>
    <w:rsid w:val="00EC7C2C"/>
    <w:rsid w:val="00EC7E88"/>
    <w:rsid w:val="00EC7FD7"/>
    <w:rsid w:val="00ED0019"/>
    <w:rsid w:val="00ED0D4F"/>
    <w:rsid w:val="00ED0FB8"/>
    <w:rsid w:val="00ED1062"/>
    <w:rsid w:val="00ED1BD5"/>
    <w:rsid w:val="00ED2197"/>
    <w:rsid w:val="00ED267A"/>
    <w:rsid w:val="00ED2B57"/>
    <w:rsid w:val="00ED2E49"/>
    <w:rsid w:val="00ED2EA0"/>
    <w:rsid w:val="00ED2FBE"/>
    <w:rsid w:val="00ED3E56"/>
    <w:rsid w:val="00ED42B7"/>
    <w:rsid w:val="00ED4852"/>
    <w:rsid w:val="00ED4AEA"/>
    <w:rsid w:val="00ED542F"/>
    <w:rsid w:val="00ED5B18"/>
    <w:rsid w:val="00ED5CBA"/>
    <w:rsid w:val="00ED620F"/>
    <w:rsid w:val="00EE00D5"/>
    <w:rsid w:val="00EE0316"/>
    <w:rsid w:val="00EE1093"/>
    <w:rsid w:val="00EE222C"/>
    <w:rsid w:val="00EE231F"/>
    <w:rsid w:val="00EE2EEC"/>
    <w:rsid w:val="00EE343D"/>
    <w:rsid w:val="00EE4339"/>
    <w:rsid w:val="00EE4B31"/>
    <w:rsid w:val="00EE4BFA"/>
    <w:rsid w:val="00EE4EE9"/>
    <w:rsid w:val="00EE5091"/>
    <w:rsid w:val="00EE5425"/>
    <w:rsid w:val="00EE5A1D"/>
    <w:rsid w:val="00EE5D82"/>
    <w:rsid w:val="00EE60E9"/>
    <w:rsid w:val="00EE6528"/>
    <w:rsid w:val="00EE7005"/>
    <w:rsid w:val="00EE725C"/>
    <w:rsid w:val="00EE7459"/>
    <w:rsid w:val="00EE7D53"/>
    <w:rsid w:val="00EF0326"/>
    <w:rsid w:val="00EF1029"/>
    <w:rsid w:val="00EF13F4"/>
    <w:rsid w:val="00EF191C"/>
    <w:rsid w:val="00EF1F46"/>
    <w:rsid w:val="00EF26B5"/>
    <w:rsid w:val="00EF2896"/>
    <w:rsid w:val="00EF2A80"/>
    <w:rsid w:val="00EF3280"/>
    <w:rsid w:val="00EF3C51"/>
    <w:rsid w:val="00EF4D00"/>
    <w:rsid w:val="00EF638C"/>
    <w:rsid w:val="00EF70D5"/>
    <w:rsid w:val="00EF72CF"/>
    <w:rsid w:val="00EF7341"/>
    <w:rsid w:val="00EF7819"/>
    <w:rsid w:val="00F0019B"/>
    <w:rsid w:val="00F01301"/>
    <w:rsid w:val="00F02164"/>
    <w:rsid w:val="00F02803"/>
    <w:rsid w:val="00F02EB4"/>
    <w:rsid w:val="00F04211"/>
    <w:rsid w:val="00F043E6"/>
    <w:rsid w:val="00F0441E"/>
    <w:rsid w:val="00F0584F"/>
    <w:rsid w:val="00F05998"/>
    <w:rsid w:val="00F06157"/>
    <w:rsid w:val="00F0692E"/>
    <w:rsid w:val="00F071F5"/>
    <w:rsid w:val="00F072E7"/>
    <w:rsid w:val="00F07A07"/>
    <w:rsid w:val="00F10522"/>
    <w:rsid w:val="00F1206A"/>
    <w:rsid w:val="00F12BDF"/>
    <w:rsid w:val="00F13434"/>
    <w:rsid w:val="00F146A8"/>
    <w:rsid w:val="00F14B4E"/>
    <w:rsid w:val="00F15134"/>
    <w:rsid w:val="00F156E8"/>
    <w:rsid w:val="00F16C2E"/>
    <w:rsid w:val="00F16FDF"/>
    <w:rsid w:val="00F171F9"/>
    <w:rsid w:val="00F212E3"/>
    <w:rsid w:val="00F2143F"/>
    <w:rsid w:val="00F21658"/>
    <w:rsid w:val="00F21A9E"/>
    <w:rsid w:val="00F21B32"/>
    <w:rsid w:val="00F21F0E"/>
    <w:rsid w:val="00F21F74"/>
    <w:rsid w:val="00F2245A"/>
    <w:rsid w:val="00F22519"/>
    <w:rsid w:val="00F241A4"/>
    <w:rsid w:val="00F249FD"/>
    <w:rsid w:val="00F24B6B"/>
    <w:rsid w:val="00F258BB"/>
    <w:rsid w:val="00F264D2"/>
    <w:rsid w:val="00F26F5F"/>
    <w:rsid w:val="00F2737A"/>
    <w:rsid w:val="00F27506"/>
    <w:rsid w:val="00F27708"/>
    <w:rsid w:val="00F27AAC"/>
    <w:rsid w:val="00F27FD9"/>
    <w:rsid w:val="00F30FFE"/>
    <w:rsid w:val="00F31347"/>
    <w:rsid w:val="00F31417"/>
    <w:rsid w:val="00F33837"/>
    <w:rsid w:val="00F344BE"/>
    <w:rsid w:val="00F34823"/>
    <w:rsid w:val="00F35229"/>
    <w:rsid w:val="00F35A82"/>
    <w:rsid w:val="00F35EA8"/>
    <w:rsid w:val="00F363F4"/>
    <w:rsid w:val="00F36459"/>
    <w:rsid w:val="00F37286"/>
    <w:rsid w:val="00F37C0B"/>
    <w:rsid w:val="00F37DEF"/>
    <w:rsid w:val="00F37FDF"/>
    <w:rsid w:val="00F40309"/>
    <w:rsid w:val="00F4053F"/>
    <w:rsid w:val="00F409A4"/>
    <w:rsid w:val="00F40A5A"/>
    <w:rsid w:val="00F40C68"/>
    <w:rsid w:val="00F410D6"/>
    <w:rsid w:val="00F41BFA"/>
    <w:rsid w:val="00F41D9D"/>
    <w:rsid w:val="00F4222F"/>
    <w:rsid w:val="00F43A57"/>
    <w:rsid w:val="00F43D6B"/>
    <w:rsid w:val="00F442CE"/>
    <w:rsid w:val="00F44333"/>
    <w:rsid w:val="00F44441"/>
    <w:rsid w:val="00F44959"/>
    <w:rsid w:val="00F451AD"/>
    <w:rsid w:val="00F4528F"/>
    <w:rsid w:val="00F45465"/>
    <w:rsid w:val="00F46287"/>
    <w:rsid w:val="00F468F7"/>
    <w:rsid w:val="00F46D71"/>
    <w:rsid w:val="00F47536"/>
    <w:rsid w:val="00F47769"/>
    <w:rsid w:val="00F47D6A"/>
    <w:rsid w:val="00F47F69"/>
    <w:rsid w:val="00F5099A"/>
    <w:rsid w:val="00F50F3D"/>
    <w:rsid w:val="00F51134"/>
    <w:rsid w:val="00F524B1"/>
    <w:rsid w:val="00F526AF"/>
    <w:rsid w:val="00F526D7"/>
    <w:rsid w:val="00F52BB5"/>
    <w:rsid w:val="00F52CE7"/>
    <w:rsid w:val="00F531CD"/>
    <w:rsid w:val="00F537C8"/>
    <w:rsid w:val="00F53A58"/>
    <w:rsid w:val="00F53C20"/>
    <w:rsid w:val="00F53CD5"/>
    <w:rsid w:val="00F54602"/>
    <w:rsid w:val="00F54D7C"/>
    <w:rsid w:val="00F558AA"/>
    <w:rsid w:val="00F559D2"/>
    <w:rsid w:val="00F55A61"/>
    <w:rsid w:val="00F55D8C"/>
    <w:rsid w:val="00F55DFA"/>
    <w:rsid w:val="00F5610C"/>
    <w:rsid w:val="00F561AE"/>
    <w:rsid w:val="00F578B0"/>
    <w:rsid w:val="00F57AA6"/>
    <w:rsid w:val="00F57FD3"/>
    <w:rsid w:val="00F60237"/>
    <w:rsid w:val="00F607DD"/>
    <w:rsid w:val="00F60913"/>
    <w:rsid w:val="00F60BD8"/>
    <w:rsid w:val="00F60FFD"/>
    <w:rsid w:val="00F61068"/>
    <w:rsid w:val="00F61168"/>
    <w:rsid w:val="00F6171A"/>
    <w:rsid w:val="00F61978"/>
    <w:rsid w:val="00F621FF"/>
    <w:rsid w:val="00F63B2B"/>
    <w:rsid w:val="00F640E3"/>
    <w:rsid w:val="00F641E6"/>
    <w:rsid w:val="00F64249"/>
    <w:rsid w:val="00F64573"/>
    <w:rsid w:val="00F65820"/>
    <w:rsid w:val="00F6666F"/>
    <w:rsid w:val="00F66DD3"/>
    <w:rsid w:val="00F66E50"/>
    <w:rsid w:val="00F672A8"/>
    <w:rsid w:val="00F67852"/>
    <w:rsid w:val="00F709C8"/>
    <w:rsid w:val="00F70DB2"/>
    <w:rsid w:val="00F70F59"/>
    <w:rsid w:val="00F7163A"/>
    <w:rsid w:val="00F71A6D"/>
    <w:rsid w:val="00F71FC7"/>
    <w:rsid w:val="00F72FBD"/>
    <w:rsid w:val="00F730B0"/>
    <w:rsid w:val="00F735FC"/>
    <w:rsid w:val="00F73794"/>
    <w:rsid w:val="00F73BC4"/>
    <w:rsid w:val="00F73E5A"/>
    <w:rsid w:val="00F742BE"/>
    <w:rsid w:val="00F742E3"/>
    <w:rsid w:val="00F758B4"/>
    <w:rsid w:val="00F7689A"/>
    <w:rsid w:val="00F76FF5"/>
    <w:rsid w:val="00F77308"/>
    <w:rsid w:val="00F773A2"/>
    <w:rsid w:val="00F8187D"/>
    <w:rsid w:val="00F818E6"/>
    <w:rsid w:val="00F81D4F"/>
    <w:rsid w:val="00F81E57"/>
    <w:rsid w:val="00F837B7"/>
    <w:rsid w:val="00F843F5"/>
    <w:rsid w:val="00F8470D"/>
    <w:rsid w:val="00F849FF"/>
    <w:rsid w:val="00F85A6E"/>
    <w:rsid w:val="00F85C46"/>
    <w:rsid w:val="00F85FFB"/>
    <w:rsid w:val="00F8676F"/>
    <w:rsid w:val="00F869BA"/>
    <w:rsid w:val="00F86A63"/>
    <w:rsid w:val="00F86BA5"/>
    <w:rsid w:val="00F86BAF"/>
    <w:rsid w:val="00F8741B"/>
    <w:rsid w:val="00F909DA"/>
    <w:rsid w:val="00F90FFB"/>
    <w:rsid w:val="00F92E67"/>
    <w:rsid w:val="00F93558"/>
    <w:rsid w:val="00F939D0"/>
    <w:rsid w:val="00F93C63"/>
    <w:rsid w:val="00F9454B"/>
    <w:rsid w:val="00F948D3"/>
    <w:rsid w:val="00F94932"/>
    <w:rsid w:val="00F94DC7"/>
    <w:rsid w:val="00F95391"/>
    <w:rsid w:val="00F9576F"/>
    <w:rsid w:val="00F95A32"/>
    <w:rsid w:val="00F95C82"/>
    <w:rsid w:val="00F96087"/>
    <w:rsid w:val="00F96097"/>
    <w:rsid w:val="00F96281"/>
    <w:rsid w:val="00F97ADC"/>
    <w:rsid w:val="00F97EB3"/>
    <w:rsid w:val="00FA0014"/>
    <w:rsid w:val="00FA1611"/>
    <w:rsid w:val="00FA16FE"/>
    <w:rsid w:val="00FA1892"/>
    <w:rsid w:val="00FA1AB1"/>
    <w:rsid w:val="00FA2080"/>
    <w:rsid w:val="00FA21CF"/>
    <w:rsid w:val="00FA248A"/>
    <w:rsid w:val="00FA2AAE"/>
    <w:rsid w:val="00FA3673"/>
    <w:rsid w:val="00FA38E0"/>
    <w:rsid w:val="00FA3A54"/>
    <w:rsid w:val="00FA452C"/>
    <w:rsid w:val="00FA4942"/>
    <w:rsid w:val="00FA4ABE"/>
    <w:rsid w:val="00FA521B"/>
    <w:rsid w:val="00FA59E2"/>
    <w:rsid w:val="00FA5E74"/>
    <w:rsid w:val="00FA63C3"/>
    <w:rsid w:val="00FA70EA"/>
    <w:rsid w:val="00FA77BB"/>
    <w:rsid w:val="00FA7B13"/>
    <w:rsid w:val="00FB0141"/>
    <w:rsid w:val="00FB1D78"/>
    <w:rsid w:val="00FB1F3E"/>
    <w:rsid w:val="00FB201B"/>
    <w:rsid w:val="00FB292E"/>
    <w:rsid w:val="00FB2FE3"/>
    <w:rsid w:val="00FB33B7"/>
    <w:rsid w:val="00FB4E94"/>
    <w:rsid w:val="00FB5143"/>
    <w:rsid w:val="00FB5731"/>
    <w:rsid w:val="00FB5FB0"/>
    <w:rsid w:val="00FB6362"/>
    <w:rsid w:val="00FB6EA6"/>
    <w:rsid w:val="00FB718F"/>
    <w:rsid w:val="00FB786A"/>
    <w:rsid w:val="00FC03A1"/>
    <w:rsid w:val="00FC1286"/>
    <w:rsid w:val="00FC158D"/>
    <w:rsid w:val="00FC19AA"/>
    <w:rsid w:val="00FC28D9"/>
    <w:rsid w:val="00FC2B5D"/>
    <w:rsid w:val="00FC3590"/>
    <w:rsid w:val="00FC3C76"/>
    <w:rsid w:val="00FC3CE3"/>
    <w:rsid w:val="00FC3DB9"/>
    <w:rsid w:val="00FC45C2"/>
    <w:rsid w:val="00FC5475"/>
    <w:rsid w:val="00FC57F6"/>
    <w:rsid w:val="00FC5881"/>
    <w:rsid w:val="00FC6F64"/>
    <w:rsid w:val="00FC7FD3"/>
    <w:rsid w:val="00FD082D"/>
    <w:rsid w:val="00FD0D76"/>
    <w:rsid w:val="00FD0E8D"/>
    <w:rsid w:val="00FD15C7"/>
    <w:rsid w:val="00FD1E07"/>
    <w:rsid w:val="00FD289B"/>
    <w:rsid w:val="00FD300E"/>
    <w:rsid w:val="00FD30FC"/>
    <w:rsid w:val="00FD3B56"/>
    <w:rsid w:val="00FD4391"/>
    <w:rsid w:val="00FD4D34"/>
    <w:rsid w:val="00FD5334"/>
    <w:rsid w:val="00FD5678"/>
    <w:rsid w:val="00FD6048"/>
    <w:rsid w:val="00FD61F0"/>
    <w:rsid w:val="00FD6B9D"/>
    <w:rsid w:val="00FD6BFC"/>
    <w:rsid w:val="00FD75D9"/>
    <w:rsid w:val="00FE0005"/>
    <w:rsid w:val="00FE03FF"/>
    <w:rsid w:val="00FE088F"/>
    <w:rsid w:val="00FE0CBB"/>
    <w:rsid w:val="00FE0F23"/>
    <w:rsid w:val="00FE21EF"/>
    <w:rsid w:val="00FE32DA"/>
    <w:rsid w:val="00FE3542"/>
    <w:rsid w:val="00FE395A"/>
    <w:rsid w:val="00FE3C65"/>
    <w:rsid w:val="00FE4390"/>
    <w:rsid w:val="00FE4486"/>
    <w:rsid w:val="00FE456D"/>
    <w:rsid w:val="00FE4A6F"/>
    <w:rsid w:val="00FE54ED"/>
    <w:rsid w:val="00FE5CB8"/>
    <w:rsid w:val="00FE6102"/>
    <w:rsid w:val="00FE672A"/>
    <w:rsid w:val="00FE675C"/>
    <w:rsid w:val="00FE6A66"/>
    <w:rsid w:val="00FE7048"/>
    <w:rsid w:val="00FF038C"/>
    <w:rsid w:val="00FF03C8"/>
    <w:rsid w:val="00FF0E0D"/>
    <w:rsid w:val="00FF1D16"/>
    <w:rsid w:val="00FF2262"/>
    <w:rsid w:val="00FF353D"/>
    <w:rsid w:val="00FF3ED7"/>
    <w:rsid w:val="00FF415C"/>
    <w:rsid w:val="00FF42C2"/>
    <w:rsid w:val="00FF50CC"/>
    <w:rsid w:val="00FF58B2"/>
    <w:rsid w:val="00FF5C10"/>
    <w:rsid w:val="00FF602B"/>
    <w:rsid w:val="00FF67F6"/>
    <w:rsid w:val="00FF688C"/>
    <w:rsid w:val="00FF694C"/>
    <w:rsid w:val="00FF6A0A"/>
    <w:rsid w:val="00FF7239"/>
    <w:rsid w:val="013067E5"/>
    <w:rsid w:val="013E5072"/>
    <w:rsid w:val="0183216B"/>
    <w:rsid w:val="02300D54"/>
    <w:rsid w:val="02344013"/>
    <w:rsid w:val="02D0730E"/>
    <w:rsid w:val="02E513DC"/>
    <w:rsid w:val="041029BE"/>
    <w:rsid w:val="043A79D3"/>
    <w:rsid w:val="04E358A2"/>
    <w:rsid w:val="04E35A1E"/>
    <w:rsid w:val="054B35C3"/>
    <w:rsid w:val="056B6324"/>
    <w:rsid w:val="05B44CC5"/>
    <w:rsid w:val="05DF1ECD"/>
    <w:rsid w:val="088B21D2"/>
    <w:rsid w:val="08E753B1"/>
    <w:rsid w:val="091E5277"/>
    <w:rsid w:val="098E0F65"/>
    <w:rsid w:val="0A421F4B"/>
    <w:rsid w:val="0A4F2A94"/>
    <w:rsid w:val="0ABD7F53"/>
    <w:rsid w:val="0ABE395E"/>
    <w:rsid w:val="0ACA6467"/>
    <w:rsid w:val="0AF1188D"/>
    <w:rsid w:val="0B400345"/>
    <w:rsid w:val="0B7C40A9"/>
    <w:rsid w:val="0B8178B2"/>
    <w:rsid w:val="0B8C449A"/>
    <w:rsid w:val="0C437F80"/>
    <w:rsid w:val="0C564B38"/>
    <w:rsid w:val="0C662A91"/>
    <w:rsid w:val="0CBF5B3A"/>
    <w:rsid w:val="0D15579C"/>
    <w:rsid w:val="0E4B1F3E"/>
    <w:rsid w:val="0EDD2021"/>
    <w:rsid w:val="0EE41305"/>
    <w:rsid w:val="0F2E76D7"/>
    <w:rsid w:val="10C2583D"/>
    <w:rsid w:val="11047C6F"/>
    <w:rsid w:val="113F0489"/>
    <w:rsid w:val="116C33A0"/>
    <w:rsid w:val="11B33D7A"/>
    <w:rsid w:val="11D55ED6"/>
    <w:rsid w:val="121E7A1E"/>
    <w:rsid w:val="123A1131"/>
    <w:rsid w:val="129E0786"/>
    <w:rsid w:val="131058B5"/>
    <w:rsid w:val="13505FA3"/>
    <w:rsid w:val="149366D0"/>
    <w:rsid w:val="14A91DF7"/>
    <w:rsid w:val="14B656C9"/>
    <w:rsid w:val="14C7650F"/>
    <w:rsid w:val="14D06B23"/>
    <w:rsid w:val="14F055ED"/>
    <w:rsid w:val="150567FB"/>
    <w:rsid w:val="150712B5"/>
    <w:rsid w:val="15A9482E"/>
    <w:rsid w:val="15C07DB6"/>
    <w:rsid w:val="160931A2"/>
    <w:rsid w:val="165F776B"/>
    <w:rsid w:val="167A3D95"/>
    <w:rsid w:val="1690175D"/>
    <w:rsid w:val="16A3457C"/>
    <w:rsid w:val="16E060F6"/>
    <w:rsid w:val="17523371"/>
    <w:rsid w:val="178F7340"/>
    <w:rsid w:val="181C64CE"/>
    <w:rsid w:val="182823D8"/>
    <w:rsid w:val="185B4759"/>
    <w:rsid w:val="18FC0A05"/>
    <w:rsid w:val="19045A8E"/>
    <w:rsid w:val="193468BF"/>
    <w:rsid w:val="19B86792"/>
    <w:rsid w:val="19BB2256"/>
    <w:rsid w:val="1A2148F0"/>
    <w:rsid w:val="1AFE0F3E"/>
    <w:rsid w:val="1B1D6E53"/>
    <w:rsid w:val="1CB1586D"/>
    <w:rsid w:val="1CD2619C"/>
    <w:rsid w:val="1CE95BEC"/>
    <w:rsid w:val="1DC769EA"/>
    <w:rsid w:val="1DD43F1D"/>
    <w:rsid w:val="1E3D5AC4"/>
    <w:rsid w:val="1EBE39F8"/>
    <w:rsid w:val="1EE41AC9"/>
    <w:rsid w:val="1F044457"/>
    <w:rsid w:val="1FE739B3"/>
    <w:rsid w:val="2001261E"/>
    <w:rsid w:val="20424E9F"/>
    <w:rsid w:val="205E2588"/>
    <w:rsid w:val="210642F3"/>
    <w:rsid w:val="212C5BFF"/>
    <w:rsid w:val="21572A68"/>
    <w:rsid w:val="220F6284"/>
    <w:rsid w:val="22A46982"/>
    <w:rsid w:val="22B06CBD"/>
    <w:rsid w:val="22D64B05"/>
    <w:rsid w:val="231D1CA3"/>
    <w:rsid w:val="23875384"/>
    <w:rsid w:val="23A72728"/>
    <w:rsid w:val="23AB0FE5"/>
    <w:rsid w:val="23AF7C25"/>
    <w:rsid w:val="23BE0FA1"/>
    <w:rsid w:val="23D56899"/>
    <w:rsid w:val="23F53218"/>
    <w:rsid w:val="24840B9B"/>
    <w:rsid w:val="24DC41FD"/>
    <w:rsid w:val="255461DB"/>
    <w:rsid w:val="257E3EE8"/>
    <w:rsid w:val="259F40A6"/>
    <w:rsid w:val="25B46A78"/>
    <w:rsid w:val="268D5392"/>
    <w:rsid w:val="26D5527A"/>
    <w:rsid w:val="26E20CB0"/>
    <w:rsid w:val="271D41AC"/>
    <w:rsid w:val="272A353A"/>
    <w:rsid w:val="27553F88"/>
    <w:rsid w:val="278344B5"/>
    <w:rsid w:val="278C5C71"/>
    <w:rsid w:val="28454A2A"/>
    <w:rsid w:val="28744D60"/>
    <w:rsid w:val="296A19BB"/>
    <w:rsid w:val="296F2DDD"/>
    <w:rsid w:val="29987F44"/>
    <w:rsid w:val="29DB56A5"/>
    <w:rsid w:val="29E21E9C"/>
    <w:rsid w:val="29EE6148"/>
    <w:rsid w:val="2A12304A"/>
    <w:rsid w:val="2A231631"/>
    <w:rsid w:val="2A8E3487"/>
    <w:rsid w:val="2A9F39E8"/>
    <w:rsid w:val="2B237C41"/>
    <w:rsid w:val="2B30066A"/>
    <w:rsid w:val="2B4A1565"/>
    <w:rsid w:val="2B5736CD"/>
    <w:rsid w:val="2B67439A"/>
    <w:rsid w:val="2C474657"/>
    <w:rsid w:val="2C9E20A7"/>
    <w:rsid w:val="2CC26F9A"/>
    <w:rsid w:val="2CE36785"/>
    <w:rsid w:val="2D4B0897"/>
    <w:rsid w:val="2D9477B7"/>
    <w:rsid w:val="2DD438FB"/>
    <w:rsid w:val="2DD85B04"/>
    <w:rsid w:val="2E3C52DE"/>
    <w:rsid w:val="2E9B01AA"/>
    <w:rsid w:val="2EC0772E"/>
    <w:rsid w:val="2F171C9D"/>
    <w:rsid w:val="2F8B7376"/>
    <w:rsid w:val="2F8F5D4A"/>
    <w:rsid w:val="2FBC33D5"/>
    <w:rsid w:val="301277C9"/>
    <w:rsid w:val="3069170D"/>
    <w:rsid w:val="30BD3E74"/>
    <w:rsid w:val="321641C6"/>
    <w:rsid w:val="32C654FF"/>
    <w:rsid w:val="32F21B66"/>
    <w:rsid w:val="337B7D4E"/>
    <w:rsid w:val="342F6ACE"/>
    <w:rsid w:val="352E3390"/>
    <w:rsid w:val="353177BD"/>
    <w:rsid w:val="35D76B3F"/>
    <w:rsid w:val="35F35D00"/>
    <w:rsid w:val="373E3A14"/>
    <w:rsid w:val="375E013C"/>
    <w:rsid w:val="37826642"/>
    <w:rsid w:val="37FA07AE"/>
    <w:rsid w:val="38576C35"/>
    <w:rsid w:val="388E1576"/>
    <w:rsid w:val="38F51BAD"/>
    <w:rsid w:val="393C22F8"/>
    <w:rsid w:val="398418EF"/>
    <w:rsid w:val="398E6732"/>
    <w:rsid w:val="39CC29E2"/>
    <w:rsid w:val="3A255E58"/>
    <w:rsid w:val="3AC149AE"/>
    <w:rsid w:val="3B93162F"/>
    <w:rsid w:val="3BDA54DF"/>
    <w:rsid w:val="3BDE4B93"/>
    <w:rsid w:val="3C8B5A78"/>
    <w:rsid w:val="3CCB6282"/>
    <w:rsid w:val="3D8C7485"/>
    <w:rsid w:val="3DD052F9"/>
    <w:rsid w:val="3DE07F6E"/>
    <w:rsid w:val="3DE94972"/>
    <w:rsid w:val="3E063D43"/>
    <w:rsid w:val="3E08493D"/>
    <w:rsid w:val="3ED32DEA"/>
    <w:rsid w:val="3EDD0597"/>
    <w:rsid w:val="3EEA6956"/>
    <w:rsid w:val="3F6D76B7"/>
    <w:rsid w:val="3FB91A9F"/>
    <w:rsid w:val="3FC33F74"/>
    <w:rsid w:val="3FC4608F"/>
    <w:rsid w:val="3FE756BB"/>
    <w:rsid w:val="3FEE5671"/>
    <w:rsid w:val="402661E4"/>
    <w:rsid w:val="40532C96"/>
    <w:rsid w:val="40A94C15"/>
    <w:rsid w:val="40D56B98"/>
    <w:rsid w:val="40D63EEB"/>
    <w:rsid w:val="40F5202A"/>
    <w:rsid w:val="40FF07E3"/>
    <w:rsid w:val="412F01D7"/>
    <w:rsid w:val="41692020"/>
    <w:rsid w:val="423A41C8"/>
    <w:rsid w:val="425E0143"/>
    <w:rsid w:val="426B4191"/>
    <w:rsid w:val="42B0131A"/>
    <w:rsid w:val="4307340F"/>
    <w:rsid w:val="4404591B"/>
    <w:rsid w:val="440531A1"/>
    <w:rsid w:val="44730139"/>
    <w:rsid w:val="447F2366"/>
    <w:rsid w:val="44AA24F0"/>
    <w:rsid w:val="44AE056E"/>
    <w:rsid w:val="44C411AF"/>
    <w:rsid w:val="450C6BE5"/>
    <w:rsid w:val="452C211A"/>
    <w:rsid w:val="453B29F4"/>
    <w:rsid w:val="455E0AE9"/>
    <w:rsid w:val="459E6592"/>
    <w:rsid w:val="45A4716A"/>
    <w:rsid w:val="45BC3A5B"/>
    <w:rsid w:val="45C012A5"/>
    <w:rsid w:val="46184820"/>
    <w:rsid w:val="46271E7F"/>
    <w:rsid w:val="46505131"/>
    <w:rsid w:val="46845A12"/>
    <w:rsid w:val="475278BE"/>
    <w:rsid w:val="47D033C2"/>
    <w:rsid w:val="483157D5"/>
    <w:rsid w:val="48396CD0"/>
    <w:rsid w:val="483E70C0"/>
    <w:rsid w:val="484D0DDC"/>
    <w:rsid w:val="4884487A"/>
    <w:rsid w:val="48AE4AA9"/>
    <w:rsid w:val="48EF3640"/>
    <w:rsid w:val="491D3EFC"/>
    <w:rsid w:val="49434F1D"/>
    <w:rsid w:val="49465201"/>
    <w:rsid w:val="494B5892"/>
    <w:rsid w:val="495042D1"/>
    <w:rsid w:val="496D6C28"/>
    <w:rsid w:val="498F1E90"/>
    <w:rsid w:val="49F61BB2"/>
    <w:rsid w:val="4A330315"/>
    <w:rsid w:val="4A606796"/>
    <w:rsid w:val="4AB97C54"/>
    <w:rsid w:val="4B4350E4"/>
    <w:rsid w:val="4B756271"/>
    <w:rsid w:val="4BCF3BD3"/>
    <w:rsid w:val="4BEA420C"/>
    <w:rsid w:val="4C46484D"/>
    <w:rsid w:val="4C5A5B9B"/>
    <w:rsid w:val="4C8E52E3"/>
    <w:rsid w:val="4DCE616E"/>
    <w:rsid w:val="4E3E0D93"/>
    <w:rsid w:val="4F301744"/>
    <w:rsid w:val="4F4743C0"/>
    <w:rsid w:val="4F636C98"/>
    <w:rsid w:val="507C1E50"/>
    <w:rsid w:val="50B05655"/>
    <w:rsid w:val="50B6319D"/>
    <w:rsid w:val="50E07076"/>
    <w:rsid w:val="50F1639A"/>
    <w:rsid w:val="51027491"/>
    <w:rsid w:val="51355361"/>
    <w:rsid w:val="5149440E"/>
    <w:rsid w:val="519F083D"/>
    <w:rsid w:val="51B66AAC"/>
    <w:rsid w:val="51D62503"/>
    <w:rsid w:val="523E229A"/>
    <w:rsid w:val="525E66F7"/>
    <w:rsid w:val="53420425"/>
    <w:rsid w:val="53603429"/>
    <w:rsid w:val="53D578AD"/>
    <w:rsid w:val="53E30591"/>
    <w:rsid w:val="54235EAF"/>
    <w:rsid w:val="54295E4B"/>
    <w:rsid w:val="549F2FB3"/>
    <w:rsid w:val="54E35FFA"/>
    <w:rsid w:val="55376345"/>
    <w:rsid w:val="55596029"/>
    <w:rsid w:val="557E59B0"/>
    <w:rsid w:val="56D213B4"/>
    <w:rsid w:val="5717582A"/>
    <w:rsid w:val="573008CA"/>
    <w:rsid w:val="57354273"/>
    <w:rsid w:val="576845EC"/>
    <w:rsid w:val="57AB1345"/>
    <w:rsid w:val="58391923"/>
    <w:rsid w:val="590F4F2D"/>
    <w:rsid w:val="5961326F"/>
    <w:rsid w:val="59F64A21"/>
    <w:rsid w:val="5A447059"/>
    <w:rsid w:val="5AA810A3"/>
    <w:rsid w:val="5B1F69DC"/>
    <w:rsid w:val="5B347150"/>
    <w:rsid w:val="5BD319A0"/>
    <w:rsid w:val="5C007E73"/>
    <w:rsid w:val="5C0E4F13"/>
    <w:rsid w:val="5C1578F4"/>
    <w:rsid w:val="5C182878"/>
    <w:rsid w:val="5C515F3F"/>
    <w:rsid w:val="5CB6495C"/>
    <w:rsid w:val="5CC00E8E"/>
    <w:rsid w:val="5DAE122F"/>
    <w:rsid w:val="5DD84350"/>
    <w:rsid w:val="5E11279F"/>
    <w:rsid w:val="5E5870F4"/>
    <w:rsid w:val="5EC07560"/>
    <w:rsid w:val="5F6969C7"/>
    <w:rsid w:val="60234096"/>
    <w:rsid w:val="60DB671F"/>
    <w:rsid w:val="60EE075F"/>
    <w:rsid w:val="61941B29"/>
    <w:rsid w:val="635929F8"/>
    <w:rsid w:val="638906B4"/>
    <w:rsid w:val="63F35B2D"/>
    <w:rsid w:val="641C1D40"/>
    <w:rsid w:val="64540CC2"/>
    <w:rsid w:val="6475487D"/>
    <w:rsid w:val="64A7697E"/>
    <w:rsid w:val="64D4770D"/>
    <w:rsid w:val="65305708"/>
    <w:rsid w:val="655254D5"/>
    <w:rsid w:val="65554CF2"/>
    <w:rsid w:val="658B7EEA"/>
    <w:rsid w:val="65B83D39"/>
    <w:rsid w:val="65EB193A"/>
    <w:rsid w:val="65ED2872"/>
    <w:rsid w:val="65F862EA"/>
    <w:rsid w:val="660B1854"/>
    <w:rsid w:val="66243097"/>
    <w:rsid w:val="66FB04D3"/>
    <w:rsid w:val="67A247B3"/>
    <w:rsid w:val="67BA0416"/>
    <w:rsid w:val="682309AE"/>
    <w:rsid w:val="685621A5"/>
    <w:rsid w:val="69B12712"/>
    <w:rsid w:val="6A3C6480"/>
    <w:rsid w:val="6AF0622B"/>
    <w:rsid w:val="6AFE4367"/>
    <w:rsid w:val="6B1341A6"/>
    <w:rsid w:val="6B2A452A"/>
    <w:rsid w:val="6B2D5DC9"/>
    <w:rsid w:val="6B3B76BC"/>
    <w:rsid w:val="6B8D0C4C"/>
    <w:rsid w:val="6C155956"/>
    <w:rsid w:val="6C7D78FE"/>
    <w:rsid w:val="6C85360A"/>
    <w:rsid w:val="6CC40FF9"/>
    <w:rsid w:val="6D3279E3"/>
    <w:rsid w:val="6D374CDD"/>
    <w:rsid w:val="6D830A83"/>
    <w:rsid w:val="6D970E1E"/>
    <w:rsid w:val="6DB62E30"/>
    <w:rsid w:val="6DDA2238"/>
    <w:rsid w:val="6E3A408D"/>
    <w:rsid w:val="6E585096"/>
    <w:rsid w:val="6F4E3F0C"/>
    <w:rsid w:val="6F943D50"/>
    <w:rsid w:val="6FD76303"/>
    <w:rsid w:val="70280263"/>
    <w:rsid w:val="71FD4E21"/>
    <w:rsid w:val="723C527A"/>
    <w:rsid w:val="728A0E22"/>
    <w:rsid w:val="732338D8"/>
    <w:rsid w:val="735455A9"/>
    <w:rsid w:val="73B12917"/>
    <w:rsid w:val="73D405E4"/>
    <w:rsid w:val="73DF07E4"/>
    <w:rsid w:val="742C4E6F"/>
    <w:rsid w:val="748251BC"/>
    <w:rsid w:val="74A656D3"/>
    <w:rsid w:val="74B8124E"/>
    <w:rsid w:val="74CB1612"/>
    <w:rsid w:val="74FC6F38"/>
    <w:rsid w:val="75E2046D"/>
    <w:rsid w:val="763C3364"/>
    <w:rsid w:val="76BA5FE6"/>
    <w:rsid w:val="76E21123"/>
    <w:rsid w:val="76FE4AE9"/>
    <w:rsid w:val="7754322C"/>
    <w:rsid w:val="775E3CDB"/>
    <w:rsid w:val="776143DD"/>
    <w:rsid w:val="776935DE"/>
    <w:rsid w:val="778557EB"/>
    <w:rsid w:val="781C344D"/>
    <w:rsid w:val="782C2C69"/>
    <w:rsid w:val="78D8492E"/>
    <w:rsid w:val="790278A8"/>
    <w:rsid w:val="7A8A21B9"/>
    <w:rsid w:val="7A8A6AEB"/>
    <w:rsid w:val="7ABE6B9A"/>
    <w:rsid w:val="7B523EA0"/>
    <w:rsid w:val="7B6A4BAE"/>
    <w:rsid w:val="7B6B25EB"/>
    <w:rsid w:val="7B870DE4"/>
    <w:rsid w:val="7C752273"/>
    <w:rsid w:val="7C834CF4"/>
    <w:rsid w:val="7C932426"/>
    <w:rsid w:val="7C9B5A14"/>
    <w:rsid w:val="7CA45151"/>
    <w:rsid w:val="7E472EE4"/>
    <w:rsid w:val="7E830A15"/>
    <w:rsid w:val="7EB06A2A"/>
    <w:rsid w:val="7EC6732B"/>
    <w:rsid w:val="7EF52C6D"/>
    <w:rsid w:val="7EFB3DBC"/>
    <w:rsid w:val="7F7160E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1"/>
    <w:link w:val="41"/>
    <w:qFormat/>
    <w:uiPriority w:val="9"/>
    <w:pPr>
      <w:keepNext/>
      <w:keepLines/>
      <w:numPr>
        <w:ilvl w:val="0"/>
        <w:numId w:val="1"/>
      </w:numPr>
      <w:spacing w:before="100" w:after="100"/>
      <w:ind w:left="432" w:hanging="432" w:firstLineChars="0"/>
      <w:outlineLvl w:val="0"/>
    </w:pPr>
    <w:rPr>
      <w:rFonts w:eastAsia="黑体"/>
      <w:bCs/>
      <w:kern w:val="44"/>
      <w:sz w:val="32"/>
      <w:szCs w:val="44"/>
    </w:rPr>
  </w:style>
  <w:style w:type="paragraph" w:styleId="3">
    <w:name w:val="heading 2"/>
    <w:basedOn w:val="1"/>
    <w:next w:val="1"/>
    <w:link w:val="43"/>
    <w:unhideWhenUsed/>
    <w:qFormat/>
    <w:uiPriority w:val="9"/>
    <w:pPr>
      <w:keepNext/>
      <w:keepLines/>
      <w:numPr>
        <w:ilvl w:val="1"/>
        <w:numId w:val="1"/>
      </w:numPr>
      <w:spacing w:before="60" w:after="60"/>
      <w:ind w:left="575" w:hanging="575" w:firstLineChars="0"/>
      <w:jc w:val="left"/>
      <w:outlineLvl w:val="1"/>
    </w:pPr>
    <w:rPr>
      <w:rFonts w:eastAsia="宋体" w:asciiTheme="majorHAnsi" w:hAnsiTheme="majorHAnsi" w:cstheme="majorBidi"/>
      <w:b/>
      <w:bCs/>
      <w:sz w:val="30"/>
      <w:szCs w:val="32"/>
    </w:rPr>
  </w:style>
  <w:style w:type="paragraph" w:styleId="4">
    <w:name w:val="heading 3"/>
    <w:basedOn w:val="1"/>
    <w:next w:val="1"/>
    <w:link w:val="44"/>
    <w:unhideWhenUsed/>
    <w:qFormat/>
    <w:uiPriority w:val="9"/>
    <w:pPr>
      <w:keepNext/>
      <w:keepLines/>
      <w:numPr>
        <w:ilvl w:val="2"/>
        <w:numId w:val="1"/>
      </w:numPr>
      <w:spacing w:before="20" w:after="20"/>
      <w:ind w:left="720" w:hanging="720" w:firstLineChars="0"/>
      <w:outlineLvl w:val="2"/>
    </w:pPr>
    <w:rPr>
      <w:rFonts w:eastAsia="宋体"/>
      <w:b/>
      <w:bCs/>
      <w:sz w:val="28"/>
      <w:szCs w:val="32"/>
    </w:rPr>
  </w:style>
  <w:style w:type="paragraph" w:styleId="5">
    <w:name w:val="heading 4"/>
    <w:basedOn w:val="1"/>
    <w:next w:val="1"/>
    <w:link w:val="45"/>
    <w:unhideWhenUsed/>
    <w:qFormat/>
    <w:uiPriority w:val="9"/>
    <w:pPr>
      <w:keepNext/>
      <w:keepLines/>
      <w:numPr>
        <w:ilvl w:val="3"/>
        <w:numId w:val="1"/>
      </w:numPr>
      <w:spacing w:before="20" w:after="20"/>
      <w:ind w:left="864" w:hanging="864" w:firstLineChars="0"/>
      <w:outlineLvl w:val="3"/>
    </w:pPr>
    <w:rPr>
      <w:rFonts w:asciiTheme="majorHAnsi" w:hAnsiTheme="majorHAnsi" w:cstheme="majorBidi"/>
      <w:b/>
      <w:bCs/>
      <w:szCs w:val="28"/>
    </w:rPr>
  </w:style>
  <w:style w:type="paragraph" w:styleId="6">
    <w:name w:val="heading 5"/>
    <w:basedOn w:val="1"/>
    <w:next w:val="1"/>
    <w:unhideWhenUsed/>
    <w:qFormat/>
    <w:uiPriority w:val="9"/>
    <w:pPr>
      <w:keepNext/>
      <w:keepLines/>
      <w:numPr>
        <w:ilvl w:val="4"/>
        <w:numId w:val="1"/>
      </w:numPr>
      <w:adjustRightInd w:val="0"/>
      <w:spacing w:beforeLines="0" w:beforeAutospacing="0" w:afterLines="0" w:afterAutospacing="0" w:line="360" w:lineRule="auto"/>
      <w:ind w:left="0" w:firstLine="0" w:firstLineChars="0"/>
      <w:outlineLvl w:val="4"/>
    </w:pPr>
    <w:rPr>
      <w:rFonts w:ascii="Times New Roman" w:hAnsi="Times New Roman"/>
      <w:b/>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65"/>
    <w:unhideWhenUsed/>
    <w:qFormat/>
    <w:uiPriority w:val="0"/>
    <w:pPr>
      <w:widowControl w:val="0"/>
      <w:ind w:firstLine="420" w:firstLineChars="0"/>
    </w:pPr>
    <w:rPr>
      <w:rFonts w:ascii="宋体" w:hAnsi="宋体" w:eastAsia="宋体"/>
      <w:szCs w:val="28"/>
    </w:rPr>
  </w:style>
  <w:style w:type="paragraph" w:styleId="12">
    <w:name w:val="caption"/>
    <w:basedOn w:val="1"/>
    <w:next w:val="1"/>
    <w:link w:val="69"/>
    <w:unhideWhenUsed/>
    <w:qFormat/>
    <w:uiPriority w:val="0"/>
    <w:pPr>
      <w:spacing w:line="240" w:lineRule="auto"/>
      <w:jc w:val="center"/>
    </w:pPr>
    <w:rPr>
      <w:rFonts w:ascii="仿宋_GB2312" w:hAnsi="仿宋_GB2312" w:cstheme="majorBidi"/>
      <w:b/>
      <w:szCs w:val="20"/>
    </w:rPr>
  </w:style>
  <w:style w:type="paragraph" w:styleId="13">
    <w:name w:val="Document Map"/>
    <w:basedOn w:val="1"/>
    <w:link w:val="75"/>
    <w:semiHidden/>
    <w:unhideWhenUsed/>
    <w:qFormat/>
    <w:uiPriority w:val="99"/>
    <w:rPr>
      <w:rFonts w:ascii="宋体" w:eastAsia="宋体"/>
      <w:sz w:val="18"/>
      <w:szCs w:val="18"/>
    </w:rPr>
  </w:style>
  <w:style w:type="paragraph" w:styleId="14">
    <w:name w:val="annotation text"/>
    <w:basedOn w:val="1"/>
    <w:link w:val="91"/>
    <w:semiHidden/>
    <w:unhideWhenUsed/>
    <w:qFormat/>
    <w:uiPriority w:val="99"/>
    <w:pPr>
      <w:jc w:val="left"/>
    </w:pPr>
  </w:style>
  <w:style w:type="paragraph" w:styleId="15">
    <w:name w:val="Body Text"/>
    <w:basedOn w:val="1"/>
    <w:qFormat/>
    <w:uiPriority w:val="99"/>
    <w:pPr>
      <w:spacing w:after="120"/>
    </w:pPr>
  </w:style>
  <w:style w:type="paragraph" w:styleId="16">
    <w:name w:val="Body Text Indent"/>
    <w:basedOn w:val="1"/>
    <w:qFormat/>
    <w:uiPriority w:val="0"/>
    <w:pPr>
      <w:spacing w:after="120" w:afterLines="0" w:afterAutospacing="0"/>
      <w:ind w:left="420" w:leftChars="200"/>
    </w:pPr>
  </w:style>
  <w:style w:type="paragraph" w:styleId="17">
    <w:name w:val="Date"/>
    <w:basedOn w:val="1"/>
    <w:next w:val="1"/>
    <w:link w:val="35"/>
    <w:qFormat/>
    <w:uiPriority w:val="0"/>
    <w:pPr>
      <w:spacing w:line="640" w:lineRule="exact"/>
      <w:ind w:firstLine="700"/>
    </w:pPr>
    <w:rPr>
      <w:rFonts w:ascii="宋体" w:hAnsiTheme="minorHAnsi" w:eastAsiaTheme="minorEastAsia" w:cstheme="minorBidi"/>
      <w:spacing w:val="20"/>
      <w:sz w:val="30"/>
      <w:szCs w:val="22"/>
    </w:rPr>
  </w:style>
  <w:style w:type="paragraph" w:styleId="18">
    <w:name w:val="Body Text Indent 2"/>
    <w:basedOn w:val="1"/>
    <w:qFormat/>
    <w:uiPriority w:val="99"/>
    <w:pPr>
      <w:ind w:firstLine="480"/>
    </w:pPr>
    <w:rPr>
      <w:lang w:val="zh-CN"/>
    </w:rPr>
  </w:style>
  <w:style w:type="paragraph" w:styleId="19">
    <w:name w:val="Balloon Text"/>
    <w:basedOn w:val="1"/>
    <w:link w:val="71"/>
    <w:semiHidden/>
    <w:unhideWhenUsed/>
    <w:qFormat/>
    <w:uiPriority w:val="99"/>
    <w:pPr>
      <w:spacing w:line="240" w:lineRule="auto"/>
    </w:pPr>
    <w:rPr>
      <w:sz w:val="18"/>
      <w:szCs w:val="18"/>
    </w:rPr>
  </w:style>
  <w:style w:type="paragraph" w:styleId="20">
    <w:name w:val="footer"/>
    <w:basedOn w:val="1"/>
    <w:link w:val="34"/>
    <w:unhideWhenUsed/>
    <w:qFormat/>
    <w:uiPriority w:val="99"/>
    <w:pPr>
      <w:widowControl w:val="0"/>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21">
    <w:name w:val="header"/>
    <w:basedOn w:val="1"/>
    <w:link w:val="33"/>
    <w:unhideWhenUsed/>
    <w:qFormat/>
    <w:uiPriority w:val="99"/>
    <w:pPr>
      <w:widowControl w:val="0"/>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22">
    <w:name w:val="toc 1"/>
    <w:basedOn w:val="1"/>
    <w:next w:val="1"/>
    <w:unhideWhenUsed/>
    <w:qFormat/>
    <w:uiPriority w:val="39"/>
    <w:pPr>
      <w:ind w:firstLine="0" w:firstLineChars="0"/>
    </w:pPr>
    <w:rPr>
      <w:b/>
      <w:sz w:val="28"/>
    </w:rPr>
  </w:style>
  <w:style w:type="paragraph" w:styleId="23">
    <w:name w:val="toc 2"/>
    <w:basedOn w:val="1"/>
    <w:next w:val="1"/>
    <w:unhideWhenUsed/>
    <w:qFormat/>
    <w:uiPriority w:val="39"/>
    <w:pPr>
      <w:adjustRightInd w:val="0"/>
      <w:snapToGrid w:val="0"/>
    </w:pPr>
  </w:style>
  <w:style w:type="paragraph" w:styleId="24">
    <w:name w:val="Body Text 2"/>
    <w:basedOn w:val="1"/>
    <w:link w:val="86"/>
    <w:semiHidden/>
    <w:unhideWhenUsed/>
    <w:qFormat/>
    <w:uiPriority w:val="99"/>
    <w:pPr>
      <w:spacing w:after="120" w:line="480" w:lineRule="auto"/>
    </w:pPr>
  </w:style>
  <w:style w:type="paragraph" w:styleId="25">
    <w:name w:val="Normal (Web)"/>
    <w:basedOn w:val="1"/>
    <w:qFormat/>
    <w:uiPriority w:val="99"/>
    <w:pPr>
      <w:spacing w:before="100" w:beforeAutospacing="1" w:after="100" w:afterAutospacing="1"/>
      <w:ind w:firstLine="0" w:firstLineChars="0"/>
      <w:jc w:val="left"/>
    </w:pPr>
    <w:rPr>
      <w:rFonts w:ascii="宋体" w:hAnsi="宋体" w:eastAsia="宋体" w:cs="宋体"/>
      <w:kern w:val="0"/>
    </w:rPr>
  </w:style>
  <w:style w:type="paragraph" w:styleId="26">
    <w:name w:val="Body Text First Indent 2"/>
    <w:basedOn w:val="16"/>
    <w:qFormat/>
    <w:uiPriority w:val="0"/>
    <w:pPr>
      <w:ind w:firstLine="420" w:firstLineChars="2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Emphasis"/>
    <w:basedOn w:val="29"/>
    <w:qFormat/>
    <w:uiPriority w:val="20"/>
    <w:rPr>
      <w:i/>
    </w:rPr>
  </w:style>
  <w:style w:type="character" w:styleId="31">
    <w:name w:val="Hyperlink"/>
    <w:basedOn w:val="29"/>
    <w:unhideWhenUsed/>
    <w:qFormat/>
    <w:uiPriority w:val="99"/>
    <w:rPr>
      <w:color w:val="0563C1" w:themeColor="hyperlink"/>
      <w:u w:val="single"/>
    </w:rPr>
  </w:style>
  <w:style w:type="character" w:styleId="32">
    <w:name w:val="annotation reference"/>
    <w:basedOn w:val="29"/>
    <w:semiHidden/>
    <w:unhideWhenUsed/>
    <w:qFormat/>
    <w:uiPriority w:val="99"/>
    <w:rPr>
      <w:sz w:val="21"/>
      <w:szCs w:val="21"/>
    </w:rPr>
  </w:style>
  <w:style w:type="character" w:customStyle="1" w:styleId="33">
    <w:name w:val="页眉 字符"/>
    <w:basedOn w:val="29"/>
    <w:link w:val="21"/>
    <w:qFormat/>
    <w:uiPriority w:val="99"/>
    <w:rPr>
      <w:sz w:val="18"/>
      <w:szCs w:val="18"/>
    </w:rPr>
  </w:style>
  <w:style w:type="character" w:customStyle="1" w:styleId="34">
    <w:name w:val="页脚 字符"/>
    <w:basedOn w:val="29"/>
    <w:link w:val="20"/>
    <w:qFormat/>
    <w:uiPriority w:val="99"/>
    <w:rPr>
      <w:sz w:val="18"/>
      <w:szCs w:val="18"/>
    </w:rPr>
  </w:style>
  <w:style w:type="character" w:customStyle="1" w:styleId="35">
    <w:name w:val="日期 字符"/>
    <w:link w:val="17"/>
    <w:qFormat/>
    <w:uiPriority w:val="0"/>
    <w:rPr>
      <w:rFonts w:ascii="宋体"/>
      <w:spacing w:val="20"/>
      <w:sz w:val="30"/>
    </w:rPr>
  </w:style>
  <w:style w:type="character" w:customStyle="1" w:styleId="36">
    <w:name w:val="日期 字符1"/>
    <w:basedOn w:val="29"/>
    <w:semiHidden/>
    <w:qFormat/>
    <w:uiPriority w:val="99"/>
    <w:rPr>
      <w:rFonts w:ascii="Times New Roman" w:hAnsi="Times New Roman" w:eastAsia="宋体" w:cs="Times New Roman"/>
      <w:sz w:val="24"/>
      <w:szCs w:val="24"/>
    </w:rPr>
  </w:style>
  <w:style w:type="character" w:customStyle="1" w:styleId="37">
    <w:name w:val="表格 Char"/>
    <w:link w:val="38"/>
    <w:qFormat/>
    <w:uiPriority w:val="0"/>
    <w:rPr>
      <w:rFonts w:ascii="宋体" w:hAnsi="宋体"/>
      <w:sz w:val="24"/>
    </w:rPr>
  </w:style>
  <w:style w:type="paragraph" w:customStyle="1" w:styleId="38">
    <w:name w:val="表格"/>
    <w:basedOn w:val="1"/>
    <w:link w:val="37"/>
    <w:qFormat/>
    <w:uiPriority w:val="0"/>
    <w:pPr>
      <w:spacing w:before="60" w:afterLines="25"/>
      <w:jc w:val="center"/>
    </w:pPr>
    <w:rPr>
      <w:rFonts w:ascii="宋体" w:hAnsi="宋体" w:eastAsiaTheme="minorEastAsia" w:cstheme="minorBidi"/>
      <w:szCs w:val="22"/>
    </w:rPr>
  </w:style>
  <w:style w:type="paragraph" w:customStyle="1" w:styleId="39">
    <w:name w:val="样式3"/>
    <w:basedOn w:val="1"/>
    <w:qFormat/>
    <w:uiPriority w:val="0"/>
    <w:pPr>
      <w:spacing w:line="640" w:lineRule="exact"/>
    </w:pPr>
    <w:rPr>
      <w:rFonts w:ascii="宋体"/>
      <w:spacing w:val="20"/>
      <w:sz w:val="30"/>
      <w:szCs w:val="20"/>
    </w:rPr>
  </w:style>
  <w:style w:type="paragraph" w:customStyle="1" w:styleId="40">
    <w:name w:val="表格1"/>
    <w:basedOn w:val="1"/>
    <w:qFormat/>
    <w:uiPriority w:val="0"/>
    <w:pPr>
      <w:tabs>
        <w:tab w:val="left" w:pos="1440"/>
        <w:tab w:val="left" w:pos="1680"/>
      </w:tabs>
      <w:jc w:val="center"/>
    </w:pPr>
    <w:rPr>
      <w:rFonts w:ascii="宋体"/>
      <w:spacing w:val="20"/>
      <w:w w:val="95"/>
      <w:kern w:val="0"/>
      <w:szCs w:val="20"/>
    </w:rPr>
  </w:style>
  <w:style w:type="character" w:customStyle="1" w:styleId="41">
    <w:name w:val="标题 1 字符"/>
    <w:basedOn w:val="29"/>
    <w:link w:val="2"/>
    <w:qFormat/>
    <w:uiPriority w:val="9"/>
    <w:rPr>
      <w:rFonts w:ascii="Times New Roman" w:hAnsi="Times New Roman" w:eastAsia="黑体" w:cs="Times New Roman"/>
      <w:bCs/>
      <w:kern w:val="44"/>
      <w:sz w:val="32"/>
      <w:szCs w:val="44"/>
    </w:rPr>
  </w:style>
  <w:style w:type="paragraph" w:styleId="42">
    <w:name w:val="No Spacing"/>
    <w:basedOn w:val="1"/>
    <w:link w:val="79"/>
    <w:qFormat/>
    <w:uiPriority w:val="0"/>
    <w:pPr>
      <w:ind w:firstLine="480"/>
    </w:pPr>
  </w:style>
  <w:style w:type="character" w:customStyle="1" w:styleId="43">
    <w:name w:val="标题 2 字符"/>
    <w:basedOn w:val="29"/>
    <w:link w:val="3"/>
    <w:qFormat/>
    <w:uiPriority w:val="9"/>
    <w:rPr>
      <w:rFonts w:asciiTheme="majorHAnsi" w:hAnsiTheme="majorHAnsi" w:cstheme="majorBidi"/>
      <w:b/>
      <w:bCs/>
      <w:kern w:val="2"/>
      <w:sz w:val="30"/>
      <w:szCs w:val="32"/>
    </w:rPr>
  </w:style>
  <w:style w:type="character" w:customStyle="1" w:styleId="44">
    <w:name w:val="标题 3 字符"/>
    <w:basedOn w:val="29"/>
    <w:link w:val="4"/>
    <w:qFormat/>
    <w:uiPriority w:val="9"/>
    <w:rPr>
      <w:rFonts w:ascii="Times New Roman" w:hAnsi="Times New Roman" w:eastAsia="宋体" w:cs="Times New Roman"/>
      <w:b/>
      <w:bCs/>
      <w:sz w:val="28"/>
      <w:szCs w:val="32"/>
    </w:rPr>
  </w:style>
  <w:style w:type="character" w:customStyle="1" w:styleId="45">
    <w:name w:val="标题 4 字符"/>
    <w:basedOn w:val="29"/>
    <w:link w:val="5"/>
    <w:qFormat/>
    <w:uiPriority w:val="9"/>
    <w:rPr>
      <w:rFonts w:eastAsia="仿宋_GB2312" w:asciiTheme="majorHAnsi" w:hAnsiTheme="majorHAnsi" w:cstheme="majorBidi"/>
      <w:b/>
      <w:bCs/>
      <w:kern w:val="2"/>
      <w:sz w:val="24"/>
      <w:szCs w:val="28"/>
    </w:rPr>
  </w:style>
  <w:style w:type="paragraph" w:customStyle="1" w:styleId="46">
    <w:name w:val="方案正文"/>
    <w:basedOn w:val="1"/>
    <w:link w:val="47"/>
    <w:qFormat/>
    <w:uiPriority w:val="0"/>
    <w:pPr>
      <w:ind w:firstLine="480"/>
    </w:pPr>
  </w:style>
  <w:style w:type="character" w:customStyle="1" w:styleId="47">
    <w:name w:val="方案正文 Char"/>
    <w:basedOn w:val="29"/>
    <w:link w:val="46"/>
    <w:qFormat/>
    <w:uiPriority w:val="0"/>
    <w:rPr>
      <w:rFonts w:ascii="Times New Roman" w:hAnsi="Times New Roman" w:eastAsia="仿宋_GB2312" w:cs="Times New Roman"/>
      <w:sz w:val="24"/>
      <w:szCs w:val="24"/>
    </w:rPr>
  </w:style>
  <w:style w:type="paragraph" w:customStyle="1" w:styleId="48">
    <w:name w:val="表格文字"/>
    <w:basedOn w:val="1"/>
    <w:link w:val="49"/>
    <w:qFormat/>
    <w:uiPriority w:val="0"/>
    <w:pPr>
      <w:widowControl w:val="0"/>
      <w:adjustRightInd w:val="0"/>
      <w:snapToGrid w:val="0"/>
      <w:spacing w:line="0" w:lineRule="atLeast"/>
      <w:ind w:firstLine="0" w:firstLineChars="0"/>
      <w:jc w:val="center"/>
    </w:pPr>
    <w:rPr>
      <w:color w:val="0000FF"/>
      <w:kern w:val="0"/>
      <w:sz w:val="21"/>
      <w:szCs w:val="21"/>
    </w:rPr>
  </w:style>
  <w:style w:type="character" w:customStyle="1" w:styleId="49">
    <w:name w:val="表格文字 Char"/>
    <w:basedOn w:val="29"/>
    <w:link w:val="48"/>
    <w:qFormat/>
    <w:uiPriority w:val="0"/>
    <w:rPr>
      <w:rFonts w:ascii="Times New Roman" w:hAnsi="Times New Roman" w:eastAsia="仿宋_GB2312" w:cs="Times New Roman"/>
      <w:color w:val="0000FF"/>
      <w:kern w:val="0"/>
      <w:szCs w:val="21"/>
    </w:rPr>
  </w:style>
  <w:style w:type="table" w:customStyle="1" w:styleId="50">
    <w:name w:val="yk520"/>
    <w:basedOn w:val="27"/>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57" w:type="dxa"/>
        <w:right w:w="57" w:type="dxa"/>
      </w:tblCellMar>
    </w:tblPr>
    <w:trPr>
      <w:jc w:val="center"/>
    </w:trPr>
    <w:tcPr>
      <w:vAlign w:val="center"/>
    </w:tcPr>
  </w:style>
  <w:style w:type="character" w:customStyle="1" w:styleId="51">
    <w:name w:val="特性表文字 Char"/>
    <w:link w:val="52"/>
    <w:qFormat/>
    <w:uiPriority w:val="0"/>
    <w:rPr>
      <w:sz w:val="18"/>
      <w:szCs w:val="18"/>
    </w:rPr>
  </w:style>
  <w:style w:type="paragraph" w:customStyle="1" w:styleId="52">
    <w:name w:val="特性表文字"/>
    <w:basedOn w:val="1"/>
    <w:link w:val="51"/>
    <w:qFormat/>
    <w:uiPriority w:val="0"/>
    <w:pPr>
      <w:spacing w:line="0" w:lineRule="atLeast"/>
      <w:ind w:firstLine="0" w:firstLineChars="0"/>
      <w:jc w:val="center"/>
    </w:pPr>
    <w:rPr>
      <w:rFonts w:asciiTheme="minorHAnsi" w:hAnsiTheme="minorHAnsi" w:eastAsiaTheme="minorEastAsia" w:cstheme="minorBidi"/>
      <w:sz w:val="18"/>
      <w:szCs w:val="18"/>
    </w:rPr>
  </w:style>
  <w:style w:type="character" w:customStyle="1" w:styleId="53">
    <w:name w:val="图片格式 Char"/>
    <w:link w:val="54"/>
    <w:qFormat/>
    <w:uiPriority w:val="0"/>
    <w:rPr>
      <w:kern w:val="144"/>
      <w:sz w:val="24"/>
    </w:rPr>
  </w:style>
  <w:style w:type="paragraph" w:customStyle="1" w:styleId="54">
    <w:name w:val="图片格式"/>
    <w:basedOn w:val="1"/>
    <w:link w:val="53"/>
    <w:qFormat/>
    <w:uiPriority w:val="0"/>
    <w:pPr>
      <w:widowControl w:val="0"/>
      <w:adjustRightInd w:val="0"/>
      <w:spacing w:line="240" w:lineRule="auto"/>
      <w:ind w:firstLine="0" w:firstLineChars="0"/>
      <w:jc w:val="center"/>
    </w:pPr>
    <w:rPr>
      <w:rFonts w:asciiTheme="minorHAnsi" w:hAnsiTheme="minorHAnsi" w:eastAsiaTheme="minorEastAsia" w:cstheme="minorBidi"/>
      <w:kern w:val="144"/>
      <w:szCs w:val="22"/>
    </w:rPr>
  </w:style>
  <w:style w:type="paragraph" w:customStyle="1" w:styleId="55">
    <w:name w:val="表头1"/>
    <w:basedOn w:val="1"/>
    <w:qFormat/>
    <w:uiPriority w:val="0"/>
    <w:pPr>
      <w:widowControl w:val="0"/>
      <w:spacing w:beforeLines="50" w:afterLines="50" w:line="400" w:lineRule="exact"/>
      <w:ind w:firstLine="0" w:firstLineChars="0"/>
      <w:jc w:val="center"/>
    </w:pPr>
    <w:rPr>
      <w:rFonts w:eastAsia="黑体"/>
      <w:sz w:val="26"/>
    </w:rPr>
  </w:style>
  <w:style w:type="paragraph" w:styleId="56">
    <w:name w:val="List Paragraph"/>
    <w:basedOn w:val="1"/>
    <w:qFormat/>
    <w:uiPriority w:val="34"/>
    <w:pPr>
      <w:ind w:firstLine="420"/>
    </w:pPr>
  </w:style>
  <w:style w:type="character" w:customStyle="1" w:styleId="57">
    <w:name w:val="JJ正文 字符"/>
    <w:link w:val="58"/>
    <w:qFormat/>
    <w:uiPriority w:val="0"/>
    <w:rPr>
      <w:rFonts w:ascii="Times New Roman" w:hAnsi="Times New Roman" w:eastAsia="仿宋_GB2312"/>
      <w:sz w:val="24"/>
      <w:szCs w:val="24"/>
    </w:rPr>
  </w:style>
  <w:style w:type="paragraph" w:customStyle="1" w:styleId="58">
    <w:name w:val="JJ正文"/>
    <w:basedOn w:val="1"/>
    <w:link w:val="57"/>
    <w:qFormat/>
    <w:uiPriority w:val="0"/>
    <w:pPr>
      <w:widowControl w:val="0"/>
      <w:ind w:firstLine="480"/>
    </w:pPr>
    <w:rPr>
      <w:rFonts w:cstheme="minorBidi"/>
    </w:rPr>
  </w:style>
  <w:style w:type="character" w:customStyle="1" w:styleId="59">
    <w:name w:val="JJ表内 字符"/>
    <w:link w:val="60"/>
    <w:qFormat/>
    <w:uiPriority w:val="0"/>
    <w:rPr>
      <w:rFonts w:ascii="Times New Roman" w:hAnsi="Times New Roman" w:eastAsia="仿宋_GB2312"/>
    </w:rPr>
  </w:style>
  <w:style w:type="paragraph" w:customStyle="1" w:styleId="60">
    <w:name w:val="JJ表内"/>
    <w:basedOn w:val="1"/>
    <w:link w:val="59"/>
    <w:qFormat/>
    <w:uiPriority w:val="0"/>
    <w:pPr>
      <w:widowControl w:val="0"/>
      <w:spacing w:line="0" w:lineRule="atLeast"/>
      <w:ind w:firstLine="0" w:firstLineChars="0"/>
      <w:jc w:val="center"/>
    </w:pPr>
    <w:rPr>
      <w:rFonts w:cstheme="minorBidi"/>
      <w:sz w:val="21"/>
      <w:szCs w:val="22"/>
    </w:rPr>
  </w:style>
  <w:style w:type="paragraph" w:customStyle="1" w:styleId="61">
    <w:name w:val="正文（2分部）"/>
    <w:basedOn w:val="1"/>
    <w:qFormat/>
    <w:uiPriority w:val="0"/>
    <w:pPr>
      <w:ind w:firstLine="0" w:firstLineChars="0"/>
      <w:jc w:val="left"/>
    </w:pPr>
    <w:rPr>
      <w:rFonts w:ascii="Calibri" w:hAnsi="Calibri"/>
    </w:rPr>
  </w:style>
  <w:style w:type="paragraph" w:customStyle="1" w:styleId="62">
    <w:name w:val="wangxy"/>
    <w:basedOn w:val="1"/>
    <w:qFormat/>
    <w:uiPriority w:val="0"/>
    <w:pPr>
      <w:widowControl w:val="0"/>
      <w:spacing w:beforeLines="50" w:afterLines="50"/>
    </w:pPr>
    <w:rPr>
      <w:rFonts w:eastAsia="宋体"/>
      <w:spacing w:val="14"/>
    </w:rPr>
  </w:style>
  <w:style w:type="character" w:customStyle="1" w:styleId="63">
    <w:name w:val="样式 样式 小四 段前: 7.8 磅 段后: 7.8 磅 行距: 1.5 倍行距 + 首行缩进:  2 字符 Char"/>
    <w:link w:val="64"/>
    <w:qFormat/>
    <w:uiPriority w:val="0"/>
    <w:rPr>
      <w:rFonts w:ascii="Times New Roman" w:hAnsi="Times New Roman" w:eastAsia="宋体" w:cs="Times New Roman"/>
      <w:kern w:val="0"/>
      <w:sz w:val="24"/>
      <w:szCs w:val="24"/>
    </w:rPr>
  </w:style>
  <w:style w:type="paragraph" w:customStyle="1" w:styleId="64">
    <w:name w:val="样式 样式 小四 段前: 7.8 磅 段后: 7.8 磅 行距: 1.5 倍行距 + 首行缩进:  2 字符"/>
    <w:basedOn w:val="1"/>
    <w:link w:val="63"/>
    <w:qFormat/>
    <w:uiPriority w:val="0"/>
    <w:pPr>
      <w:ind w:firstLine="480"/>
    </w:pPr>
    <w:rPr>
      <w:rFonts w:eastAsia="宋体"/>
      <w:kern w:val="0"/>
    </w:rPr>
  </w:style>
  <w:style w:type="character" w:customStyle="1" w:styleId="65">
    <w:name w:val="正文缩进 字符"/>
    <w:link w:val="11"/>
    <w:qFormat/>
    <w:uiPriority w:val="0"/>
    <w:rPr>
      <w:rFonts w:ascii="宋体" w:hAnsi="宋体" w:eastAsia="宋体" w:cs="Times New Roman"/>
      <w:sz w:val="24"/>
      <w:szCs w:val="28"/>
    </w:rPr>
  </w:style>
  <w:style w:type="character" w:customStyle="1" w:styleId="66">
    <w:name w:val="样式 样式 样式 正文1 + 首行缩进:  2 字符 + (符号) 宋体 首行缩进:  2 字符 + 首行缩进:  2 字符 Char"/>
    <w:link w:val="67"/>
    <w:qFormat/>
    <w:uiPriority w:val="0"/>
    <w:rPr>
      <w:rFonts w:ascii="宋体" w:hAnsi="宋体"/>
      <w:sz w:val="24"/>
    </w:rPr>
  </w:style>
  <w:style w:type="paragraph" w:customStyle="1" w:styleId="67">
    <w:name w:val="样式 样式 样式 正文1 + 首行缩进:  2 字符 + (符号) 宋体 首行缩进:  2 字符 + 首行缩进:  2 字符"/>
    <w:basedOn w:val="1"/>
    <w:link w:val="66"/>
    <w:qFormat/>
    <w:uiPriority w:val="0"/>
    <w:pPr>
      <w:ind w:firstLine="480"/>
    </w:pPr>
    <w:rPr>
      <w:rFonts w:ascii="宋体" w:hAnsi="宋体" w:eastAsiaTheme="minorEastAsia" w:cstheme="minorBidi"/>
      <w:szCs w:val="22"/>
    </w:rPr>
  </w:style>
  <w:style w:type="paragraph" w:customStyle="1" w:styleId="68">
    <w:name w:val="表格（一）"/>
    <w:basedOn w:val="1"/>
    <w:semiHidden/>
    <w:qFormat/>
    <w:uiPriority w:val="0"/>
    <w:pPr>
      <w:wordWrap w:val="0"/>
      <w:overflowPunct w:val="0"/>
      <w:autoSpaceDE w:val="0"/>
      <w:autoSpaceDN w:val="0"/>
      <w:adjustRightInd w:val="0"/>
      <w:snapToGrid w:val="0"/>
      <w:spacing w:beforeLines="10" w:afterLines="10"/>
      <w:ind w:firstLine="0" w:firstLineChars="0"/>
      <w:jc w:val="center"/>
    </w:pPr>
    <w:rPr>
      <w:rFonts w:eastAsia="宋体"/>
      <w:snapToGrid w:val="0"/>
      <w:kern w:val="0"/>
    </w:rPr>
  </w:style>
  <w:style w:type="character" w:customStyle="1" w:styleId="69">
    <w:name w:val="题注 字符"/>
    <w:link w:val="12"/>
    <w:qFormat/>
    <w:uiPriority w:val="0"/>
    <w:rPr>
      <w:rFonts w:ascii="仿宋_GB2312" w:hAnsi="仿宋_GB2312" w:eastAsia="仿宋_GB2312" w:cstheme="majorBidi"/>
      <w:b/>
      <w:sz w:val="24"/>
      <w:szCs w:val="20"/>
    </w:rPr>
  </w:style>
  <w:style w:type="paragraph" w:customStyle="1" w:styleId="70">
    <w:name w:val="sb-正文"/>
    <w:basedOn w:val="1"/>
    <w:qFormat/>
    <w:uiPriority w:val="0"/>
    <w:pPr>
      <w:ind w:left="-25" w:leftChars="-25" w:right="-25" w:rightChars="-25"/>
    </w:pPr>
    <w:rPr>
      <w:spacing w:val="4"/>
    </w:rPr>
  </w:style>
  <w:style w:type="character" w:customStyle="1" w:styleId="71">
    <w:name w:val="批注框文本 字符"/>
    <w:basedOn w:val="29"/>
    <w:link w:val="19"/>
    <w:semiHidden/>
    <w:qFormat/>
    <w:uiPriority w:val="99"/>
    <w:rPr>
      <w:rFonts w:ascii="Times New Roman" w:hAnsi="Times New Roman" w:eastAsia="仿宋_GB2312" w:cs="Times New Roman"/>
      <w:sz w:val="18"/>
      <w:szCs w:val="18"/>
    </w:rPr>
  </w:style>
  <w:style w:type="character" w:customStyle="1" w:styleId="72">
    <w:name w:val="正文文本（使用1） Char"/>
    <w:link w:val="73"/>
    <w:qFormat/>
    <w:uiPriority w:val="0"/>
    <w:rPr>
      <w:rFonts w:ascii="宋体" w:eastAsia="宋体"/>
      <w:color w:val="0000FF"/>
      <w:sz w:val="24"/>
    </w:rPr>
  </w:style>
  <w:style w:type="paragraph" w:customStyle="1" w:styleId="73">
    <w:name w:val="正文文本（使用1）"/>
    <w:basedOn w:val="1"/>
    <w:link w:val="72"/>
    <w:qFormat/>
    <w:uiPriority w:val="0"/>
    <w:pPr>
      <w:adjustRightInd w:val="0"/>
      <w:snapToGrid w:val="0"/>
      <w:ind w:firstLine="480"/>
      <w:jc w:val="left"/>
    </w:pPr>
    <w:rPr>
      <w:rFonts w:ascii="宋体" w:eastAsia="宋体" w:hAnsiTheme="minorHAnsi" w:cstheme="minorBidi"/>
      <w:color w:val="0000FF"/>
      <w:szCs w:val="22"/>
    </w:rPr>
  </w:style>
  <w:style w:type="table" w:customStyle="1" w:styleId="74">
    <w:name w:val="yk5201"/>
    <w:basedOn w:val="27"/>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left w:w="57" w:type="dxa"/>
        <w:right w:w="57" w:type="dxa"/>
      </w:tblCellMar>
    </w:tblPr>
    <w:trPr>
      <w:jc w:val="center"/>
    </w:trPr>
    <w:tcPr>
      <w:vAlign w:val="center"/>
    </w:tcPr>
  </w:style>
  <w:style w:type="character" w:customStyle="1" w:styleId="75">
    <w:name w:val="文档结构图 字符"/>
    <w:basedOn w:val="29"/>
    <w:link w:val="13"/>
    <w:semiHidden/>
    <w:qFormat/>
    <w:uiPriority w:val="99"/>
    <w:rPr>
      <w:rFonts w:ascii="宋体" w:hAnsi="Times New Roman" w:eastAsia="宋体" w:cs="Times New Roman"/>
      <w:sz w:val="18"/>
      <w:szCs w:val="18"/>
    </w:rPr>
  </w:style>
  <w:style w:type="paragraph" w:customStyle="1" w:styleId="76">
    <w:name w:val="6正文"/>
    <w:basedOn w:val="5"/>
    <w:link w:val="78"/>
    <w:qFormat/>
    <w:uiPriority w:val="0"/>
    <w:rPr>
      <w:rFonts w:ascii="Times New Roman" w:hAnsi="Times New Roman" w:cs="Times New Roman"/>
    </w:rPr>
  </w:style>
  <w:style w:type="character" w:styleId="77">
    <w:name w:val="Placeholder Text"/>
    <w:basedOn w:val="29"/>
    <w:semiHidden/>
    <w:qFormat/>
    <w:uiPriority w:val="99"/>
    <w:rPr>
      <w:color w:val="808080"/>
    </w:rPr>
  </w:style>
  <w:style w:type="character" w:customStyle="1" w:styleId="78">
    <w:name w:val="6正文 Char"/>
    <w:link w:val="76"/>
    <w:qFormat/>
    <w:uiPriority w:val="0"/>
    <w:rPr>
      <w:rFonts w:ascii="Times New Roman" w:hAnsi="Times New Roman" w:eastAsia="仿宋_GB2312" w:cs="Times New Roman"/>
      <w:b/>
      <w:bCs/>
      <w:sz w:val="24"/>
      <w:szCs w:val="28"/>
    </w:rPr>
  </w:style>
  <w:style w:type="character" w:customStyle="1" w:styleId="79">
    <w:name w:val="无间隔 字符"/>
    <w:link w:val="42"/>
    <w:qFormat/>
    <w:uiPriority w:val="0"/>
    <w:rPr>
      <w:rFonts w:ascii="Times New Roman" w:hAnsi="Times New Roman" w:eastAsia="仿宋_GB2312" w:cs="Times New Roman"/>
      <w:sz w:val="24"/>
      <w:szCs w:val="24"/>
    </w:rPr>
  </w:style>
  <w:style w:type="paragraph" w:customStyle="1" w:styleId="80">
    <w:name w:val="文字 getiao"/>
    <w:basedOn w:val="1"/>
    <w:link w:val="81"/>
    <w:qFormat/>
    <w:uiPriority w:val="99"/>
    <w:pPr>
      <w:widowControl w:val="0"/>
      <w:ind w:firstLine="480"/>
    </w:pPr>
    <w:rPr>
      <w:rFonts w:eastAsia="宋体"/>
      <w:lang w:val="zh-CN"/>
    </w:rPr>
  </w:style>
  <w:style w:type="character" w:customStyle="1" w:styleId="81">
    <w:name w:val="文字 getiao Char"/>
    <w:link w:val="80"/>
    <w:qFormat/>
    <w:locked/>
    <w:uiPriority w:val="99"/>
    <w:rPr>
      <w:rFonts w:ascii="Times New Roman" w:hAnsi="Times New Roman" w:eastAsia="宋体" w:cs="Times New Roman"/>
      <w:sz w:val="24"/>
      <w:szCs w:val="24"/>
      <w:lang w:val="zh-CN" w:eastAsia="zh-CN"/>
    </w:rPr>
  </w:style>
  <w:style w:type="character" w:customStyle="1" w:styleId="82">
    <w:name w:val="表格标题（使用1） Char"/>
    <w:link w:val="83"/>
    <w:qFormat/>
    <w:uiPriority w:val="0"/>
    <w:rPr>
      <w:rFonts w:ascii="Times New Roman" w:hAnsi="Times New Roman" w:eastAsia="黑体"/>
      <w:bCs/>
      <w:snapToGrid w:val="0"/>
      <w:sz w:val="24"/>
    </w:rPr>
  </w:style>
  <w:style w:type="paragraph" w:customStyle="1" w:styleId="83">
    <w:name w:val="表格标题（使用1）"/>
    <w:basedOn w:val="1"/>
    <w:link w:val="82"/>
    <w:qFormat/>
    <w:uiPriority w:val="0"/>
    <w:pPr>
      <w:adjustRightInd w:val="0"/>
      <w:snapToGrid w:val="0"/>
      <w:spacing w:line="240" w:lineRule="auto"/>
      <w:ind w:firstLine="0" w:firstLineChars="0"/>
      <w:jc w:val="center"/>
      <w:textAlignment w:val="baseline"/>
    </w:pPr>
    <w:rPr>
      <w:rFonts w:eastAsia="黑体" w:cstheme="minorBidi"/>
      <w:bCs/>
      <w:snapToGrid w:val="0"/>
      <w:szCs w:val="22"/>
    </w:rPr>
  </w:style>
  <w:style w:type="paragraph" w:customStyle="1" w:styleId="84">
    <w:name w:val="getiao 正文文本"/>
    <w:basedOn w:val="24"/>
    <w:link w:val="85"/>
    <w:qFormat/>
    <w:uiPriority w:val="0"/>
    <w:pPr>
      <w:widowControl w:val="0"/>
      <w:snapToGrid w:val="0"/>
      <w:spacing w:after="0" w:line="360" w:lineRule="auto"/>
      <w:ind w:firstLine="480"/>
    </w:pPr>
    <w:rPr>
      <w:rFonts w:eastAsia="宋体"/>
      <w:szCs w:val="21"/>
    </w:rPr>
  </w:style>
  <w:style w:type="character" w:customStyle="1" w:styleId="85">
    <w:name w:val="getiao 正文文本 Char"/>
    <w:link w:val="84"/>
    <w:qFormat/>
    <w:uiPriority w:val="0"/>
    <w:rPr>
      <w:rFonts w:ascii="Times New Roman" w:hAnsi="Times New Roman" w:eastAsia="宋体" w:cs="Times New Roman"/>
      <w:sz w:val="24"/>
      <w:szCs w:val="21"/>
    </w:rPr>
  </w:style>
  <w:style w:type="character" w:customStyle="1" w:styleId="86">
    <w:name w:val="正文文本 2 字符"/>
    <w:basedOn w:val="29"/>
    <w:link w:val="24"/>
    <w:semiHidden/>
    <w:qFormat/>
    <w:uiPriority w:val="99"/>
    <w:rPr>
      <w:rFonts w:ascii="Times New Roman" w:hAnsi="Times New Roman" w:eastAsia="仿宋_GB2312" w:cs="Times New Roman"/>
      <w:sz w:val="24"/>
      <w:szCs w:val="24"/>
    </w:rPr>
  </w:style>
  <w:style w:type="paragraph" w:customStyle="1" w:styleId="87">
    <w:name w:val="表标题"/>
    <w:basedOn w:val="1"/>
    <w:next w:val="1"/>
    <w:link w:val="88"/>
    <w:qFormat/>
    <w:uiPriority w:val="0"/>
    <w:pPr>
      <w:spacing w:line="240" w:lineRule="auto"/>
      <w:ind w:firstLine="0" w:firstLineChars="0"/>
      <w:jc w:val="center"/>
      <w:textAlignment w:val="baseline"/>
    </w:pPr>
    <w:rPr>
      <w:rFonts w:eastAsia="黑体" w:asciiTheme="minorHAnsi" w:hAnsiTheme="minorHAnsi" w:cstheme="minorBidi"/>
      <w:kern w:val="28"/>
      <w:lang w:val="zh-CN"/>
    </w:rPr>
  </w:style>
  <w:style w:type="character" w:customStyle="1" w:styleId="88">
    <w:name w:val="表标题 Char"/>
    <w:link w:val="87"/>
    <w:qFormat/>
    <w:uiPriority w:val="0"/>
    <w:rPr>
      <w:rFonts w:eastAsia="黑体"/>
      <w:kern w:val="28"/>
      <w:sz w:val="24"/>
      <w:szCs w:val="24"/>
      <w:lang w:val="zh-CN"/>
    </w:rPr>
  </w:style>
  <w:style w:type="table" w:customStyle="1" w:styleId="89">
    <w:name w:val="wj+表格"/>
    <w:basedOn w:val="27"/>
    <w:qFormat/>
    <w:uiPriority w:val="0"/>
    <w:pPr>
      <w:jc w:val="center"/>
    </w:pPr>
    <w:tblPr>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
    <w:trPr>
      <w:jc w:val="center"/>
    </w:trPr>
    <w:tcPr>
      <w:vAlign w:val="center"/>
    </w:tcPr>
    <w:tblStylePr w:type="firstRow">
      <w:pPr>
        <w:jc w:val="center"/>
      </w:pPr>
      <w:rPr>
        <w:rFonts w:eastAsia="Times New Roman"/>
        <w:sz w:val="21"/>
      </w:rPr>
      <w:tcPr>
        <w:tcBorders>
          <w:top w:val="single" w:color="auto" w:sz="12" w:space="0"/>
          <w:left w:val="single" w:color="auto" w:sz="12" w:space="0"/>
          <w:bottom w:val="single" w:color="auto" w:sz="12" w:space="0"/>
          <w:right w:val="single" w:color="auto" w:sz="12" w:space="0"/>
          <w:insideH w:val="single" w:sz="6" w:space="0"/>
          <w:insideV w:val="single" w:sz="6" w:space="0"/>
          <w:tl2br w:val="nil"/>
          <w:tr2bl w:val="nil"/>
        </w:tcBorders>
      </w:tcPr>
    </w:tblStylePr>
  </w:style>
  <w:style w:type="paragraph" w:customStyle="1" w:styleId="90">
    <w:name w:val="p0"/>
    <w:basedOn w:val="1"/>
    <w:qFormat/>
    <w:uiPriority w:val="0"/>
    <w:pPr>
      <w:spacing w:line="240" w:lineRule="auto"/>
      <w:ind w:firstLine="0" w:firstLineChars="0"/>
      <w:jc w:val="left"/>
    </w:pPr>
    <w:rPr>
      <w:rFonts w:ascii="Calibri" w:hAnsi="Calibri" w:eastAsia="宋体" w:cs="宋体"/>
      <w:kern w:val="0"/>
      <w:szCs w:val="21"/>
      <w:lang w:eastAsia="en-US" w:bidi="en-US"/>
    </w:rPr>
  </w:style>
  <w:style w:type="character" w:customStyle="1" w:styleId="91">
    <w:name w:val="批注文字 字符"/>
    <w:basedOn w:val="29"/>
    <w:link w:val="14"/>
    <w:semiHidden/>
    <w:qFormat/>
    <w:uiPriority w:val="99"/>
    <w:rPr>
      <w:rFonts w:ascii="Times New Roman" w:hAnsi="Times New Roman" w:eastAsia="仿宋_GB2312" w:cs="Times New Roman"/>
      <w:sz w:val="24"/>
      <w:szCs w:val="24"/>
    </w:rPr>
  </w:style>
  <w:style w:type="character" w:customStyle="1" w:styleId="92">
    <w:name w:val="0-方案正文样式 Char"/>
    <w:link w:val="93"/>
    <w:qFormat/>
    <w:uiPriority w:val="0"/>
    <w:rPr>
      <w:rFonts w:eastAsia="仿宋_GB2312" w:cstheme="minorBidi"/>
      <w:snapToGrid w:val="0"/>
      <w:color w:val="000000"/>
      <w:kern w:val="2"/>
      <w:sz w:val="24"/>
      <w:szCs w:val="24"/>
    </w:rPr>
  </w:style>
  <w:style w:type="paragraph" w:customStyle="1" w:styleId="93">
    <w:name w:val="0-方案正文样式"/>
    <w:basedOn w:val="1"/>
    <w:link w:val="92"/>
    <w:qFormat/>
    <w:uiPriority w:val="0"/>
    <w:pPr>
      <w:widowControl w:val="0"/>
      <w:adjustRightInd w:val="0"/>
      <w:snapToGrid w:val="0"/>
      <w:ind w:firstLine="454" w:firstLineChars="0"/>
      <w:textAlignment w:val="baseline"/>
    </w:pPr>
    <w:rPr>
      <w:rFonts w:cstheme="minorBidi"/>
      <w:snapToGrid w:val="0"/>
      <w:color w:val="000000"/>
    </w:rPr>
  </w:style>
  <w:style w:type="character" w:customStyle="1" w:styleId="94">
    <w:name w:val="font51"/>
    <w:basedOn w:val="29"/>
    <w:qFormat/>
    <w:uiPriority w:val="0"/>
    <w:rPr>
      <w:rFonts w:hint="default" w:ascii="Times New Roman" w:hAnsi="Times New Roman" w:cs="Times New Roman"/>
      <w:color w:val="000000"/>
      <w:sz w:val="21"/>
      <w:szCs w:val="21"/>
      <w:u w:val="none"/>
      <w:vertAlign w:val="superscript"/>
    </w:rPr>
  </w:style>
  <w:style w:type="character" w:customStyle="1" w:styleId="95">
    <w:name w:val="font01"/>
    <w:basedOn w:val="29"/>
    <w:qFormat/>
    <w:uiPriority w:val="0"/>
    <w:rPr>
      <w:rFonts w:hint="eastAsia" w:ascii="仿宋_GB2312" w:eastAsia="仿宋_GB2312" w:cs="仿宋_GB2312"/>
      <w:color w:val="000000"/>
      <w:sz w:val="21"/>
      <w:szCs w:val="21"/>
      <w:u w:val="none"/>
    </w:rPr>
  </w:style>
  <w:style w:type="character" w:customStyle="1" w:styleId="96">
    <w:name w:val="font31"/>
    <w:basedOn w:val="29"/>
    <w:qFormat/>
    <w:uiPriority w:val="0"/>
    <w:rPr>
      <w:rFonts w:hint="default" w:ascii="Times New Roman" w:hAnsi="Times New Roman" w:cs="Times New Roman"/>
      <w:color w:val="000000"/>
      <w:sz w:val="21"/>
      <w:szCs w:val="21"/>
      <w:u w:val="none"/>
    </w:rPr>
  </w:style>
  <w:style w:type="character" w:customStyle="1" w:styleId="97">
    <w:name w:val="font41"/>
    <w:basedOn w:val="29"/>
    <w:qFormat/>
    <w:uiPriority w:val="0"/>
    <w:rPr>
      <w:rFonts w:ascii="仿宋_GB2312" w:eastAsia="仿宋_GB2312" w:cs="仿宋_GB2312"/>
      <w:color w:val="000000"/>
      <w:sz w:val="20"/>
      <w:szCs w:val="20"/>
      <w:u w:val="none"/>
    </w:rPr>
  </w:style>
  <w:style w:type="character" w:customStyle="1" w:styleId="98">
    <w:name w:val="font21"/>
    <w:basedOn w:val="29"/>
    <w:qFormat/>
    <w:uiPriority w:val="0"/>
    <w:rPr>
      <w:rFonts w:hint="default" w:ascii="Times New Roman" w:hAnsi="Times New Roman" w:cs="Times New Roman"/>
      <w:color w:val="000000"/>
      <w:sz w:val="20"/>
      <w:szCs w:val="20"/>
      <w:u w:val="none"/>
    </w:rPr>
  </w:style>
  <w:style w:type="character" w:customStyle="1" w:styleId="99">
    <w:name w:val="font11"/>
    <w:basedOn w:val="29"/>
    <w:qFormat/>
    <w:uiPriority w:val="0"/>
    <w:rPr>
      <w:rFonts w:hint="default" w:ascii="Times New Roman" w:hAnsi="Times New Roman" w:cs="Times New Roman"/>
      <w:color w:val="000000"/>
      <w:sz w:val="20"/>
      <w:szCs w:val="20"/>
      <w:u w:val="none"/>
      <w:vertAlign w:val="superscript"/>
    </w:rPr>
  </w:style>
  <w:style w:type="paragraph" w:customStyle="1" w:styleId="100">
    <w:name w:val="AO-正文文本"/>
    <w:qFormat/>
    <w:uiPriority w:val="0"/>
    <w:pPr>
      <w:widowControl w:val="0"/>
      <w:spacing w:line="360" w:lineRule="auto"/>
      <w:ind w:firstLine="560" w:firstLineChars="200"/>
      <w:jc w:val="both"/>
    </w:pPr>
    <w:rPr>
      <w:rFonts w:ascii="Times New Roman" w:hAnsi="Times New Roman" w:eastAsia="仿宋_GB2312" w:cs="Times New Roman"/>
      <w:sz w:val="24"/>
      <w:szCs w:val="24"/>
      <w:lang w:val="en-US" w:eastAsia="zh-CN" w:bidi="ar-SA"/>
    </w:rPr>
  </w:style>
  <w:style w:type="character" w:customStyle="1" w:styleId="101">
    <w:name w:val="font61"/>
    <w:basedOn w:val="29"/>
    <w:qFormat/>
    <w:uiPriority w:val="0"/>
    <w:rPr>
      <w:rFonts w:hint="default" w:ascii="Times New Roman" w:hAnsi="Times New Roman" w:cs="Times New Roman"/>
      <w:color w:val="000000"/>
      <w:sz w:val="21"/>
      <w:szCs w:val="21"/>
      <w:u w:val="none"/>
    </w:rPr>
  </w:style>
  <w:style w:type="character" w:customStyle="1" w:styleId="102">
    <w:name w:val="font71"/>
    <w:basedOn w:val="29"/>
    <w:qFormat/>
    <w:uiPriority w:val="0"/>
    <w:rPr>
      <w:rFonts w:hint="eastAsia" w:ascii="仿宋_GB2312" w:eastAsia="仿宋_GB2312" w:cs="仿宋_GB2312"/>
      <w:color w:val="000000"/>
      <w:sz w:val="21"/>
      <w:szCs w:val="21"/>
      <w:u w:val="none"/>
    </w:rPr>
  </w:style>
  <w:style w:type="character" w:customStyle="1" w:styleId="103">
    <w:name w:val="font81"/>
    <w:basedOn w:val="29"/>
    <w:qFormat/>
    <w:uiPriority w:val="0"/>
    <w:rPr>
      <w:rFonts w:hint="default" w:ascii="Times New Roman" w:hAnsi="Times New Roman" w:cs="Times New Roman"/>
      <w:color w:val="000000"/>
      <w:sz w:val="21"/>
      <w:szCs w:val="21"/>
      <w:u w:val="none"/>
      <w:vertAlign w:val="superscript"/>
    </w:rPr>
  </w:style>
  <w:style w:type="paragraph" w:customStyle="1" w:styleId="104">
    <w:name w:val="AO-表内文字"/>
    <w:basedOn w:val="1"/>
    <w:qFormat/>
    <w:uiPriority w:val="0"/>
    <w:pPr>
      <w:spacing w:line="0" w:lineRule="atLeast"/>
      <w:jc w:val="center"/>
    </w:pPr>
    <w:rPr>
      <w:sz w:val="21"/>
      <w:szCs w:val="22"/>
      <w:lang w:val="zh-CN"/>
    </w:rPr>
  </w:style>
  <w:style w:type="character" w:customStyle="1" w:styleId="105">
    <w:name w:val="font91"/>
    <w:basedOn w:val="29"/>
    <w:qFormat/>
    <w:uiPriority w:val="0"/>
    <w:rPr>
      <w:rFonts w:hint="eastAsia" w:ascii="宋体" w:hAnsi="宋体" w:eastAsia="宋体" w:cs="宋体"/>
      <w:color w:val="1D41D5"/>
      <w:sz w:val="22"/>
      <w:szCs w:val="22"/>
      <w:u w:val="none"/>
    </w:rPr>
  </w:style>
  <w:style w:type="character" w:customStyle="1" w:styleId="106">
    <w:name w:val="font101"/>
    <w:basedOn w:val="29"/>
    <w:qFormat/>
    <w:uiPriority w:val="0"/>
    <w:rPr>
      <w:rFonts w:hint="default" w:ascii="Times New Roman" w:hAnsi="Times New Roman" w:cs="Times New Roman"/>
      <w:color w:val="000000"/>
      <w:sz w:val="22"/>
      <w:szCs w:val="22"/>
      <w:u w:val="none"/>
      <w:vertAlign w:val="superscript"/>
    </w:rPr>
  </w:style>
  <w:style w:type="paragraph" w:customStyle="1" w:styleId="107">
    <w:name w:val="方案正文样式"/>
    <w:basedOn w:val="1"/>
    <w:qFormat/>
    <w:uiPriority w:val="0"/>
    <w:pPr>
      <w:ind w:firstLine="454"/>
      <w:textAlignment w:val="baseline"/>
    </w:pPr>
    <w:rPr>
      <w:rFonts w:ascii="宋体" w:hAnsi="宋体" w:cs="宋体"/>
    </w:rPr>
  </w:style>
  <w:style w:type="paragraph" w:customStyle="1" w:styleId="108">
    <w:name w:val="正文1"/>
    <w:qFormat/>
    <w:uiPriority w:val="0"/>
    <w:pPr>
      <w:jc w:val="both"/>
    </w:pPr>
    <w:rPr>
      <w:rFonts w:ascii="仿宋_GB2312" w:hAnsi="宋体" w:eastAsia="宋体" w:cs="宋体"/>
      <w:kern w:val="2"/>
      <w:sz w:val="21"/>
      <w:szCs w:val="21"/>
      <w:lang w:val="en-US" w:eastAsia="zh-CN" w:bidi="ar-SA"/>
    </w:rPr>
  </w:style>
  <w:style w:type="paragraph" w:customStyle="1" w:styleId="109">
    <w:name w:val="0 sb-正文"/>
    <w:basedOn w:val="1"/>
    <w:qFormat/>
    <w:uiPriority w:val="0"/>
    <w:pPr>
      <w:widowControl w:val="0"/>
      <w:shd w:val="clear" w:color="auto" w:fill="FFFFFF"/>
      <w:adjustRightInd w:val="0"/>
      <w:snapToGrid w:val="0"/>
    </w:pPr>
    <w:rPr>
      <w:rFonts w:cs="Arial"/>
      <w:color w:val="000000"/>
    </w:rPr>
  </w:style>
  <w:style w:type="paragraph" w:customStyle="1" w:styleId="110">
    <w:name w:val="0 表格小四 + 居中"/>
    <w:basedOn w:val="1"/>
    <w:qFormat/>
    <w:uiPriority w:val="0"/>
    <w:pPr>
      <w:widowControl w:val="0"/>
      <w:adjustRightInd w:val="0"/>
      <w:snapToGrid w:val="0"/>
      <w:spacing w:line="240" w:lineRule="atLeast"/>
      <w:ind w:firstLine="0" w:firstLineChars="0"/>
      <w:jc w:val="center"/>
    </w:pPr>
    <w:rPr>
      <w:b/>
    </w:rPr>
  </w:style>
  <w:style w:type="paragraph" w:customStyle="1" w:styleId="111">
    <w:name w:val="0表格文本1"/>
    <w:basedOn w:val="1"/>
    <w:qFormat/>
    <w:uiPriority w:val="0"/>
    <w:pPr>
      <w:adjustRightInd w:val="0"/>
      <w:snapToGrid w:val="0"/>
      <w:spacing w:line="240" w:lineRule="auto"/>
      <w:ind w:firstLine="0" w:firstLineChars="0"/>
      <w:jc w:val="center"/>
    </w:pPr>
    <w:rPr>
      <w:kern w:val="0"/>
      <w:sz w:val="21"/>
      <w:szCs w:val="21"/>
    </w:rPr>
  </w:style>
  <w:style w:type="paragraph" w:customStyle="1" w:styleId="112">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113">
    <w:name w:val="font111"/>
    <w:basedOn w:val="29"/>
    <w:qFormat/>
    <w:uiPriority w:val="0"/>
    <w:rPr>
      <w:rFonts w:hint="default" w:ascii="Times New Roman" w:hAnsi="Times New Roman" w:cs="Times New Roman"/>
      <w:color w:val="000000"/>
      <w:sz w:val="24"/>
      <w:szCs w:val="24"/>
      <w:u w:val="none"/>
    </w:rPr>
  </w:style>
  <w:style w:type="character" w:customStyle="1" w:styleId="114">
    <w:name w:val="font121"/>
    <w:basedOn w:val="29"/>
    <w:qFormat/>
    <w:uiPriority w:val="0"/>
    <w:rPr>
      <w:rFonts w:hint="default" w:ascii="Times New Roman" w:hAnsi="Times New Roman" w:cs="Times New Roman"/>
      <w:color w:val="000000"/>
      <w:sz w:val="24"/>
      <w:szCs w:val="24"/>
      <w:u w:val="none"/>
      <w:vertAlign w:val="superscript"/>
    </w:rPr>
  </w:style>
  <w:style w:type="character" w:customStyle="1" w:styleId="115">
    <w:name w:val="font131"/>
    <w:basedOn w:val="29"/>
    <w:qFormat/>
    <w:uiPriority w:val="0"/>
    <w:rPr>
      <w:rFonts w:hint="default" w:ascii="Times New Roman" w:hAnsi="Times New Roman" w:cs="Times New Roman"/>
      <w:color w:val="000000"/>
      <w:sz w:val="24"/>
      <w:szCs w:val="24"/>
      <w:u w:val="none"/>
      <w:vertAlign w:val="superscript"/>
    </w:rPr>
  </w:style>
  <w:style w:type="paragraph" w:customStyle="1" w:styleId="116">
    <w:name w:val="0-表格文字"/>
    <w:basedOn w:val="15"/>
    <w:next w:val="1"/>
    <w:qFormat/>
    <w:uiPriority w:val="0"/>
    <w:pPr>
      <w:widowControl w:val="0"/>
      <w:autoSpaceDE w:val="0"/>
      <w:autoSpaceDN w:val="0"/>
      <w:adjustRightInd w:val="0"/>
      <w:snapToGrid w:val="0"/>
      <w:spacing w:before="100" w:beforeAutospacing="1" w:after="0" w:line="240" w:lineRule="auto"/>
      <w:ind w:firstLine="0" w:firstLineChars="0"/>
      <w:jc w:val="center"/>
      <w:textAlignment w:val="bottom"/>
    </w:pPr>
    <w:rPr>
      <w:color w:val="000000"/>
      <w:kern w:val="0"/>
      <w:sz w:val="21"/>
      <w:szCs w:val="21"/>
    </w:rPr>
  </w:style>
  <w:style w:type="paragraph" w:customStyle="1" w:styleId="117">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118">
    <w:name w:val="正文 首行缩进:  2 字符"/>
    <w:basedOn w:val="1"/>
    <w:semiHidden/>
    <w:qFormat/>
    <w:uiPriority w:val="0"/>
    <w:pPr>
      <w:widowControl w:val="0"/>
      <w:ind w:firstLine="691"/>
    </w:pPr>
    <w:rPr>
      <w:rFonts w:cs="宋体"/>
    </w:rPr>
  </w:style>
  <w:style w:type="paragraph" w:customStyle="1" w:styleId="119">
    <w:name w:val="表图题注"/>
    <w:basedOn w:val="1"/>
    <w:next w:val="1"/>
    <w:qFormat/>
    <w:uiPriority w:val="0"/>
    <w:pPr>
      <w:ind w:firstLine="0" w:firstLineChars="0"/>
      <w:jc w:val="center"/>
    </w:pPr>
    <w:rPr>
      <w:rFonts w:eastAsia="黑体"/>
      <w:szCs w:val="32"/>
    </w:rPr>
  </w:style>
  <w:style w:type="character" w:customStyle="1" w:styleId="120">
    <w:name w:val="font132"/>
    <w:basedOn w:val="29"/>
    <w:qFormat/>
    <w:uiPriority w:val="0"/>
    <w:rPr>
      <w:rFonts w:hint="default" w:ascii="Times New Roman" w:hAnsi="Times New Roman" w:cs="Times New Roman"/>
      <w:color w:val="000000"/>
      <w:sz w:val="24"/>
      <w:szCs w:val="24"/>
      <w:u w:val="none"/>
      <w:vertAlign w:val="superscript"/>
    </w:rPr>
  </w:style>
  <w:style w:type="character" w:customStyle="1" w:styleId="121">
    <w:name w:val="font112"/>
    <w:basedOn w:val="29"/>
    <w:qFormat/>
    <w:uiPriority w:val="0"/>
    <w:rPr>
      <w:rFonts w:hint="default" w:ascii="Times New Roman" w:hAnsi="Times New Roman" w:cs="Times New Roman"/>
      <w:color w:val="000000"/>
      <w:sz w:val="22"/>
      <w:szCs w:val="22"/>
      <w:u w:val="none"/>
      <w:vertAlign w:val="superscript"/>
    </w:rPr>
  </w:style>
  <w:style w:type="paragraph" w:customStyle="1" w:styleId="122">
    <w:name w:val="0-表格标题"/>
    <w:basedOn w:val="1"/>
    <w:qFormat/>
    <w:uiPriority w:val="0"/>
    <w:pPr>
      <w:widowControl/>
      <w:ind w:firstLine="200"/>
      <w:jc w:val="center"/>
    </w:pPr>
    <w:rPr>
      <w:b/>
      <w:color w:val="000000"/>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6.wmf"/><Relationship Id="rId55" Type="http://schemas.openxmlformats.org/officeDocument/2006/relationships/image" Target="media/image25.wmf"/><Relationship Id="rId54" Type="http://schemas.openxmlformats.org/officeDocument/2006/relationships/image" Target="media/image24.wmf"/><Relationship Id="rId53" Type="http://schemas.openxmlformats.org/officeDocument/2006/relationships/image" Target="media/image23.wmf"/><Relationship Id="rId52" Type="http://schemas.openxmlformats.org/officeDocument/2006/relationships/image" Target="media/image22.wmf"/><Relationship Id="rId51" Type="http://schemas.openxmlformats.org/officeDocument/2006/relationships/image" Target="media/image21.wmf"/><Relationship Id="rId50" Type="http://schemas.openxmlformats.org/officeDocument/2006/relationships/image" Target="media/image20.emf"/><Relationship Id="rId5" Type="http://schemas.openxmlformats.org/officeDocument/2006/relationships/header" Target="header1.xml"/><Relationship Id="rId49" Type="http://schemas.openxmlformats.org/officeDocument/2006/relationships/oleObject" Target="embeddings/oleObject3.bin"/><Relationship Id="rId48" Type="http://schemas.openxmlformats.org/officeDocument/2006/relationships/image" Target="media/image19.emf"/><Relationship Id="rId47" Type="http://schemas.openxmlformats.org/officeDocument/2006/relationships/oleObject" Target="embeddings/oleObject2.bin"/><Relationship Id="rId46" Type="http://schemas.openxmlformats.org/officeDocument/2006/relationships/image" Target="media/image18.wmf"/><Relationship Id="rId45" Type="http://schemas.openxmlformats.org/officeDocument/2006/relationships/image" Target="media/image17.wmf"/><Relationship Id="rId44" Type="http://schemas.openxmlformats.org/officeDocument/2006/relationships/image" Target="media/image16.wmf"/><Relationship Id="rId43" Type="http://schemas.openxmlformats.org/officeDocument/2006/relationships/image" Target="media/image15.emf"/><Relationship Id="rId42" Type="http://schemas.openxmlformats.org/officeDocument/2006/relationships/oleObject" Target="embeddings/oleObject1.bin"/><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jpe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header" Target="header16.xml"/><Relationship Id="rId25" Type="http://schemas.openxmlformats.org/officeDocument/2006/relationships/footer" Target="footer6.xml"/><Relationship Id="rId24" Type="http://schemas.openxmlformats.org/officeDocument/2006/relationships/header" Target="header15.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5"/>
    <customShpInfo spid="_x0000_s1027" textRotate="1"/>
    <customShpInfo spid="_x0000_s2064"/>
    <customShpInfo spid="_x0000_s206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D315B7-369D-4CDD-8DC5-F5F1E81EDA2F}">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65049</Words>
  <Characters>76499</Characters>
  <Lines>539</Lines>
  <Paragraphs>151</Paragraphs>
  <TotalTime>47</TotalTime>
  <ScaleCrop>false</ScaleCrop>
  <LinksUpToDate>false</LinksUpToDate>
  <CharactersWithSpaces>79004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2020-12-19T03:03:00Z</dcterms:created>
  <dc:creator>MLH</dc:creator>
  <cp:lastModifiedBy>章孟洁</cp:lastModifiedBy>
  <cp:lastPrinted>2024-09-03T07:01:00Z</cp:lastPrinted>
  <dcterms:modified xsi:type="dcterms:W3CDTF">2024-11-15T02:16:54Z</dcterms:modified>
  <cp:revision>4792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39A4C3B9AA3E425B83029DD540CEBA6D</vt:lpwstr>
  </property>
</Properties>
</file>