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ascii="仿宋_GB2312" w:eastAsia="仿宋_GB2312"/>
          <w:color w:val="000000" w:themeColor="text1"/>
          <w:sz w:val="28"/>
          <w:szCs w:val="28"/>
          <w14:textFill>
            <w14:solidFill>
              <w14:schemeClr w14:val="tx1"/>
            </w14:solidFill>
          </w14:textFill>
        </w:rPr>
      </w:pPr>
    </w:p>
    <w:p>
      <w:pPr>
        <w:spacing w:line="240" w:lineRule="auto"/>
        <w:ind w:firstLine="0" w:firstLineChars="0"/>
        <w:rPr>
          <w:rFonts w:ascii="仿宋_GB2312" w:eastAsia="仿宋_GB2312"/>
          <w:color w:val="000000" w:themeColor="text1"/>
          <w:sz w:val="28"/>
          <w:szCs w:val="28"/>
          <w14:textFill>
            <w14:solidFill>
              <w14:schemeClr w14:val="tx1"/>
            </w14:solidFill>
          </w14:textFill>
        </w:rPr>
      </w:pPr>
    </w:p>
    <w:p>
      <w:pPr>
        <w:spacing w:line="240" w:lineRule="auto"/>
        <w:ind w:firstLine="0" w:firstLineChars="0"/>
        <w:rPr>
          <w:rFonts w:ascii="仿宋_GB2312" w:eastAsia="仿宋_GB2312"/>
          <w:color w:val="000000" w:themeColor="text1"/>
          <w:sz w:val="28"/>
          <w:szCs w:val="28"/>
          <w14:textFill>
            <w14:solidFill>
              <w14:schemeClr w14:val="tx1"/>
            </w14:solidFill>
          </w14:textFill>
        </w:rPr>
      </w:pPr>
    </w:p>
    <w:p>
      <w:pPr>
        <w:spacing w:line="240" w:lineRule="auto"/>
        <w:ind w:firstLine="0" w:firstLineChars="0"/>
        <w:rPr>
          <w:rFonts w:ascii="仿宋_GB2312" w:eastAsia="仿宋_GB2312"/>
          <w:color w:val="000000" w:themeColor="text1"/>
          <w:sz w:val="28"/>
          <w:szCs w:val="28"/>
          <w14:textFill>
            <w14:solidFill>
              <w14:schemeClr w14:val="tx1"/>
            </w14:solidFill>
          </w14:textFill>
        </w:rPr>
      </w:pPr>
    </w:p>
    <w:p>
      <w:pPr>
        <w:spacing w:line="240" w:lineRule="auto"/>
        <w:ind w:firstLine="0" w:firstLineChars="0"/>
        <w:jc w:val="center"/>
        <w:outlineLvl w:val="0"/>
        <w:rPr>
          <w:rFonts w:ascii="方正小标宋_GBK" w:eastAsia="方正小标宋_GBK"/>
          <w:color w:val="000000" w:themeColor="text1"/>
          <w:sz w:val="72"/>
          <w:szCs w:val="72"/>
          <w14:textFill>
            <w14:solidFill>
              <w14:schemeClr w14:val="tx1"/>
            </w14:solidFill>
          </w14:textFill>
        </w:rPr>
      </w:pPr>
      <w:bookmarkStart w:id="0" w:name="_Toc139354029"/>
      <w:bookmarkStart w:id="1" w:name="_Toc88744726"/>
      <w:bookmarkStart w:id="2" w:name="_Toc157554958"/>
      <w:bookmarkStart w:id="3" w:name="_Toc88751140"/>
      <w:bookmarkStart w:id="4" w:name="_Toc88751198"/>
      <w:r>
        <w:rPr>
          <w:rFonts w:hint="eastAsia" w:ascii="方正小标宋_GBK" w:eastAsia="方正小标宋_GBK"/>
          <w:color w:val="000000" w:themeColor="text1"/>
          <w:sz w:val="72"/>
          <w:szCs w:val="72"/>
          <w14:textFill>
            <w14:solidFill>
              <w14:schemeClr w14:val="tx1"/>
            </w14:solidFill>
          </w14:textFill>
        </w:rPr>
        <w:t>建设项目环境影响报告表</w:t>
      </w:r>
      <w:bookmarkEnd w:id="0"/>
      <w:bookmarkEnd w:id="1"/>
      <w:bookmarkEnd w:id="2"/>
      <w:bookmarkEnd w:id="3"/>
      <w:bookmarkEnd w:id="4"/>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r>
        <w:rPr>
          <w:rFonts w:hint="eastAsia" w:ascii="楷体_GB2312" w:eastAsia="楷体_GB2312"/>
          <w:color w:val="000000" w:themeColor="text1"/>
          <w:sz w:val="48"/>
          <w:szCs w:val="48"/>
          <w14:textFill>
            <w14:solidFill>
              <w14:schemeClr w14:val="tx1"/>
            </w14:solidFill>
          </w14:textFill>
        </w:rPr>
        <w:t>（生态影响类）</w:t>
      </w: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p>
      <w:pPr>
        <w:spacing w:line="240" w:lineRule="auto"/>
        <w:ind w:firstLine="0" w:firstLineChars="0"/>
        <w:jc w:val="center"/>
        <w:rPr>
          <w:rFonts w:ascii="楷体_GB2312" w:eastAsia="楷体_GB2312"/>
          <w:color w:val="000000" w:themeColor="text1"/>
          <w:sz w:val="48"/>
          <w:szCs w:val="48"/>
          <w14:textFill>
            <w14:solidFill>
              <w14:schemeClr w14:val="tx1"/>
            </w14:solidFill>
          </w14:textFill>
        </w:rPr>
      </w:pPr>
    </w:p>
    <w:tbl>
      <w:tblPr>
        <w:tblStyle w:val="21"/>
        <w:tblW w:w="88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8"/>
        <w:gridCol w:w="1134"/>
        <w:gridCol w:w="58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838" w:type="dxa"/>
          </w:tcPr>
          <w:p>
            <w:pPr>
              <w:spacing w:line="240" w:lineRule="auto"/>
              <w:ind w:firstLine="0" w:firstLineChars="0"/>
              <w:rPr>
                <w:rFonts w:ascii="楷体_GB2312" w:eastAsia="楷体_GB2312"/>
                <w:color w:val="000000" w:themeColor="text1"/>
                <w:sz w:val="48"/>
                <w:szCs w:val="48"/>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p>
        </w:tc>
        <w:tc>
          <w:tcPr>
            <w:tcW w:w="6996" w:type="dxa"/>
            <w:gridSpan w:val="2"/>
            <w:vAlign w:val="center"/>
          </w:tcPr>
          <w:p>
            <w:pPr>
              <w:spacing w:line="240" w:lineRule="auto"/>
              <w:ind w:firstLine="0" w:firstLineChars="0"/>
              <w:rPr>
                <w:rFonts w:ascii="仿宋_GB2312" w:eastAsia="仿宋_GB2312"/>
                <w:color w:val="000000" w:themeColor="text1"/>
                <w:sz w:val="36"/>
                <w:szCs w:val="36"/>
                <w:u w:val="single"/>
                <w14:textFill>
                  <w14:solidFill>
                    <w14:schemeClr w14:val="tx1"/>
                  </w14:solidFill>
                </w14:textFill>
              </w:rPr>
            </w:pPr>
            <w:bookmarkStart w:id="5" w:name="_Hlk142465581"/>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bookmarkStart w:id="6" w:name="_Hlk143936175"/>
            <w:r>
              <w:rPr>
                <w:rFonts w:hint="eastAsia" w:ascii="仿宋_GB2312" w:eastAsia="仿宋_GB2312"/>
                <w:color w:val="000000" w:themeColor="text1"/>
                <w:sz w:val="36"/>
                <w:szCs w:val="36"/>
                <w:u w:val="single"/>
                <w14:textFill>
                  <w14:solidFill>
                    <w14:schemeClr w14:val="tx1"/>
                  </w14:solidFill>
                </w14:textFill>
              </w:rPr>
              <w:t>曲靖市待补风电场二期项目</w:t>
            </w:r>
            <w:bookmarkEnd w:id="5"/>
            <w:bookmarkEnd w:id="6"/>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gridSpan w:val="2"/>
          </w:tcPr>
          <w:p>
            <w:pPr>
              <w:spacing w:line="240" w:lineRule="auto"/>
              <w:ind w:firstLine="0" w:firstLineChars="0"/>
              <w:rPr>
                <w:rFonts w:ascii="仿宋_GB2312" w:eastAsia="仿宋_GB2312"/>
                <w:color w:val="000000" w:themeColor="text1"/>
                <w:sz w:val="36"/>
                <w:szCs w:val="36"/>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p>
        </w:tc>
        <w:tc>
          <w:tcPr>
            <w:tcW w:w="5862" w:type="dxa"/>
            <w:vAlign w:val="center"/>
          </w:tcPr>
          <w:p>
            <w:pPr>
              <w:spacing w:line="240" w:lineRule="auto"/>
              <w:ind w:firstLine="0" w:firstLineChars="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u w:val="single"/>
                <w14:textFill>
                  <w14:solidFill>
                    <w14:schemeClr w14:val="tx1"/>
                  </w14:solidFill>
                </w14:textFill>
              </w:rPr>
              <w:t xml:space="preserve"> </w:t>
            </w:r>
            <w:bookmarkStart w:id="7" w:name="_Hlk143786542"/>
            <w:r>
              <w:rPr>
                <w:rFonts w:hint="eastAsia" w:ascii="仿宋_GB2312" w:eastAsia="仿宋_GB2312"/>
                <w:color w:val="000000" w:themeColor="text1"/>
                <w:sz w:val="36"/>
                <w:szCs w:val="36"/>
                <w:u w:val="single"/>
                <w14:textFill>
                  <w14:solidFill>
                    <w14:schemeClr w14:val="tx1"/>
                  </w14:solidFill>
                </w14:textFill>
              </w:rPr>
              <w:t>华电（曲靖）新能源开发有限公司</w:t>
            </w:r>
            <w:bookmarkEnd w:id="7"/>
            <w:r>
              <w:rPr>
                <w:rFonts w:hint="eastAsia" w:ascii="仿宋_GB2312" w:eastAsia="仿宋_GB2312"/>
                <w:color w:val="000000" w:themeColor="text1"/>
                <w:sz w:val="36"/>
                <w:szCs w:val="36"/>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38" w:type="dxa"/>
            <w:vAlign w:val="center"/>
          </w:tcPr>
          <w:p>
            <w:pPr>
              <w:spacing w:line="240" w:lineRule="auto"/>
              <w:ind w:firstLine="0" w:firstLineChars="0"/>
              <w:rPr>
                <w:rFonts w:ascii="仿宋_GB2312" w:eastAsia="仿宋_GB2312"/>
                <w:color w:val="000000" w:themeColor="text1"/>
                <w:sz w:val="36"/>
                <w:szCs w:val="36"/>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p>
        </w:tc>
        <w:tc>
          <w:tcPr>
            <w:tcW w:w="6996" w:type="dxa"/>
            <w:gridSpan w:val="2"/>
            <w:vAlign w:val="center"/>
          </w:tcPr>
          <w:p>
            <w:pPr>
              <w:spacing w:line="240" w:lineRule="auto"/>
              <w:ind w:firstLine="0" w:firstLineChars="0"/>
              <w:rPr>
                <w:rFonts w:ascii="仿宋_GB2312" w:eastAsia="仿宋_GB2312"/>
                <w:color w:val="000000" w:themeColor="text1"/>
                <w:sz w:val="36"/>
                <w:szCs w:val="36"/>
                <w:u w:val="single"/>
                <w14:textFill>
                  <w14:solidFill>
                    <w14:schemeClr w14:val="tx1"/>
                  </w14:solidFill>
                </w14:textFill>
              </w:rPr>
            </w:pP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2</w:t>
            </w:r>
            <w:r>
              <w:rPr>
                <w:rFonts w:ascii="仿宋_GB2312" w:eastAsia="仿宋_GB2312"/>
                <w:color w:val="000000" w:themeColor="text1"/>
                <w:sz w:val="36"/>
                <w:szCs w:val="36"/>
                <w:u w:val="single"/>
                <w14:textFill>
                  <w14:solidFill>
                    <w14:schemeClr w14:val="tx1"/>
                  </w14:solidFill>
                </w14:textFill>
              </w:rPr>
              <w:t>024</w:t>
            </w:r>
            <w:r>
              <w:rPr>
                <w:rFonts w:hint="eastAsia" w:ascii="仿宋_GB2312" w:eastAsia="仿宋_GB2312"/>
                <w:color w:val="000000" w:themeColor="text1"/>
                <w:sz w:val="36"/>
                <w:szCs w:val="36"/>
                <w:u w:val="single"/>
                <w14:textFill>
                  <w14:solidFill>
                    <w14:schemeClr w14:val="tx1"/>
                  </w14:solidFill>
                </w14:textFill>
              </w:rPr>
              <w:t>年</w:t>
            </w:r>
            <w:r>
              <w:rPr>
                <w:rFonts w:ascii="仿宋_GB2312" w:eastAsia="仿宋_GB2312"/>
                <w:color w:val="000000" w:themeColor="text1"/>
                <w:sz w:val="36"/>
                <w:szCs w:val="36"/>
                <w:u w:val="single"/>
                <w14:textFill>
                  <w14:solidFill>
                    <w14:schemeClr w14:val="tx1"/>
                  </w14:solidFill>
                </w14:textFill>
              </w:rPr>
              <w:t>2</w:t>
            </w:r>
            <w:r>
              <w:rPr>
                <w:rFonts w:hint="eastAsia" w:ascii="仿宋_GB2312" w:eastAsia="仿宋_GB2312"/>
                <w:color w:val="000000" w:themeColor="text1"/>
                <w:sz w:val="36"/>
                <w:szCs w:val="36"/>
                <w:u w:val="single"/>
                <w14:textFill>
                  <w14:solidFill>
                    <w14:schemeClr w14:val="tx1"/>
                  </w14:solidFill>
                </w14:textFill>
              </w:rPr>
              <w:t xml:space="preserve">月 </w:t>
            </w:r>
            <w:r>
              <w:rPr>
                <w:rFonts w:ascii="仿宋_GB2312" w:eastAsia="仿宋_GB2312"/>
                <w:color w:val="000000" w:themeColor="text1"/>
                <w:sz w:val="36"/>
                <w:szCs w:val="36"/>
                <w:u w:val="single"/>
                <w14:textFill>
                  <w14:solidFill>
                    <w14:schemeClr w14:val="tx1"/>
                  </w14:solidFill>
                </w14:textFill>
              </w:rPr>
              <w:t xml:space="preserve">             </w:t>
            </w:r>
          </w:p>
        </w:tc>
      </w:tr>
    </w:tbl>
    <w:p>
      <w:pPr>
        <w:spacing w:line="240" w:lineRule="auto"/>
        <w:ind w:firstLine="0" w:firstLineChars="0"/>
        <w:jc w:val="left"/>
        <w:rPr>
          <w:rFonts w:ascii="仿宋_GB2312" w:eastAsia="仿宋_GB2312"/>
          <w:color w:val="000000" w:themeColor="text1"/>
          <w:sz w:val="36"/>
          <w:szCs w:val="36"/>
          <w14:textFill>
            <w14:solidFill>
              <w14:schemeClr w14:val="tx1"/>
            </w14:solidFill>
          </w14:textFill>
        </w:rPr>
      </w:pPr>
    </w:p>
    <w:p>
      <w:pPr>
        <w:spacing w:line="240" w:lineRule="auto"/>
        <w:ind w:firstLine="0" w:firstLineChars="0"/>
        <w:jc w:val="left"/>
        <w:rPr>
          <w:rFonts w:ascii="仿宋_GB2312" w:eastAsia="仿宋_GB2312"/>
          <w:color w:val="000000" w:themeColor="text1"/>
          <w:sz w:val="36"/>
          <w:szCs w:val="36"/>
          <w14:textFill>
            <w14:solidFill>
              <w14:schemeClr w14:val="tx1"/>
            </w14:solidFill>
          </w14:textFill>
        </w:rPr>
      </w:pPr>
    </w:p>
    <w:p>
      <w:pPr>
        <w:spacing w:line="240" w:lineRule="auto"/>
        <w:ind w:firstLine="0" w:firstLineChars="0"/>
        <w:jc w:val="left"/>
        <w:rPr>
          <w:rFonts w:ascii="仿宋_GB2312" w:eastAsia="仿宋_GB2312"/>
          <w:color w:val="000000" w:themeColor="text1"/>
          <w:sz w:val="36"/>
          <w:szCs w:val="36"/>
          <w14:textFill>
            <w14:solidFill>
              <w14:schemeClr w14:val="tx1"/>
            </w14:solidFill>
          </w14:textFill>
        </w:rPr>
      </w:pPr>
    </w:p>
    <w:p>
      <w:pPr>
        <w:spacing w:line="240" w:lineRule="auto"/>
        <w:ind w:firstLine="0" w:firstLineChars="0"/>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spacing w:line="240" w:lineRule="auto"/>
        <w:ind w:firstLine="0" w:firstLineChars="0"/>
        <w:jc w:val="center"/>
        <w:rPr>
          <w:rFonts w:ascii="楷体_GB2312" w:eastAsia="楷体_GB2312"/>
          <w:color w:val="000000" w:themeColor="text1"/>
          <w:sz w:val="36"/>
          <w:szCs w:val="36"/>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851" w:footer="1077" w:gutter="0"/>
          <w:cols w:space="425" w:num="1"/>
          <w:docGrid w:type="lines" w:linePitch="312" w:charSpace="0"/>
        </w:sectPr>
      </w:pPr>
    </w:p>
    <w:p>
      <w:pPr>
        <w:ind w:firstLine="0" w:firstLineChars="0"/>
        <w:jc w:val="center"/>
        <w:rPr>
          <w:rFonts w:ascii="华文楷体" w:hAnsi="华文楷体" w:eastAsia="华文楷体"/>
          <w:b/>
          <w:bCs/>
          <w:color w:val="000000" w:themeColor="text1"/>
          <w:sz w:val="36"/>
          <w:szCs w:val="36"/>
          <w14:textFill>
            <w14:solidFill>
              <w14:schemeClr w14:val="tx1"/>
            </w14:solidFill>
          </w14:textFill>
        </w:rPr>
      </w:pPr>
      <w:r>
        <w:rPr>
          <w:rFonts w:hint="eastAsia" w:ascii="华文楷体" w:hAnsi="华文楷体" w:eastAsia="华文楷体"/>
          <w:b/>
          <w:bCs/>
          <w:color w:val="000000" w:themeColor="text1"/>
          <w:sz w:val="36"/>
          <w:szCs w:val="36"/>
          <w14:textFill>
            <w14:solidFill>
              <w14:schemeClr w14:val="tx1"/>
            </w14:solidFill>
          </w14:textFill>
        </w:rPr>
        <w:t xml:space="preserve">前 </w:t>
      </w:r>
      <w:r>
        <w:rPr>
          <w:rFonts w:ascii="华文楷体" w:hAnsi="华文楷体" w:eastAsia="华文楷体"/>
          <w:b/>
          <w:bCs/>
          <w:color w:val="000000" w:themeColor="text1"/>
          <w:sz w:val="36"/>
          <w:szCs w:val="36"/>
          <w14:textFill>
            <w14:solidFill>
              <w14:schemeClr w14:val="tx1"/>
            </w14:solidFill>
          </w14:textFill>
        </w:rPr>
        <w:t xml:space="preserve"> </w:t>
      </w:r>
      <w:r>
        <w:rPr>
          <w:rFonts w:hint="eastAsia" w:ascii="华文楷体" w:hAnsi="华文楷体" w:eastAsia="华文楷体"/>
          <w:b/>
          <w:bCs/>
          <w:color w:val="000000" w:themeColor="text1"/>
          <w:sz w:val="36"/>
          <w:szCs w:val="36"/>
          <w14:textFill>
            <w14:solidFill>
              <w14:schemeClr w14:val="tx1"/>
            </w14:solidFill>
          </w14:textFill>
        </w:rPr>
        <w:t>言</w:t>
      </w:r>
    </w:p>
    <w:p>
      <w:pPr>
        <w:ind w:firstLine="480"/>
        <w:rPr>
          <w:color w:val="000000" w:themeColor="text1"/>
          <w14:textFill>
            <w14:solidFill>
              <w14:schemeClr w14:val="tx1"/>
            </w14:solidFill>
          </w14:textFill>
        </w:rPr>
      </w:pPr>
      <w:bookmarkStart w:id="8" w:name="_Hlk151477902"/>
      <w:r>
        <w:rPr>
          <w:rFonts w:hint="eastAsia"/>
          <w:color w:val="000000" w:themeColor="text1"/>
          <w14:textFill>
            <w14:solidFill>
              <w14:schemeClr w14:val="tx1"/>
            </w14:solidFill>
          </w14:textFill>
        </w:rPr>
        <w:t>2020年2月云南省启动在适宜地区适度开发利用新能源的规划，2020年9月30日云南省发展和改革委员会云南省能源局发布《关于印发云南省在适宜地区适度开发利用新能源规划及配套文件的通知》（云能源水电〔2020〕153号），通知中指出《云南省在适宜地区适度开发利用新能源规划》、《关于在适宜地区适度开发利用新能源工作指导意见》已经省人民政府同意。根据《云南省在适宜地区适度开发利用新能源规划》可知，云南省在适宜地区适度开发利用新能源规划区域包括昆明、曲靖、昭通、红河、文山、楚雄6个州（市）的部分区域。规划区规划建设新能源基地31个、总装机容量1090万千瓦，待补风电场为列入《云南省在适宜地区适度开发利用新能源规划》的31个风电基地项目之一，规划装机规模</w:t>
      </w:r>
      <w:r>
        <w:rPr>
          <w:color w:val="000000" w:themeColor="text1"/>
          <w14:textFill>
            <w14:solidFill>
              <w14:schemeClr w14:val="tx1"/>
            </w14:solidFill>
          </w14:textFill>
        </w:rPr>
        <w:t>370</w:t>
      </w:r>
      <w:r>
        <w:rPr>
          <w:rFonts w:hint="eastAsia"/>
          <w:color w:val="000000" w:themeColor="text1"/>
          <w14:textFill>
            <w14:solidFill>
              <w14:schemeClr w14:val="tx1"/>
            </w14:solidFill>
          </w14:textFill>
        </w:rPr>
        <w:t>MW。根据云南省发展和改革委员会《关于印发云南省2021年“四个一百”重点建设项目计划的通知》可知，待补风电场属于“四个一百”重点建设项目之一。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根据《云南省发展和改革委员会云南省能源局关于印发云南省在适宜地区适度开发和利用新能源规划基地建设方案和实施计划的通知》（云发改产业〔2021〕399号），待补风电场分两期开发，一期</w:t>
      </w:r>
      <w:r>
        <w:rPr>
          <w:color w:val="000000" w:themeColor="text1"/>
          <w14:textFill>
            <w14:solidFill>
              <w14:schemeClr w14:val="tx1"/>
            </w14:solidFill>
          </w14:textFill>
        </w:rPr>
        <w:t>188</w:t>
      </w:r>
      <w:r>
        <w:rPr>
          <w:rFonts w:hint="eastAsia"/>
          <w:color w:val="000000" w:themeColor="text1"/>
          <w14:textFill>
            <w14:solidFill>
              <w14:schemeClr w14:val="tx1"/>
            </w14:solidFill>
          </w14:textFill>
        </w:rPr>
        <w:t>MW、二期</w:t>
      </w:r>
      <w:r>
        <w:rPr>
          <w:color w:val="000000" w:themeColor="text1"/>
          <w14:textFill>
            <w14:solidFill>
              <w14:schemeClr w14:val="tx1"/>
            </w14:solidFill>
          </w14:textFill>
        </w:rPr>
        <w:t>182</w:t>
      </w:r>
      <w:r>
        <w:rPr>
          <w:rFonts w:hint="eastAsia"/>
          <w:color w:val="000000" w:themeColor="text1"/>
          <w14:textFill>
            <w14:solidFill>
              <w14:schemeClr w14:val="tx1"/>
            </w14:solidFill>
          </w14:textFill>
        </w:rPr>
        <w:t>MW，建设单位为曲靖华电新能源开发有限公司。曲靖华电新能源开发有限公司成立于</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日，位于云南省曲靖市会泽县古城街道通宝路以礼河酒店内。202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日，公司名称变更为华电（曲靖）新能源开发有限公司。</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目前待补风电场一期工程已建设完成，总装机容量1</w:t>
      </w:r>
      <w:r>
        <w:rPr>
          <w:color w:val="000000" w:themeColor="text1"/>
          <w14:textFill>
            <w14:solidFill>
              <w14:schemeClr w14:val="tx1"/>
            </w14:solidFill>
          </w14:textFill>
        </w:rPr>
        <w:t>89MW</w:t>
      </w:r>
      <w:r>
        <w:rPr>
          <w:rFonts w:hint="eastAsia"/>
          <w:color w:val="000000" w:themeColor="text1"/>
          <w14:textFill>
            <w14:solidFill>
              <w14:schemeClr w14:val="tx1"/>
            </w14:solidFill>
          </w14:textFill>
        </w:rPr>
        <w:t>，建设内容为安装3</w:t>
      </w:r>
      <w:r>
        <w:rPr>
          <w:color w:val="000000" w:themeColor="text1"/>
          <w14:textFill>
            <w14:solidFill>
              <w14:schemeClr w14:val="tx1"/>
            </w14:solidFill>
          </w14:textFill>
        </w:rPr>
        <w:t>300</w:t>
      </w:r>
      <w:r>
        <w:rPr>
          <w:rFonts w:hint="eastAsia"/>
          <w:color w:val="000000" w:themeColor="text1"/>
          <w14:textFill>
            <w14:solidFill>
              <w14:schemeClr w14:val="tx1"/>
            </w14:solidFill>
          </w14:textFill>
        </w:rPr>
        <w:t>kW的风电机组1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台，安装5</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kW的风电机组</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台，建设1</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kV升压站</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kV升压站1座（安装1台1</w:t>
      </w:r>
      <w:r>
        <w:rPr>
          <w:color w:val="000000" w:themeColor="text1"/>
          <w14:textFill>
            <w14:solidFill>
              <w14:schemeClr w14:val="tx1"/>
            </w14:solidFill>
          </w14:textFill>
        </w:rPr>
        <w:t>90MVA</w:t>
      </w:r>
      <w:r>
        <w:rPr>
          <w:rFonts w:hint="eastAsia"/>
          <w:color w:val="000000" w:themeColor="text1"/>
          <w14:textFill>
            <w14:solidFill>
              <w14:schemeClr w14:val="tx1"/>
            </w14:solidFill>
          </w14:textFill>
        </w:rPr>
        <w:t>的主变</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台，预留1台主变位置），1</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kV输电线路1条。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待补风电场二期项目于202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日取得建设项目用地预审与选址意见书，2022年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日取得《云南省发展和改革委员会关于曲靖市待补风电场二期项目核准的批复》（云发改能源〔2022〕</w:t>
      </w:r>
      <w:r>
        <w:rPr>
          <w:color w:val="000000" w:themeColor="text1"/>
          <w14:textFill>
            <w14:solidFill>
              <w14:schemeClr w14:val="tx1"/>
            </w14:solidFill>
          </w14:textFill>
        </w:rPr>
        <w:t>282</w:t>
      </w:r>
      <w:r>
        <w:rPr>
          <w:rFonts w:hint="eastAsia"/>
          <w:color w:val="000000" w:themeColor="text1"/>
          <w14:textFill>
            <w14:solidFill>
              <w14:schemeClr w14:val="tx1"/>
            </w14:solidFill>
          </w14:textFill>
        </w:rPr>
        <w:t>号），核准内容为：总装机容量182M</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，主要建设41台风电机组，其中单机容量5.2M</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风电机组24台，单机容量4.4M</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风电机组1台，单机容量3.3M</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风电机组16台。风机布置见下图。</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346700" cy="8513445"/>
            <wp:effectExtent l="0" t="0" r="6350" b="1905"/>
            <wp:docPr id="1223541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4180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65848" cy="8543978"/>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核准的风机布置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月通过选址优化，从场内风能资源分布情况、与敏感区位置关系、生态环境质量现状、与居民点位置关系、</w:t>
      </w:r>
      <w:r>
        <w:rPr>
          <w:color w:val="000000" w:themeColor="text1"/>
          <w14:textFill>
            <w14:solidFill>
              <w14:schemeClr w14:val="tx1"/>
            </w14:solidFill>
          </w14:textFill>
        </w:rPr>
        <w:t>减少占地等</w:t>
      </w:r>
      <w:r>
        <w:rPr>
          <w:rFonts w:hint="eastAsia"/>
          <w:color w:val="000000" w:themeColor="text1"/>
          <w14:textFill>
            <w14:solidFill>
              <w14:schemeClr w14:val="tx1"/>
            </w14:solidFill>
          </w14:textFill>
        </w:rPr>
        <w:t>几大要素进行分析，取消了位于毛家村水库饮用水水源准保护区的风机，最终确定可安装的总装机台数仅</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台，包括</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台单机容量</w:t>
      </w:r>
      <w:r>
        <w:rPr>
          <w:color w:val="000000" w:themeColor="text1"/>
          <w14:textFill>
            <w14:solidFill>
              <w14:schemeClr w14:val="tx1"/>
            </w14:solidFill>
          </w14:textFill>
        </w:rPr>
        <w:t>670</w:t>
      </w:r>
      <w:r>
        <w:rPr>
          <w:rFonts w:hint="eastAsia"/>
          <w:color w:val="000000" w:themeColor="text1"/>
          <w14:textFill>
            <w14:solidFill>
              <w14:schemeClr w14:val="tx1"/>
            </w14:solidFill>
          </w14:textFill>
        </w:rPr>
        <w:t>0kW的风电机组和1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台单机容量5</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kW的风电机组，总装机规模1</w:t>
      </w:r>
      <w:r>
        <w:rPr>
          <w:color w:val="000000" w:themeColor="text1"/>
          <w14:textFill>
            <w14:solidFill>
              <w14:schemeClr w14:val="tx1"/>
            </w14:solidFill>
          </w14:textFill>
        </w:rPr>
        <w:t>89MW</w:t>
      </w:r>
      <w:r>
        <w:rPr>
          <w:rFonts w:hint="eastAsia"/>
          <w:color w:val="000000" w:themeColor="text1"/>
          <w14:textFill>
            <w14:solidFill>
              <w14:schemeClr w14:val="tx1"/>
            </w14:solidFill>
          </w14:textFill>
        </w:rPr>
        <w:t>。优化调整后项目单机规模及总装机规模发生变化。根据《云南省发展和改革委员会关于印发规范风电项目核准管理有关事项的通知》（云发改能源规〔2023〕2号）中：风电项目风力发电机组单机容量调整属于风电场技术方案变更，在总规模上下浮动不超过原核准建设总装机容量10％的前提下由企业自行决策和调整实施，不作为项目核准变更事项管理。根据以上要求，拟建项目建设地点、投资主体未发生变更，项目变更对经济、社会、环境等未产生重大不利影响，项目变更后</w:t>
      </w:r>
      <w:r>
        <w:rPr>
          <w:rFonts w:hint="eastAsia" w:cs="Times New Roman"/>
          <w:color w:val="000000" w:themeColor="text1"/>
          <w14:textFill>
            <w14:solidFill>
              <w14:schemeClr w14:val="tx1"/>
            </w14:solidFill>
          </w14:textFill>
        </w:rPr>
        <w:t>总装机规模由1</w:t>
      </w:r>
      <w:r>
        <w:rPr>
          <w:rFonts w:cs="Times New Roman"/>
          <w:color w:val="000000" w:themeColor="text1"/>
          <w14:textFill>
            <w14:solidFill>
              <w14:schemeClr w14:val="tx1"/>
            </w14:solidFill>
          </w14:textFill>
        </w:rPr>
        <w:t>82MW</w:t>
      </w:r>
      <w:r>
        <w:rPr>
          <w:rFonts w:hint="eastAsia" w:cs="Times New Roman"/>
          <w:color w:val="000000" w:themeColor="text1"/>
          <w14:textFill>
            <w14:solidFill>
              <w14:schemeClr w14:val="tx1"/>
            </w14:solidFill>
          </w14:textFill>
        </w:rPr>
        <w:t>变更为1</w:t>
      </w:r>
      <w:r>
        <w:rPr>
          <w:rFonts w:cs="Times New Roman"/>
          <w:color w:val="000000" w:themeColor="text1"/>
          <w14:textFill>
            <w14:solidFill>
              <w14:schemeClr w14:val="tx1"/>
            </w14:solidFill>
          </w14:textFill>
        </w:rPr>
        <w:t>89MW</w:t>
      </w:r>
      <w:r>
        <w:rPr>
          <w:rFonts w:hint="eastAsia" w:cs="Times New Roman"/>
          <w:color w:val="000000" w:themeColor="text1"/>
          <w14:textFill>
            <w14:solidFill>
              <w14:schemeClr w14:val="tx1"/>
            </w14:solidFill>
          </w14:textFill>
        </w:rPr>
        <w:t>，总建设规模浮动小于1</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不作为项目核准变更事项管理，无需进行核准变更。</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4921250"/>
            <wp:effectExtent l="0" t="0" r="6350" b="0"/>
            <wp:docPr id="379355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5851"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8591" cy="4938769"/>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优化的风机布置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待补风电场二期项目不新建升压站，</w:t>
      </w:r>
      <w:bookmarkStart w:id="9" w:name="_Hlk151477765"/>
      <w:r>
        <w:rPr>
          <w:rFonts w:hint="eastAsia"/>
          <w:color w:val="000000" w:themeColor="text1"/>
          <w14:textFill>
            <w14:solidFill>
              <w14:schemeClr w14:val="tx1"/>
            </w14:solidFill>
          </w14:textFill>
        </w:rPr>
        <w:t>二期电力通过3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kV集电线路接入待补风电场一期已建的220kV升压站，该升压站终期规模1×1</w:t>
      </w:r>
      <w:r>
        <w:rPr>
          <w:color w:val="000000" w:themeColor="text1"/>
          <w14:textFill>
            <w14:solidFill>
              <w14:schemeClr w14:val="tx1"/>
            </w14:solidFill>
          </w14:textFill>
        </w:rPr>
        <w:t>90MVA+1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190MVA</w:t>
      </w:r>
      <w:r>
        <w:rPr>
          <w:rFonts w:hint="eastAsia"/>
          <w:color w:val="000000" w:themeColor="text1"/>
          <w14:textFill>
            <w14:solidFill>
              <w14:schemeClr w14:val="tx1"/>
            </w14:solidFill>
          </w14:textFill>
        </w:rPr>
        <w:t>主变，目前已安装1台1</w:t>
      </w:r>
      <w:r>
        <w:rPr>
          <w:color w:val="000000" w:themeColor="text1"/>
          <w14:textFill>
            <w14:solidFill>
              <w14:schemeClr w14:val="tx1"/>
            </w14:solidFill>
          </w14:textFill>
        </w:rPr>
        <w:t>90MVA</w:t>
      </w:r>
      <w:r>
        <w:rPr>
          <w:rFonts w:hint="eastAsia"/>
          <w:color w:val="000000" w:themeColor="text1"/>
          <w14:textFill>
            <w14:solidFill>
              <w14:schemeClr w14:val="tx1"/>
            </w14:solidFill>
          </w14:textFill>
        </w:rPr>
        <w:t>主变，本次在该升压站预留主变位置安装1台1</w:t>
      </w:r>
      <w:r>
        <w:rPr>
          <w:color w:val="000000" w:themeColor="text1"/>
          <w14:textFill>
            <w14:solidFill>
              <w14:schemeClr w14:val="tx1"/>
            </w14:solidFill>
          </w14:textFill>
        </w:rPr>
        <w:t>90MVA</w:t>
      </w:r>
      <w:r>
        <w:rPr>
          <w:rFonts w:hint="eastAsia"/>
          <w:color w:val="000000" w:themeColor="text1"/>
          <w14:textFill>
            <w14:solidFill>
              <w14:schemeClr w14:val="tx1"/>
            </w14:solidFill>
          </w14:textFill>
        </w:rPr>
        <w:t>主变，配套安装主变进线柜2面，风机进线柜8面，1套G</w:t>
      </w:r>
      <w:r>
        <w:rPr>
          <w:color w:val="000000" w:themeColor="text1"/>
          <w14:textFill>
            <w14:solidFill>
              <w14:schemeClr w14:val="tx1"/>
            </w14:solidFill>
          </w14:textFill>
        </w:rPr>
        <w:t>IS</w:t>
      </w:r>
      <w:r>
        <w:rPr>
          <w:rFonts w:hint="eastAsia"/>
          <w:color w:val="000000" w:themeColor="text1"/>
          <w14:textFill>
            <w14:solidFill>
              <w14:schemeClr w14:val="tx1"/>
            </w14:solidFill>
          </w14:textFill>
        </w:rPr>
        <w:t>装置，</w:t>
      </w:r>
      <w:r>
        <w:rPr>
          <w:color w:val="000000" w:themeColor="text1"/>
          <w14:textFill>
            <w14:solidFill>
              <w14:schemeClr w14:val="tx1"/>
            </w14:solidFill>
          </w14:textFill>
        </w:rPr>
        <w:t>在35kVII段母线配置1台容量为500kVA的站用变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35kVII段母线配置一台</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25000kvar的动态无功补偿装置。</w:t>
      </w:r>
      <w:bookmarkEnd w:id="9"/>
      <w:r>
        <w:rPr>
          <w:rFonts w:hint="eastAsia"/>
          <w:color w:val="000000" w:themeColor="text1"/>
          <w14:textFill>
            <w14:solidFill>
              <w14:schemeClr w14:val="tx1"/>
            </w14:solidFill>
          </w14:textFill>
        </w:rPr>
        <w:t>二期项目仅涉及设备安装工程，不涉及土建工程，本次评价按照终期规模对2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kV升压站电磁环境影响开展专项评价。</w:t>
      </w:r>
    </w:p>
    <w:bookmarkEnd w:id="8"/>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风电场二期项目建设符合国家产业政策，符合《云南省主体功能区规划》、《云南省生态功能区划》、云南省“三线一单”管控要求、曲靖市“三线一单”生态环境分区管控实施方案要求。项目不涉及依法设立的、风景名胜区、文物保护单位、云南省候鸟迁徙通道等生态环境敏感区，距离云南会泽驾车华山松省级自然保护区约1</w:t>
      </w:r>
      <w:r>
        <w:rPr>
          <w:color w:val="000000" w:themeColor="text1"/>
          <w14:textFill>
            <w14:solidFill>
              <w14:schemeClr w14:val="tx1"/>
            </w14:solidFill>
          </w14:textFill>
        </w:rPr>
        <w:t>03</w:t>
      </w:r>
      <w:r>
        <w:rPr>
          <w:rFonts w:hint="eastAsia"/>
          <w:color w:val="000000" w:themeColor="text1"/>
          <w14:textFill>
            <w14:solidFill>
              <w14:schemeClr w14:val="tx1"/>
            </w14:solidFill>
          </w14:textFill>
        </w:rPr>
        <w:t>m，不会对自然保护区植被造成影响。项目选址不涉及生态保护红线，符合所在区域现行生态环境约束性要求；不涉及占用永久基本农田；不占用天然乔木林、国家一级公益林</w:t>
      </w:r>
      <w:bookmarkStart w:id="10" w:name="_Hlk156141333"/>
      <w:r>
        <w:rPr>
          <w:rFonts w:hint="eastAsia"/>
          <w:color w:val="000000" w:themeColor="text1"/>
          <w14:textFill>
            <w14:solidFill>
              <w14:schemeClr w14:val="tx1"/>
            </w14:solidFill>
          </w14:textFill>
        </w:rPr>
        <w:t>及国家二级公益林，占用省级公益林约</w:t>
      </w:r>
      <w:r>
        <w:rPr>
          <w:color w:val="000000" w:themeColor="text1"/>
          <w14:textFill>
            <w14:solidFill>
              <w14:schemeClr w14:val="tx1"/>
            </w14:solidFill>
          </w14:textFill>
        </w:rPr>
        <w:t>5.0925hm²</w:t>
      </w:r>
      <w:r>
        <w:rPr>
          <w:rFonts w:hint="eastAsia"/>
          <w:color w:val="000000" w:themeColor="text1"/>
          <w14:textFill>
            <w14:solidFill>
              <w14:schemeClr w14:val="tx1"/>
            </w14:solidFill>
          </w14:textFill>
        </w:rPr>
        <w:t>，其中永久占用省级公益林地面积3.9388hm²，临时占用省级公益林地面积1.1537hm²</w:t>
      </w:r>
      <w:bookmarkEnd w:id="10"/>
      <w:r>
        <w:rPr>
          <w:rFonts w:hint="eastAsia"/>
          <w:color w:val="000000" w:themeColor="text1"/>
          <w14:textFill>
            <w14:solidFill>
              <w14:schemeClr w14:val="tx1"/>
            </w14:solidFill>
          </w14:textFill>
        </w:rPr>
        <w:t>；项目资源条件有保障，满足资源利用上限要求；项目不涉及生态环境准入清单；项目产生的污染物经采取相应防护措施后可做到达标排放，不会降低区域环境质量等级，对区域的环境影响不大。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属于新能源开发项目，符合国家产业政策和国家能源规划要求。拟建项目选址、施工道路及施工设施区避开生态保护红线、依法设立的自然保护区、风景名胜区、文物保护单位、云南省候鸟迁徙通道等生态环境敏感区。项目选址符合《云南省主体功能区规划》和《云南省生态功能区划》。拟建项目选址及风机总体布局环境合理。项目建设可减少不可再生资源的损耗及由此带来的废气排放，具有明显的环境效益和经济效益。项目建设过程中产生的不利环境影响，在采取相应的环境保护措施后，可减小并得到控制，不会造成物种灭亡。从环境保护的角度来看，只要建设单位和施工单位在施工和营运过程中，认真落实主体设计及本报告提出的各项环境保护措施，曲靖市待补风电场二期项目的建设是可行的。</w:t>
      </w:r>
    </w:p>
    <w:p>
      <w:pPr>
        <w:ind w:firstLine="880"/>
        <w:rPr>
          <w:rFonts w:ascii="楷体" w:hAnsi="楷体" w:eastAsia="楷体"/>
          <w:color w:val="000000" w:themeColor="text1"/>
          <w:sz w:val="44"/>
          <w:szCs w:val="44"/>
          <w14:textFill>
            <w14:solidFill>
              <w14:schemeClr w14:val="tx1"/>
            </w14:solidFill>
          </w14:textFill>
        </w:rPr>
        <w:sectPr>
          <w:pgSz w:w="11906" w:h="16838"/>
          <w:pgMar w:top="1440" w:right="1531" w:bottom="1440" w:left="1531" w:header="851" w:footer="1077" w:gutter="0"/>
          <w:cols w:space="425" w:num="1"/>
          <w:docGrid w:type="lines" w:linePitch="312" w:charSpace="0"/>
        </w:sectPr>
      </w:pPr>
    </w:p>
    <w:p>
      <w:pPr>
        <w:spacing w:line="240" w:lineRule="auto"/>
        <w:ind w:firstLine="0" w:firstLineChars="0"/>
        <w:jc w:val="center"/>
        <w:rPr>
          <w:rFonts w:ascii="楷体" w:hAnsi="楷体" w:eastAsia="楷体"/>
          <w:color w:val="000000" w:themeColor="text1"/>
          <w:sz w:val="32"/>
          <w:szCs w:val="32"/>
          <w14:textFill>
            <w14:solidFill>
              <w14:schemeClr w14:val="tx1"/>
            </w14:solidFill>
          </w14:textFill>
        </w:rPr>
      </w:pPr>
      <w:r>
        <w:rPr>
          <w:rFonts w:hint="eastAsia" w:ascii="楷体" w:hAnsi="楷体" w:eastAsia="楷体"/>
          <w:color w:val="000000" w:themeColor="text1"/>
          <w:sz w:val="32"/>
          <w:szCs w:val="32"/>
          <w14:textFill>
            <w14:solidFill>
              <w14:schemeClr w14:val="tx1"/>
            </w14:solidFill>
          </w14:textFill>
        </w:rPr>
        <w:t>目录</w:t>
      </w:r>
    </w:p>
    <w:p>
      <w:pPr>
        <w:pStyle w:val="14"/>
        <w:ind w:firstLine="154"/>
        <w:rPr>
          <w:rFonts w:asciiTheme="minorHAnsi" w:hAnsiTheme="minorHAnsi" w:eastAsiaTheme="minorEastAsia"/>
          <w:color w:val="000000" w:themeColor="text1"/>
          <w:sz w:val="21"/>
          <w14:textFill>
            <w14:solidFill>
              <w14:schemeClr w14:val="tx1"/>
            </w14:solidFill>
          </w14:textFill>
          <w14:ligatures w14:val="standardContextua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TOC \o "1-1" \h \z \u </w:instrText>
      </w:r>
      <w:r>
        <w:rPr>
          <w:color w:val="000000" w:themeColor="text1"/>
          <w:sz w:val="28"/>
          <w:szCs w:val="28"/>
          <w14:textFill>
            <w14:solidFill>
              <w14:schemeClr w14:val="tx1"/>
            </w14:solidFill>
          </w14:textFill>
        </w:rPr>
        <w:fldChar w:fldCharType="separate"/>
      </w:r>
      <w:r>
        <w:fldChar w:fldCharType="begin"/>
      </w:r>
      <w:r>
        <w:instrText xml:space="preserve"> HYPERLINK \l "_Toc157554958" </w:instrText>
      </w:r>
      <w:r>
        <w:fldChar w:fldCharType="separate"/>
      </w:r>
      <w:r>
        <w:rPr>
          <w:rStyle w:val="24"/>
          <w:rFonts w:ascii="方正小标宋_GBK" w:eastAsia="方正小标宋_GBK"/>
          <w:color w:val="000000" w:themeColor="text1"/>
          <w14:textFill>
            <w14:solidFill>
              <w14:schemeClr w14:val="tx1"/>
            </w14:solidFill>
          </w14:textFill>
        </w:rPr>
        <w:t>建设项目环境影响报告表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"_Toc157554959" </w:instrText>
      </w:r>
      <w:r>
        <w:fldChar w:fldCharType="separate"/>
      </w:r>
      <w:r>
        <w:rPr>
          <w:rStyle w:val="24"/>
          <w:rFonts w:ascii="黑体" w:hAnsi="黑体" w:eastAsia="黑体"/>
          <w:color w:val="000000" w:themeColor="text1"/>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"_Toc157554960" </w:instrText>
      </w:r>
      <w:r>
        <w:fldChar w:fldCharType="separate"/>
      </w:r>
      <w:r>
        <w:rPr>
          <w:rStyle w:val="24"/>
          <w:rFonts w:ascii="黑体" w:hAnsi="黑体" w:eastAsia="黑体"/>
          <w:color w:val="000000" w:themeColor="text1"/>
          <w14:textFill>
            <w14:solidFill>
              <w14:schemeClr w14:val="tx1"/>
            </w14:solidFill>
          </w14:textFill>
        </w:rPr>
        <w:t>二、建设内容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"_Toc157554961" </w:instrText>
      </w:r>
      <w:r>
        <w:fldChar w:fldCharType="separate"/>
      </w:r>
      <w:r>
        <w:rPr>
          <w:rStyle w:val="24"/>
          <w:rFonts w:ascii="黑体" w:hAnsi="黑体" w:eastAsia="黑体"/>
          <w:color w:val="000000" w:themeColor="text1"/>
          <w14:textFill>
            <w14:solidFill>
              <w14:schemeClr w14:val="tx1"/>
            </w14:solidFill>
          </w14:textFill>
        </w:rPr>
        <w:t>三、生态环境现状、保护目标及评价标准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"_Toc157554962" </w:instrText>
      </w:r>
      <w:r>
        <w:fldChar w:fldCharType="separate"/>
      </w:r>
      <w:r>
        <w:rPr>
          <w:rStyle w:val="24"/>
          <w:rFonts w:ascii="黑体" w:hAnsi="黑体" w:eastAsia="黑体"/>
          <w:color w:val="000000" w:themeColor="text1"/>
          <w14:textFill>
            <w14:solidFill>
              <w14:schemeClr w14:val="tx1"/>
            </w14:solidFill>
          </w14:textFill>
        </w:rPr>
        <w:t>四、生态环境影响分析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"_Toc157554963" </w:instrText>
      </w:r>
      <w:r>
        <w:fldChar w:fldCharType="separate"/>
      </w:r>
      <w:r>
        <w:rPr>
          <w:rStyle w:val="24"/>
          <w:rFonts w:ascii="黑体" w:hAnsi="黑体" w:eastAsia="黑体"/>
          <w:color w:val="000000" w:themeColor="text1"/>
          <w14:textFill>
            <w14:solidFill>
              <w14:schemeClr w14:val="tx1"/>
            </w14:solidFill>
          </w14:textFill>
        </w:rPr>
        <w:t>五、主要生态环境保护措施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"_Toc157554964" </w:instrText>
      </w:r>
      <w:r>
        <w:fldChar w:fldCharType="separate"/>
      </w:r>
      <w:r>
        <w:rPr>
          <w:rStyle w:val="24"/>
          <w:rFonts w:ascii="黑体" w:hAnsi="黑体" w:eastAsia="黑体"/>
          <w:color w:val="000000" w:themeColor="text1"/>
          <w14:textFill>
            <w14:solidFill>
              <w14:schemeClr w14:val="tx1"/>
            </w14:solidFill>
          </w14:textFill>
        </w:rPr>
        <w:t>六、生态环境保护措施监督检查清单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ind w:firstLine="132"/>
        <w:rPr>
          <w:rFonts w:asciiTheme="minorHAnsi" w:hAnsiTheme="minorHAnsi" w:eastAsiaTheme="minorEastAsia"/>
          <w:color w:val="000000" w:themeColor="text1"/>
          <w:sz w:val="21"/>
          <w14:textFill>
            <w14:solidFill>
              <w14:schemeClr w14:val="tx1"/>
            </w14:solidFill>
          </w14:textFill>
          <w14:ligatures w14:val="standardContextual"/>
        </w:rPr>
      </w:pPr>
      <w:r>
        <w:fldChar w:fldCharType="begin"/>
      </w:r>
      <w:r>
        <w:instrText xml:space="preserve"> HYPERLINK \l "_Toc157554965" </w:instrText>
      </w:r>
      <w:r>
        <w:fldChar w:fldCharType="separate"/>
      </w:r>
      <w:r>
        <w:rPr>
          <w:rStyle w:val="24"/>
          <w:rFonts w:ascii="黑体" w:hAnsi="黑体" w:eastAsia="黑体"/>
          <w:color w:val="000000" w:themeColor="text1"/>
          <w14:textFill>
            <w14:solidFill>
              <w14:schemeClr w14:val="tx1"/>
            </w14:solidFill>
          </w14:textFill>
        </w:rPr>
        <w:t>七、总结论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_Toc157554965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ind w:firstLine="0" w:firstLineChars="0"/>
        <w:jc w:val="left"/>
        <w:rPr>
          <w:color w:val="000000" w:themeColor="text1"/>
          <w:sz w:val="21"/>
          <w:szCs w:val="21"/>
          <w14:textFill>
            <w14:solidFill>
              <w14:schemeClr w14:val="tx1"/>
            </w14:solidFill>
          </w14:textFill>
        </w:rPr>
      </w:pPr>
      <w:r>
        <w:rPr>
          <w:color w:val="000000" w:themeColor="text1"/>
          <w:sz w:val="28"/>
          <w:szCs w:val="28"/>
          <w14:textFill>
            <w14:solidFill>
              <w14:schemeClr w14:val="tx1"/>
            </w14:solidFill>
          </w14:textFill>
        </w:rPr>
        <w:fldChar w:fldCharType="end"/>
      </w:r>
      <w:r>
        <w:rPr>
          <w:rFonts w:hint="eastAsia"/>
          <w:color w:val="000000" w:themeColor="text1"/>
          <w:sz w:val="21"/>
          <w:szCs w:val="21"/>
          <w14:textFill>
            <w14:solidFill>
              <w14:schemeClr w14:val="tx1"/>
            </w14:solidFill>
          </w14:textFill>
        </w:rPr>
        <w:t>专题：</w:t>
      </w:r>
    </w:p>
    <w:p>
      <w:pPr>
        <w:spacing w:line="240" w:lineRule="auto"/>
        <w:ind w:firstLine="42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生态环境影响评价专题</w:t>
      </w:r>
    </w:p>
    <w:p>
      <w:pPr>
        <w:spacing w:line="240" w:lineRule="auto"/>
        <w:ind w:firstLine="42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电磁环境影响评价专题</w:t>
      </w:r>
    </w:p>
    <w:p>
      <w:pPr>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附件：</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委托书</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附件2 云南省发展和改革委员会关于曲靖市待补风电场二期项目核准的批复</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附件3 曲靖市待补二期风电场二期用地预审与选址意见书</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附件4 发改局选址意见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附件5 黑颈鹤保护区选址意见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附件6 地震局选址意见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附件7 自然资源局选址意见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附件8 生态环境局选址意见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附件9 水务局选址意见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附件10 武装部选址意见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附件11 林业和草原局选址意见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弃渣综合利用的证明</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 曲靖市待补风电场二期项目环境质量现状监测报告</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附件14 5.5MW风机噪音特性说明</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MW风机噪音特性说明</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一期环评批复</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附件17 黑颈鹤调查报告</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附件18 类比220kV升压站监测报告</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防火通道立项文件</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附件2</w:t>
      </w:r>
      <w:r>
        <w:rPr>
          <w:color w:val="000000" w:themeColor="text1"/>
          <w14:textFill>
            <w14:solidFill>
              <w14:schemeClr w14:val="tx1"/>
            </w14:solidFill>
          </w14:textFill>
        </w:rPr>
        <w:t xml:space="preserve">0 </w:t>
      </w:r>
      <w:r>
        <w:rPr>
          <w:rFonts w:hint="eastAsia"/>
          <w:color w:val="000000" w:themeColor="text1"/>
          <w14:textFill>
            <w14:solidFill>
              <w14:schemeClr w14:val="tx1"/>
            </w14:solidFill>
          </w14:textFill>
        </w:rPr>
        <w:t>野马林场意见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附件2</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承诺书</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附件2</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专家组意见</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附件2</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修改清单</w:t>
      </w:r>
    </w:p>
    <w:p>
      <w:pPr>
        <w:pStyle w:val="29"/>
        <w:ind w:firstLine="420"/>
        <w:jc w:val="left"/>
        <w:rPr>
          <w:color w:val="000000" w:themeColor="text1"/>
          <w14:textFill>
            <w14:solidFill>
              <w14:schemeClr w14:val="tx1"/>
            </w14:solidFill>
          </w14:textFill>
        </w:rPr>
      </w:pPr>
    </w:p>
    <w:p>
      <w:pPr>
        <w:pStyle w:val="29"/>
        <w:ind w:firstLine="420"/>
        <w:jc w:val="left"/>
        <w:rPr>
          <w:color w:val="000000" w:themeColor="text1"/>
          <w14:textFill>
            <w14:solidFill>
              <w14:schemeClr w14:val="tx1"/>
            </w14:solidFill>
          </w14:textFill>
        </w:rPr>
      </w:pPr>
    </w:p>
    <w:p>
      <w:pPr>
        <w:ind w:firstLine="174" w:firstLineChars="83"/>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附图：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w:t>
      </w:r>
      <w:r>
        <w:rPr>
          <w:color w:val="000000" w:themeColor="text1"/>
          <w14:textFill>
            <w14:solidFill>
              <w14:schemeClr w14:val="tx1"/>
            </w14:solidFill>
          </w14:textFill>
        </w:rPr>
        <w:t xml:space="preserve"> 项目</w:t>
      </w:r>
      <w:r>
        <w:rPr>
          <w:rFonts w:hint="eastAsia"/>
          <w:color w:val="000000" w:themeColor="text1"/>
          <w14:textFill>
            <w14:solidFill>
              <w14:schemeClr w14:val="tx1"/>
            </w14:solidFill>
          </w14:textFill>
        </w:rPr>
        <w:t>地理位置图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项目区水系及地表水监测断面图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项目平面布置图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土地利用现状图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植被分布图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与驾车自然保护区位置关系</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与毛家村水库饮用水水源保护区位置关系</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与黑颈鹤活动区位置关系</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附图9 生态环境监测布点图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附图10 主要生态环境保护措施平面布置示意图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附图11 基于生态模拟的白腹锦鸡适宜生境分布图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附图12 基于生态模拟的普通鵟、松雀鹰、红隼适宜生境分布图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附图13 评价区植被覆盖度分布图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附图14 评价区生态系统分布图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附图15 弃渣场环保措施布置图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附图16 陡坡型风机平台环保措施布置图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附图17 山包型风机平台环保措施布置图</w:t>
      </w:r>
    </w:p>
    <w:p>
      <w:pPr>
        <w:pStyle w:val="29"/>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附图18 缓坡型风机平台环保措施布置图</w:t>
      </w:r>
    </w:p>
    <w:p>
      <w:pPr>
        <w:spacing w:line="240" w:lineRule="auto"/>
        <w:ind w:firstLine="0" w:firstLineChars="0"/>
        <w:jc w:val="center"/>
        <w:rPr>
          <w:rFonts w:ascii="楷体_GB2312" w:eastAsia="楷体_GB2312"/>
          <w:color w:val="000000" w:themeColor="text1"/>
          <w:sz w:val="36"/>
          <w:szCs w:val="36"/>
          <w14:textFill>
            <w14:solidFill>
              <w14:schemeClr w14:val="tx1"/>
            </w14:solidFill>
          </w14:textFill>
        </w:rPr>
        <w:sectPr>
          <w:pgSz w:w="11906" w:h="16838"/>
          <w:pgMar w:top="1440" w:right="1531" w:bottom="1440" w:left="1531" w:header="851" w:footer="1077" w:gutter="0"/>
          <w:cols w:space="425" w:num="1"/>
          <w:docGrid w:type="lines" w:linePitch="312" w:charSpace="0"/>
        </w:sectPr>
      </w:pPr>
    </w:p>
    <w:p>
      <w:pPr>
        <w:ind w:firstLine="0" w:firstLineChars="0"/>
        <w:jc w:val="center"/>
        <w:outlineLvl w:val="0"/>
        <w:rPr>
          <w:rFonts w:ascii="黑体" w:hAnsi="黑体" w:eastAsia="黑体"/>
          <w:color w:val="000000" w:themeColor="text1"/>
          <w:sz w:val="30"/>
          <w:szCs w:val="30"/>
          <w14:textFill>
            <w14:solidFill>
              <w14:schemeClr w14:val="tx1"/>
            </w14:solidFill>
          </w14:textFill>
        </w:rPr>
      </w:pPr>
      <w:bookmarkStart w:id="11" w:name="_Toc157554959"/>
      <w:bookmarkStart w:id="12" w:name="_Toc88744727"/>
      <w:r>
        <w:rPr>
          <w:rFonts w:hint="eastAsia" w:ascii="黑体" w:hAnsi="黑体" w:eastAsia="黑体"/>
          <w:color w:val="000000" w:themeColor="text1"/>
          <w:sz w:val="30"/>
          <w:szCs w:val="30"/>
          <w14:textFill>
            <w14:solidFill>
              <w14:schemeClr w14:val="tx1"/>
            </w14:solidFill>
          </w14:textFill>
        </w:rPr>
        <w:t>一、建设项目基本情况</w:t>
      </w:r>
      <w:bookmarkEnd w:id="11"/>
      <w:bookmarkEnd w:id="12"/>
    </w:p>
    <w:tbl>
      <w:tblPr>
        <w:tblStyle w:val="21"/>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763"/>
        <w:gridCol w:w="2209"/>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建设项目</w:t>
            </w:r>
          </w:p>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7902" w:type="dxa"/>
            <w:gridSpan w:val="3"/>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曲靖市待补风电场二期项目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项目代码</w:t>
            </w:r>
          </w:p>
        </w:tc>
        <w:tc>
          <w:tcPr>
            <w:tcW w:w="7902" w:type="dxa"/>
            <w:gridSpan w:val="3"/>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2107-530000-04-01-304242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建设单位联系人</w:t>
            </w:r>
          </w:p>
        </w:tc>
        <w:tc>
          <w:tcPr>
            <w:tcW w:w="276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李尤江</w:t>
            </w:r>
          </w:p>
        </w:tc>
        <w:tc>
          <w:tcPr>
            <w:tcW w:w="2209"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联系方式</w:t>
            </w:r>
          </w:p>
        </w:tc>
        <w:tc>
          <w:tcPr>
            <w:tcW w:w="293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18213775074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建设地点</w:t>
            </w:r>
          </w:p>
        </w:tc>
        <w:tc>
          <w:tcPr>
            <w:tcW w:w="7902" w:type="dxa"/>
            <w:gridSpan w:val="3"/>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云南</w:t>
            </w:r>
            <w:r>
              <w:rPr>
                <w:rFonts w:hint="eastAsia" w:ascii="宋体" w:hAnsi="宋体" w:cs="宋体"/>
                <w:color w:val="000000" w:themeColor="text1"/>
                <w:sz w:val="21"/>
                <w:szCs w:val="21"/>
                <w14:textFill>
                  <w14:solidFill>
                    <w14:schemeClr w14:val="tx1"/>
                  </w14:solidFill>
                </w14:textFill>
              </w:rPr>
              <w:t>省（自治区）</w:t>
            </w:r>
            <w:r>
              <w:rPr>
                <w:rFonts w:hint="eastAsia" w:ascii="宋体" w:hAnsi="宋体" w:cs="宋体"/>
                <w:color w:val="000000" w:themeColor="text1"/>
                <w:sz w:val="21"/>
                <w:szCs w:val="21"/>
                <w:u w:val="single"/>
                <w14:textFill>
                  <w14:solidFill>
                    <w14:schemeClr w14:val="tx1"/>
                  </w14:solidFill>
                </w14:textFill>
              </w:rPr>
              <w:t>曲靖</w:t>
            </w:r>
            <w:r>
              <w:rPr>
                <w:rFonts w:hint="eastAsia" w:ascii="宋体" w:hAnsi="宋体" w:cs="宋体"/>
                <w:color w:val="000000" w:themeColor="text1"/>
                <w:sz w:val="21"/>
                <w:szCs w:val="21"/>
                <w14:textFill>
                  <w14:solidFill>
                    <w14:schemeClr w14:val="tx1"/>
                  </w14:solidFill>
                </w14:textFill>
              </w:rPr>
              <w:t>市</w:t>
            </w:r>
            <w:r>
              <w:rPr>
                <w:rFonts w:hint="eastAsia" w:ascii="宋体" w:hAnsi="宋体" w:cs="宋体"/>
                <w:color w:val="000000" w:themeColor="text1"/>
                <w:sz w:val="21"/>
                <w:szCs w:val="21"/>
                <w:u w:val="single"/>
                <w14:textFill>
                  <w14:solidFill>
                    <w14:schemeClr w14:val="tx1"/>
                  </w14:solidFill>
                </w14:textFill>
              </w:rPr>
              <w:t>会泽</w:t>
            </w:r>
            <w:r>
              <w:rPr>
                <w:rFonts w:hint="eastAsia" w:ascii="宋体" w:hAnsi="宋体" w:cs="宋体"/>
                <w:color w:val="000000" w:themeColor="text1"/>
                <w:sz w:val="21"/>
                <w:szCs w:val="21"/>
                <w14:textFill>
                  <w14:solidFill>
                    <w14:schemeClr w14:val="tx1"/>
                  </w14:solidFill>
                </w14:textFill>
              </w:rPr>
              <w:t>县（区）</w:t>
            </w:r>
            <w:r>
              <w:rPr>
                <w:rFonts w:hint="eastAsia" w:ascii="宋体" w:hAnsi="宋体" w:cs="宋体"/>
                <w:color w:val="000000" w:themeColor="text1"/>
                <w:sz w:val="21"/>
                <w:szCs w:val="21"/>
                <w:u w:val="single"/>
                <w14:textFill>
                  <w14:solidFill>
                    <w14:schemeClr w14:val="tx1"/>
                  </w14:solidFill>
                </w14:textFill>
              </w:rPr>
              <w:t>待补镇、驾车乡、上村乡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地理坐标</w:t>
            </w:r>
          </w:p>
        </w:tc>
        <w:tc>
          <w:tcPr>
            <w:tcW w:w="7902" w:type="dxa"/>
            <w:gridSpan w:val="3"/>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东经103°22′1.024″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东经103°36′58.015″</w:t>
            </w:r>
          </w:p>
          <w:p>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北纬26°09′17.084″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北纬26°26′52.003″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建设项目</w:t>
            </w:r>
          </w:p>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行业类别</w:t>
            </w:r>
          </w:p>
        </w:tc>
        <w:tc>
          <w:tcPr>
            <w:tcW w:w="2763" w:type="dxa"/>
            <w:vAlign w:val="center"/>
          </w:tcPr>
          <w:p>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四十一、电力、热力生产和供应业-</w:t>
            </w:r>
            <w:r>
              <w:rPr>
                <w:rFonts w:cs="Times New Roman"/>
                <w:color w:val="000000" w:themeColor="text1"/>
                <w:sz w:val="21"/>
                <w:szCs w:val="21"/>
                <w14:textFill>
                  <w14:solidFill>
                    <w14:schemeClr w14:val="tx1"/>
                  </w14:solidFill>
                </w14:textFill>
              </w:rPr>
              <w:t>90.</w:t>
            </w:r>
            <w:r>
              <w:rPr>
                <w:rFonts w:hint="eastAsia" w:cs="Times New Roman"/>
                <w:color w:val="000000" w:themeColor="text1"/>
                <w:sz w:val="21"/>
                <w:szCs w:val="21"/>
                <w14:textFill>
                  <w14:solidFill>
                    <w14:schemeClr w14:val="tx1"/>
                  </w14:solidFill>
                </w14:textFill>
              </w:rPr>
              <w:t>陆上风力发电</w:t>
            </w:r>
          </w:p>
        </w:tc>
        <w:tc>
          <w:tcPr>
            <w:tcW w:w="2209"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用地（用海）面积（m</w:t>
            </w:r>
            <w:r>
              <w:rPr>
                <w:rFonts w:cs="Times New Roman"/>
                <w:color w:val="000000" w:themeColor="text1"/>
                <w:sz w:val="21"/>
                <w:szCs w:val="21"/>
                <w:vertAlign w:val="superscript"/>
                <w14:textFill>
                  <w14:solidFill>
                    <w14:schemeClr w14:val="tx1"/>
                  </w14:solidFill>
                </w14:textFill>
              </w:rPr>
              <w:t>2</w:t>
            </w:r>
            <w:r>
              <w:rPr>
                <w:rFonts w:cs="Times New Roman"/>
                <w:color w:val="000000" w:themeColor="text1"/>
                <w:sz w:val="21"/>
                <w:szCs w:val="21"/>
                <w14:textFill>
                  <w14:solidFill>
                    <w14:schemeClr w14:val="tx1"/>
                  </w14:solidFill>
                </w14:textFill>
              </w:rPr>
              <w:t>）/长度（km）</w:t>
            </w:r>
          </w:p>
        </w:tc>
        <w:tc>
          <w:tcPr>
            <w:tcW w:w="293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382777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建设性质</w:t>
            </w:r>
          </w:p>
        </w:tc>
        <w:tc>
          <w:tcPr>
            <w:tcW w:w="2763" w:type="dxa"/>
            <w:vAlign w:val="center"/>
          </w:tcPr>
          <w:p>
            <w:pPr>
              <w:spacing w:line="240" w:lineRule="auto"/>
              <w:ind w:firstLine="0" w:firstLineChars="0"/>
              <w:rPr>
                <w:rFonts w:ascii="宋体" w:hAnsi="宋体"/>
                <w:color w:val="000000" w:themeColor="text1"/>
                <w:sz w:val="21"/>
                <w:szCs w:val="21"/>
                <w14:textFill>
                  <w14:solidFill>
                    <w14:schemeClr w14:val="tx1"/>
                  </w14:solidFill>
                </w14:textFill>
              </w:rPr>
            </w:pPr>
            <w:r>
              <w:rPr>
                <w:rFonts w:ascii="Segoe UI Emoji" w:hAnsi="Segoe UI Emoji" w:cs="Segoe UI Emoji"/>
                <w:color w:val="000000" w:themeColor="text1"/>
                <w:sz w:val="15"/>
                <w:szCs w:val="15"/>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新建（迁建）</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口改建</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口扩建</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口技术改造</w:t>
            </w:r>
          </w:p>
        </w:tc>
        <w:tc>
          <w:tcPr>
            <w:tcW w:w="2209"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建设项目</w:t>
            </w:r>
          </w:p>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申报情形</w:t>
            </w:r>
          </w:p>
        </w:tc>
        <w:tc>
          <w:tcPr>
            <w:tcW w:w="2930" w:type="dxa"/>
            <w:vAlign w:val="center"/>
          </w:tcPr>
          <w:p>
            <w:pPr>
              <w:spacing w:line="240" w:lineRule="auto"/>
              <w:ind w:firstLine="0" w:firstLineChars="0"/>
              <w:rPr>
                <w:rFonts w:ascii="宋体" w:hAnsi="宋体"/>
                <w:color w:val="000000" w:themeColor="text1"/>
                <w:sz w:val="21"/>
                <w:szCs w:val="21"/>
                <w14:textFill>
                  <w14:solidFill>
                    <w14:schemeClr w14:val="tx1"/>
                  </w14:solidFill>
                </w14:textFill>
              </w:rPr>
            </w:pPr>
            <w:r>
              <w:rPr>
                <w:rFonts w:ascii="Segoe UI Emoji" w:hAnsi="Segoe UI Emoji" w:cs="Segoe UI Emoji"/>
                <w:color w:val="000000" w:themeColor="text1"/>
                <w:sz w:val="15"/>
                <w:szCs w:val="15"/>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首次申报项目</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口不予批准后再次申报项目</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口超五年重新审核项目</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项目审批（核准/备案）部门（选填）</w:t>
            </w:r>
          </w:p>
        </w:tc>
        <w:tc>
          <w:tcPr>
            <w:tcW w:w="276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云南省发展和改革委员会</w:t>
            </w:r>
          </w:p>
        </w:tc>
        <w:tc>
          <w:tcPr>
            <w:tcW w:w="2209"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项目审批（核准/备案）文号（选填）</w:t>
            </w:r>
          </w:p>
        </w:tc>
        <w:tc>
          <w:tcPr>
            <w:tcW w:w="293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云发改能源〔202</w:t>
            </w:r>
            <w:r>
              <w:rPr>
                <w:rFonts w:cs="Times New Roman"/>
                <w:color w:val="000000" w:themeColor="text1"/>
                <w:sz w:val="21"/>
                <w:szCs w:val="21"/>
                <w14:textFill>
                  <w14:solidFill>
                    <w14:schemeClr w14:val="tx1"/>
                  </w14:solidFill>
                </w14:textFill>
              </w:rPr>
              <w:t>2</w:t>
            </w:r>
            <w:r>
              <w:rPr>
                <w:rFonts w:hint="eastAsia" w:cs="Times New Roman"/>
                <w:color w:val="000000" w:themeColor="text1"/>
                <w:sz w:val="21"/>
                <w:szCs w:val="21"/>
                <w14:textFill>
                  <w14:solidFill>
                    <w14:schemeClr w14:val="tx1"/>
                  </w14:solidFill>
                </w14:textFill>
              </w:rPr>
              <w:t>〕282号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总投资（万元）</w:t>
            </w:r>
          </w:p>
        </w:tc>
        <w:tc>
          <w:tcPr>
            <w:tcW w:w="2763" w:type="dxa"/>
            <w:vAlign w:val="center"/>
          </w:tcPr>
          <w:p>
            <w:pPr>
              <w:pStyle w:val="2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88061.18</w:t>
            </w:r>
          </w:p>
        </w:tc>
        <w:tc>
          <w:tcPr>
            <w:tcW w:w="2209"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环保投资（万元）</w:t>
            </w:r>
          </w:p>
        </w:tc>
        <w:tc>
          <w:tcPr>
            <w:tcW w:w="293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1763.99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58" w:type="dxa"/>
            <w:vAlign w:val="center"/>
          </w:tcPr>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环保投资占比（</w:t>
            </w:r>
            <w:r>
              <w:rPr>
                <w:rFonts w:cs="Times New Roman"/>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p>
        </w:tc>
        <w:tc>
          <w:tcPr>
            <w:tcW w:w="2763"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209"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施工工期</w:t>
            </w:r>
          </w:p>
        </w:tc>
        <w:tc>
          <w:tcPr>
            <w:tcW w:w="2930"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是否开工建设</w:t>
            </w:r>
          </w:p>
        </w:tc>
        <w:tc>
          <w:tcPr>
            <w:tcW w:w="7902" w:type="dxa"/>
            <w:gridSpan w:val="3"/>
            <w:vAlign w:val="center"/>
          </w:tcPr>
          <w:p>
            <w:pPr>
              <w:spacing w:line="240" w:lineRule="auto"/>
              <w:ind w:firstLine="0" w:firstLineChars="0"/>
              <w:rPr>
                <w:rFonts w:ascii="宋体" w:hAnsi="宋体"/>
                <w:color w:val="000000" w:themeColor="text1"/>
                <w:sz w:val="21"/>
                <w:szCs w:val="21"/>
                <w14:textFill>
                  <w14:solidFill>
                    <w14:schemeClr w14:val="tx1"/>
                  </w14:solidFill>
                </w14:textFill>
              </w:rPr>
            </w:pPr>
            <w:r>
              <w:rPr>
                <w:rFonts w:ascii="Segoe UI Emoji" w:hAnsi="Segoe UI Emoji" w:cs="Segoe UI Emoji"/>
                <w:color w:val="000000" w:themeColor="text1"/>
                <w:sz w:val="15"/>
                <w:szCs w:val="15"/>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否</w:t>
            </w:r>
          </w:p>
          <w:p>
            <w:pPr>
              <w:spacing w:line="240" w:lineRule="auto"/>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口是：</w:t>
            </w:r>
            <w:r>
              <w:rPr>
                <w:rFonts w:hint="eastAsia" w:ascii="宋体" w:hAnsi="宋体"/>
                <w:color w:val="000000" w:themeColor="text1"/>
                <w:sz w:val="21"/>
                <w:szCs w:val="21"/>
                <w:u w:val="single"/>
                <w14:textFill>
                  <w14:solidFill>
                    <w14:schemeClr w14:val="tx1"/>
                  </w14:solidFill>
                </w14:textFill>
              </w:rPr>
              <w:t xml:space="preserve"> </w:t>
            </w:r>
            <w:r>
              <w:rPr>
                <w:rFonts w:ascii="宋体" w:hAnsi="宋体"/>
                <w:color w:val="000000" w:themeColor="text1"/>
                <w:sz w:val="21"/>
                <w:szCs w:val="21"/>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专项评价设置情况</w:t>
            </w:r>
          </w:p>
        </w:tc>
        <w:tc>
          <w:tcPr>
            <w:tcW w:w="7902" w:type="dxa"/>
            <w:gridSpan w:val="3"/>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项目专项评价判定如下。</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项目专项评价判定表</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2"/>
              <w:gridCol w:w="4519"/>
              <w:gridCol w:w="1347"/>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trPr>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专项评价类别</w:t>
                  </w:r>
                </w:p>
              </w:tc>
              <w:tc>
                <w:tcPr>
                  <w:tcW w:w="451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涉及项目类别</w:t>
                  </w:r>
                </w:p>
              </w:tc>
              <w:tc>
                <w:tcPr>
                  <w:tcW w:w="134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是否设置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trPr>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451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水力发电：引水式发电、涉及调峰发电的项目；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人工湖、人工湿地：全部；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水库：全部；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引水工程：全部（配套的管线工程等除外）；</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防洪除涝工程：包含水库的项目；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河湖整治：涉及清淤且底泥存在重金属污染的项目</w:t>
                  </w:r>
                </w:p>
              </w:tc>
              <w:tc>
                <w:tcPr>
                  <w:tcW w:w="134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项目为风力发电，不属于以上项目</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trPr>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451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陆地石油和天然气开采：全部；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地下水（含矿泉水）开采：全部；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水利、水电、交通等：含穿越可溶岩地层隧道的项目</w:t>
                  </w:r>
                </w:p>
              </w:tc>
              <w:tc>
                <w:tcPr>
                  <w:tcW w:w="134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项目为风力发电，不属于以上项目</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trPr>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tc>
              <w:tc>
                <w:tcPr>
                  <w:tcW w:w="451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涉及环境敏感区（不包括饮用水水源保护区，以居住、医疗卫生、文化教育、科研、行政办公为主要功能的区域，以及文物保护单位）的项目</w:t>
                  </w:r>
                </w:p>
              </w:tc>
              <w:tc>
                <w:tcPr>
                  <w:tcW w:w="134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项目评价范围内涵盖云南驾车华山松省级自然保护区</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大气</w:t>
                  </w:r>
                </w:p>
              </w:tc>
              <w:tc>
                <w:tcPr>
                  <w:tcW w:w="451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油气、液体化工码头：全部；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干散货（含煤炭、矿石）、件杂、多用途、通用码头：涉及粉尘、挥发性有机物排放的项目</w:t>
                  </w:r>
                </w:p>
              </w:tc>
              <w:tc>
                <w:tcPr>
                  <w:tcW w:w="134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项目为风力发电，不属于以上项目</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451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公路、铁路、机场等交通运输业涉及环境敏感区（以居住、医疗卫生、文化教育、科研、行政办公为主要功能的区域）的项目；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城市道路（不含维护，不含支路、人行天桥、人行地道）：全部</w:t>
                  </w:r>
                </w:p>
              </w:tc>
              <w:tc>
                <w:tcPr>
                  <w:tcW w:w="134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项目为风力发电，不属于以上项目</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451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石油和天然气开采：全部；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油气、液体化工码头：全部；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原油、成品油、天然气管线（不含城镇天然气管线、企业厂区内管线），危险化学品输送管线（不含企业厂区内管线）：全部</w:t>
                  </w:r>
                </w:p>
              </w:tc>
              <w:tc>
                <w:tcPr>
                  <w:tcW w:w="134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项目为风力发电，不属于以上项目</w:t>
                  </w:r>
                </w:p>
              </w:tc>
              <w:tc>
                <w:tcPr>
                  <w:tcW w:w="7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7656" w:type="dxa"/>
                  <w:gridSpan w:val="4"/>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输变电工程》（HJ24-2020）要求，项目设置了电磁环境影响专项评价。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规划情况</w:t>
            </w:r>
          </w:p>
        </w:tc>
        <w:tc>
          <w:tcPr>
            <w:tcW w:w="7902" w:type="dxa"/>
            <w:gridSpan w:val="3"/>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规划名称：《云南省在适宜地区适度开发利用新能源规划》。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审批机关：云南省人民政府。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审批文件名称及文号：《云南省发展和改革委员会 云南省能源局关于印发云南省在适宜地区适度开发利用新能源规划及配套文件的通知》（云能源水电〔2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153</w:t>
            </w:r>
            <w:r>
              <w:rPr>
                <w:rFonts w:hint="eastAsia"/>
                <w:color w:val="000000" w:themeColor="text1"/>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规划环境影响评价情况</w:t>
            </w:r>
          </w:p>
        </w:tc>
        <w:tc>
          <w:tcPr>
            <w:tcW w:w="7902" w:type="dxa"/>
            <w:gridSpan w:val="3"/>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文件名称：《云南省在适宜地区适度开发利用新能源规划环境影响篇章》。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召集审查机关：云南省人民政府投资项目评审中心。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审查文件名称及文号：云南省人民政府投资项目评审中心关于《云南省在适宜地区适度开发利用新能规划（2</w:t>
            </w:r>
            <w:r>
              <w:rPr>
                <w:color w:val="000000" w:themeColor="text1"/>
                <w14:textFill>
                  <w14:solidFill>
                    <w14:schemeClr w14:val="tx1"/>
                  </w14:solidFill>
                </w14:textFill>
              </w:rPr>
              <w:t>020~2021</w:t>
            </w:r>
            <w:r>
              <w:rPr>
                <w:rFonts w:hint="eastAsia"/>
                <w:color w:val="000000" w:themeColor="text1"/>
                <w14:textFill>
                  <w14:solidFill>
                    <w14:schemeClr w14:val="tx1"/>
                  </w14:solidFill>
                </w14:textFill>
              </w:rPr>
              <w:t>）》的评估意见（云投审发〔2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w:t>
            </w:r>
            <w:r>
              <w:rPr>
                <w:rFonts w:hint="eastAsia"/>
                <w:color w:val="000000" w:themeColor="text1"/>
                <w14:textFill>
                  <w14:solidFill>
                    <w14:schemeClr w14:val="tx1"/>
                  </w14:solidFill>
                </w14:textFill>
              </w:rPr>
              <w:t>号）。</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规划及规划环境影响评价符合性分析</w:t>
            </w:r>
          </w:p>
        </w:tc>
        <w:tc>
          <w:tcPr>
            <w:tcW w:w="7902" w:type="dxa"/>
            <w:gridSpan w:val="3"/>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（1）与《云南省在适宜地区适度开发利用新能源规划》的符合性分析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在适宜地区适度开发利用新能源规划》，在适宜地区适度开发利用新能源规划区域包括昆明、曲靖、昭通、红河、文山、楚雄6个州（市）的部分区域。区域内干旱少雨、土地贫瘠、石漠化土地面积占全省50%以上、环境敏感因素相对较低，同时区域内现役水电规模大、贫困人口基数大、太阳能、风能资源丰富、“十四五”新增用电量大，是我省适宜发展风电、光伏的重要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在我省东部及东南部石漠化、喀斯特地形地貌为主的区域，规划布局以近区消纳为目标的风电项目，风电规划装机目标为800万千瓦。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规划区资源分布、环境敏感因素及项目建设条件，本规划区规划建设新能源基地31个、总装机容量1090万千瓦。全部规划项目年平均上网电量约252亿千瓦时，枯水期年平均上网电量约171亿千瓦时。其中风电基地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个，总装机规模7</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万千瓦。风电</w:t>
            </w:r>
            <w:r>
              <w:rPr>
                <w:color w:val="000000" w:themeColor="text1"/>
                <w14:textFill>
                  <w14:solidFill>
                    <w14:schemeClr w14:val="tx1"/>
                  </w14:solidFill>
                </w14:textFill>
              </w:rPr>
              <w:t>规划项目见下表。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表1.1</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风电规划项目</w:t>
            </w:r>
            <w:r>
              <w:rPr>
                <w:color w:val="000000" w:themeColor="text1"/>
                <w14:textFill>
                  <w14:solidFill>
                    <w14:schemeClr w14:val="tx1"/>
                  </w14:solidFill>
                </w14:textFill>
              </w:rPr>
              <w:t>一览表</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2210"/>
              <w:gridCol w:w="2127"/>
              <w:gridCol w:w="24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名称</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容量（万</w:t>
                  </w:r>
                  <w:r>
                    <w:rPr>
                      <w:color w:val="000000" w:themeColor="text1"/>
                      <w14:textFill>
                        <w14:solidFill>
                          <w14:schemeClr w14:val="tx1"/>
                        </w14:solidFill>
                      </w14:textFill>
                    </w:rPr>
                    <w:t>kW</w:t>
                  </w:r>
                  <w:r>
                    <w:rPr>
                      <w:rFonts w:hint="eastAsia"/>
                      <w:color w:val="000000" w:themeColor="text1"/>
                      <w14:textFill>
                        <w14:solidFill>
                          <w14:schemeClr w14:val="tx1"/>
                        </w14:solidFill>
                      </w14:textFill>
                    </w:rPr>
                    <w:t>）</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地理</w:t>
                  </w:r>
                  <w:r>
                    <w:rPr>
                      <w:color w:val="000000" w:themeColor="text1"/>
                      <w14:textFill>
                        <w14:solidFill>
                          <w14:schemeClr w14:val="tx1"/>
                        </w14:solidFill>
                      </w14:textFill>
                    </w:rPr>
                    <w:t>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金钟风电场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2485"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待补</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2485"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富源西</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富源</w:t>
                  </w:r>
                  <w:r>
                    <w:rPr>
                      <w:color w:val="000000" w:themeColor="text1"/>
                      <w14:textFill>
                        <w14:solidFill>
                          <w14:schemeClr w14:val="tx1"/>
                        </w14:solidFill>
                      </w14:textFill>
                    </w:rPr>
                    <w:t>、沾益、麒麟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富源北</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富源</w:t>
                  </w:r>
                  <w:r>
                    <w:rPr>
                      <w:color w:val="000000" w:themeColor="text1"/>
                      <w14:textFill>
                        <w14:solidFill>
                          <w14:schemeClr w14:val="tx1"/>
                        </w14:solidFill>
                      </w14:textFill>
                    </w:rPr>
                    <w:t>、宣威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文兴风电场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2485"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宣威市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西泽风电场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2485"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罗平西</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罗平</w:t>
                  </w:r>
                  <w:r>
                    <w:rPr>
                      <w:color w:val="000000" w:themeColor="text1"/>
                      <w14:textFill>
                        <w14:solidFill>
                          <w14:schemeClr w14:val="tx1"/>
                        </w14:solidFill>
                      </w14:textFill>
                    </w:rPr>
                    <w:t>、麒麟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陆良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通泉</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马龙区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丹凤</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师宗县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盘江</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沾益区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弥勒</w:t>
                  </w:r>
                  <w:r>
                    <w:rPr>
                      <w:color w:val="000000" w:themeColor="text1"/>
                      <w14:textFill>
                        <w14:solidFill>
                          <w14:schemeClr w14:val="tx1"/>
                        </w14:solidFill>
                      </w14:textFill>
                    </w:rPr>
                    <w:t>西风电场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弥勒</w:t>
                  </w:r>
                  <w:r>
                    <w:rPr>
                      <w:color w:val="000000" w:themeColor="text1"/>
                      <w14:textFill>
                        <w14:solidFill>
                          <w14:schemeClr w14:val="tx1"/>
                        </w14:solidFill>
                      </w14:textFill>
                    </w:rPr>
                    <w:t>、开</w:t>
                  </w:r>
                  <w:r>
                    <w:rPr>
                      <w:rFonts w:hint="eastAsia"/>
                      <w:color w:val="000000" w:themeColor="text1"/>
                      <w14:textFill>
                        <w14:solidFill>
                          <w14:schemeClr w14:val="tx1"/>
                        </w14:solidFill>
                      </w14:textFill>
                    </w:rPr>
                    <w:t>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永宁</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泸西</w:t>
                  </w:r>
                  <w:r>
                    <w:rPr>
                      <w:color w:val="000000" w:themeColor="text1"/>
                      <w14:textFill>
                        <w14:solidFill>
                          <w14:schemeClr w14:val="tx1"/>
                        </w14:solidFill>
                      </w14:textFill>
                    </w:rPr>
                    <w:t>、弥勒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仙人洞坡</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2485"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开远市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剑角</w:t>
                  </w:r>
                  <w:r>
                    <w:rPr>
                      <w:color w:val="000000" w:themeColor="text1"/>
                      <w14:textFill>
                        <w14:solidFill>
                          <w14:schemeClr w14:val="tx1"/>
                        </w14:solidFill>
                      </w14:textFill>
                    </w:rPr>
                    <w:t>峰风电场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485"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猴子山</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个旧市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锦屏</w:t>
                  </w:r>
                  <w:r>
                    <w:rPr>
                      <w:color w:val="000000" w:themeColor="text1"/>
                      <w14:textFill>
                        <w14:solidFill>
                          <w14:schemeClr w14:val="tx1"/>
                        </w14:solidFill>
                      </w14:textFill>
                    </w:rPr>
                    <w:t>西风电场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88</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丘北县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平坝</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文山</w:t>
                  </w:r>
                  <w:r>
                    <w:rPr>
                      <w:color w:val="000000" w:themeColor="text1"/>
                      <w14:textFill>
                        <w14:solidFill>
                          <w14:schemeClr w14:val="tx1"/>
                        </w14:solidFill>
                      </w14:textFill>
                    </w:rPr>
                    <w:t>、马关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天马山</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砚山</w:t>
                  </w:r>
                  <w:r>
                    <w:rPr>
                      <w:color w:val="000000" w:themeColor="text1"/>
                      <w14:textFill>
                        <w14:solidFill>
                          <w14:schemeClr w14:val="tx1"/>
                        </w14:solidFill>
                      </w14:textFill>
                    </w:rPr>
                    <w:t>、广南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阿用</w:t>
                  </w:r>
                  <w:r>
                    <w:rPr>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富宁县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2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大王</w:t>
                  </w:r>
                  <w:r>
                    <w:rPr>
                      <w:color w:val="000000" w:themeColor="text1"/>
                      <w14:textFill>
                        <w14:solidFill>
                          <w14:schemeClr w14:val="tx1"/>
                        </w14:solidFill>
                      </w14:textFill>
                    </w:rPr>
                    <w:t>岩</w:t>
                  </w:r>
                  <w:r>
                    <w:rPr>
                      <w:rFonts w:hint="eastAsia"/>
                      <w:color w:val="000000" w:themeColor="text1"/>
                      <w14:textFill>
                        <w14:solidFill>
                          <w14:schemeClr w14:val="tx1"/>
                        </w14:solidFill>
                      </w14:textFill>
                    </w:rPr>
                    <w:t>风电场</w:t>
                  </w:r>
                </w:p>
              </w:tc>
              <w:tc>
                <w:tcPr>
                  <w:tcW w:w="212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4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麻栗坡</w:t>
                  </w:r>
                  <w:r>
                    <w:rPr>
                      <w:color w:val="000000" w:themeColor="text1"/>
                      <w14:textFill>
                        <w14:solidFill>
                          <w14:schemeClr w14:val="tx1"/>
                        </w14:solidFill>
                      </w14:textFill>
                    </w:rPr>
                    <w:t>县</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根据《云南省发展和改革委员会云南省能源局关于印发云南省在适宜地区适度开发和利用新能源规划基地建设方案和实施计划的通知》（云发改产业〔2021〕399号），待补风电场分两期开发，一期</w:t>
            </w:r>
            <w:r>
              <w:rPr>
                <w:color w:val="000000" w:themeColor="text1"/>
                <w14:textFill>
                  <w14:solidFill>
                    <w14:schemeClr w14:val="tx1"/>
                  </w14:solidFill>
                </w14:textFill>
              </w:rPr>
              <w:t>188</w:t>
            </w:r>
            <w:r>
              <w:rPr>
                <w:rFonts w:hint="eastAsia"/>
                <w:color w:val="000000" w:themeColor="text1"/>
                <w14:textFill>
                  <w14:solidFill>
                    <w14:schemeClr w14:val="tx1"/>
                  </w14:solidFill>
                </w14:textFill>
              </w:rPr>
              <w:t>MW、二期</w:t>
            </w:r>
            <w:r>
              <w:rPr>
                <w:color w:val="000000" w:themeColor="text1"/>
                <w14:textFill>
                  <w14:solidFill>
                    <w14:schemeClr w14:val="tx1"/>
                  </w14:solidFill>
                </w14:textFill>
              </w:rPr>
              <w:t>182</w:t>
            </w:r>
            <w:r>
              <w:rPr>
                <w:rFonts w:hint="eastAsia"/>
                <w:color w:val="000000" w:themeColor="text1"/>
                <w14:textFill>
                  <w14:solidFill>
                    <w14:schemeClr w14:val="tx1"/>
                  </w14:solidFill>
                </w14:textFill>
              </w:rPr>
              <w:t>MW。目前一期项目已建设完成，尚未投入使用，拟建项目为规划中的待补风电场二期，项目与《云南省在适宜地区适度开发利用新能源规划》符合性分析见下表。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与《云南省在适宜地区适度开发利用新能源规划》符合性分析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17"/>
              <w:gridCol w:w="3678"/>
              <w:gridCol w:w="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规划要求</w:t>
                  </w:r>
                </w:p>
              </w:tc>
              <w:tc>
                <w:tcPr>
                  <w:tcW w:w="367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76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生态优先、绿色低碳。牢固树立绿色发展理念，坚持生态优先，实现环评一票否决制，确保规划项目建设和自然环境和谐统一。</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项目属于风力发电项目，属于绿色清洁能源，坚持了生态优先、绿色低碳的理念，实现了项目建设和自然环境和谐统一。</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科学规划、合理布局。以规划为引领，在适宜区域合理布局、适度发展，实现资源优化配置、合理利用。</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项目建设地点位于曲靖市会泽县境内，属于风电规划区域，实现了资源优化配置、合理利用。</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创新发展、统筹协调。鼓励采用先进技术，创新发展模式，充分发挥市场配置资源的决定性作用，统筹协调有关政策及区域内电源、电网，突出基地效益和规模效应。</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项目采用国内先进技术，统筹协调有关政策及区域内电源、电网，突出基地效益和规模效应。</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restart"/>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应符合生态环境保护政策。应避让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根据会泽黑颈鹤国家级自然保护区管护局出具的意见，项目选址不涉及会泽黑颈鹤国家级自然保护区。</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continue"/>
                </w:tcPr>
                <w:p>
                  <w:pPr>
                    <w:pStyle w:val="29"/>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根据驾车省级自然保护区管护局出具的意见，项目选址不在驾车省级自然保护区范围内。</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continue"/>
                </w:tcPr>
                <w:p>
                  <w:pPr>
                    <w:pStyle w:val="29"/>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根据会泽县自然资源局出具的意见，项目选址（永久占地及临时占地）未占用永久基本农田和生态保护红线。</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continue"/>
                </w:tcPr>
                <w:p>
                  <w:pPr>
                    <w:pStyle w:val="29"/>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根据现场调查，拟建项目选址不涉及风景名胜区、国家公园、文物古迹、湿地保护区。</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continue"/>
                </w:tcPr>
                <w:p>
                  <w:pPr>
                    <w:pStyle w:val="29"/>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根据曲靖市生态环境局会泽分局出具的选址意见，项目建设不涉及饮用水水源保护区及千吨万人饮用水保护区。</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continue"/>
                </w:tcPr>
                <w:p>
                  <w:pPr>
                    <w:pStyle w:val="29"/>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根据现场调查，拟建项目不涉及生物多样性保护区域、特殊生态环境及特有物种保护区域、民俗保护区。</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Merge w:val="continue"/>
                </w:tcPr>
                <w:p>
                  <w:pPr>
                    <w:pStyle w:val="29"/>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根据生态调查可知，拟建项目不涉及鸟类迁徙重要通道及其栖息地。</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836" w:hRule="atLeast"/>
              </w:trPr>
              <w:tc>
                <w:tcPr>
                  <w:tcW w:w="3217" w:type="dxa"/>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项目选址应符合国土用地政策。禁止占用基本农田，应避让坝区，应优先使用石漠化、荒漠化土地和未利用土地。</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拟建项目不占用基本农田，已优先使用未利用土地。</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21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项目选址应符合林业用地政策。风电项目应避让天然乔木林地、年降雨量400毫米以下区域的有林地、国家一级公益林地和国家二级公益林中的有林地。</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根据会泽县林业和草原局意见，项目选址不涉及天然乔木林地；会泽县年平均降雨量约为817.7毫米，项目不涉及年降雨量400毫米以下区域的有林地；不涉及国家一级公益林地和国家二级公益林。</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525" w:hRule="atLeast"/>
              </w:trPr>
              <w:tc>
                <w:tcPr>
                  <w:tcW w:w="3217" w:type="dxa"/>
                  <w:vMerge w:val="restart"/>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应符合国土空间规划、实现景观保护。应远离滇中城市群规划的主体城市、一般城市和新兴城镇，远离城市及城镇的面山区域。应远离金沙江及长江一级支流岸线保护范围。风电项目风机布置位置应避让高速公路、高速铁路的可视区域。</w:t>
                  </w: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根据会泽县自然资源局出具的意见，项目选址不涉及城镇开发边界，项目永久占地及临时占地未占用基本农田和生态保护红线。</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0" w:hRule="atLeast"/>
              </w:trPr>
              <w:tc>
                <w:tcPr>
                  <w:tcW w:w="3217" w:type="dxa"/>
                  <w:vMerge w:val="continue"/>
                </w:tcPr>
                <w:p>
                  <w:pPr>
                    <w:pStyle w:val="29"/>
                    <w:jc w:val="both"/>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拟建项目建设于会泽县山脊地带，远离城市和城镇的面山区域；项目实施过程中及实施完成后及时对临时占地进行恢复，避免景观破坏；远离金沙江及长江支流岸线保护范围。</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217" w:type="dxa"/>
                  <w:vMerge w:val="continue"/>
                </w:tcPr>
                <w:p>
                  <w:pPr>
                    <w:pStyle w:val="29"/>
                    <w:jc w:val="both"/>
                    <w:rPr>
                      <w:color w:val="000000" w:themeColor="text1"/>
                      <w14:textFill>
                        <w14:solidFill>
                          <w14:schemeClr w14:val="tx1"/>
                        </w14:solidFill>
                      </w14:textFill>
                    </w:rPr>
                  </w:pPr>
                </w:p>
              </w:tc>
              <w:tc>
                <w:tcPr>
                  <w:tcW w:w="367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项目与高速公路最近距离约</w:t>
                  </w:r>
                  <w:r>
                    <w:rPr>
                      <w:color w:val="000000" w:themeColor="text1"/>
                      <w14:textFill>
                        <w14:solidFill>
                          <w14:schemeClr w14:val="tx1"/>
                        </w14:solidFill>
                      </w14:textFill>
                    </w:rPr>
                    <w:t>730</w:t>
                  </w:r>
                  <w:r>
                    <w:rPr>
                      <w:rFonts w:hint="eastAsia"/>
                      <w:color w:val="000000" w:themeColor="text1"/>
                      <w14:textFill>
                        <w14:solidFill>
                          <w14:schemeClr w14:val="tx1"/>
                        </w14:solidFill>
                      </w14:textFill>
                    </w:rPr>
                    <w:t>m，与高速公路之间有山体阻隔，不在高速公路可视区域。据了解，渝昆高铁以隧道形式穿越项目规划区，项目在不高速铁路的可视区域。</w:t>
                  </w:r>
                </w:p>
              </w:tc>
              <w:tc>
                <w:tcPr>
                  <w:tcW w:w="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从上表可知，拟建项目选址符合《云南省在适宜地区适度开发利用新能源规划》要求。</w:t>
            </w:r>
          </w:p>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2323465</wp:posOffset>
                      </wp:positionH>
                      <wp:positionV relativeFrom="paragraph">
                        <wp:posOffset>5941060</wp:posOffset>
                      </wp:positionV>
                      <wp:extent cx="1206500" cy="330200"/>
                      <wp:effectExtent l="0" t="0" r="107950" b="431800"/>
                      <wp:wrapNone/>
                      <wp:docPr id="657296722" name="对话气泡: 矩形 6"/>
                      <wp:cNvGraphicFramePr/>
                      <a:graphic xmlns:a="http://schemas.openxmlformats.org/drawingml/2006/main">
                        <a:graphicData uri="http://schemas.microsoft.com/office/word/2010/wordprocessingShape">
                          <wps:wsp>
                            <wps:cNvSpPr/>
                            <wps:spPr>
                              <a:xfrm>
                                <a:off x="4079631" y="6863024"/>
                                <a:ext cx="1206500" cy="330200"/>
                              </a:xfrm>
                              <a:prstGeom prst="wedgeRectCallout">
                                <a:avLst>
                                  <a:gd name="adj1" fmla="val 54948"/>
                                  <a:gd name="adj2" fmla="val 169686"/>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一期风机布置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6" o:spid="_x0000_s1026" o:spt="61" type="#_x0000_t61" style="position:absolute;left:0pt;margin-left:182.95pt;margin-top:467.8pt;height:26pt;width:95pt;z-index:251672576;v-text-anchor:middle;mso-width-relative:page;mso-height-relative:page;" filled="f" stroked="t" coordsize="21600,21600" o:gfxdata="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FzyhntoAAAALAQAADwAAAAAAAAABACAAAAAiAAAAZHJzL2Rv&#10;d25yZXYueG1sUEsBAhQAFAAAAAgAh07iQDShT2+qAgAACAUAAA4AAAAAAAAAAQAgAAAAKQEAAGRy&#10;cy9lMm9Eb2MueG1sUEsFBgAAAAAGAAYAWQEAAEUGAAAAAA==&#10;" adj="22669,47452">
                      <v:fill on="f" focussize="0,0"/>
                      <v:stroke weight="1pt" color="#FF0000 [3204]" miterlimit="8" joinstyle="miter"/>
                      <v:imagedata o:title=""/>
                      <o:lock v:ext="edit" aspectratio="f"/>
                      <v:textbox>
                        <w:txbxContent>
                          <w:p>
                            <w:pPr>
                              <w:ind w:firstLine="0" w:firstLineChars="0"/>
                              <w:rPr>
                                <w:b/>
                                <w:bCs/>
                                <w:color w:val="FF0000"/>
                              </w:rPr>
                            </w:pPr>
                            <w:r>
                              <w:rPr>
                                <w:rFonts w:hint="eastAsia"/>
                                <w:b/>
                                <w:bCs/>
                                <w:color w:val="FF0000"/>
                              </w:rPr>
                              <w:t>一期风机布置</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554990</wp:posOffset>
                      </wp:positionH>
                      <wp:positionV relativeFrom="paragraph">
                        <wp:posOffset>775970</wp:posOffset>
                      </wp:positionV>
                      <wp:extent cx="1206500" cy="330200"/>
                      <wp:effectExtent l="0" t="0" r="508000" b="12700"/>
                      <wp:wrapNone/>
                      <wp:docPr id="478868884" name="对话气泡: 矩形 6"/>
                      <wp:cNvGraphicFramePr/>
                      <a:graphic xmlns:a="http://schemas.openxmlformats.org/drawingml/2006/main">
                        <a:graphicData uri="http://schemas.microsoft.com/office/word/2010/wordprocessingShape">
                          <wps:wsp>
                            <wps:cNvSpPr/>
                            <wps:spPr>
                              <a:xfrm>
                                <a:off x="0" y="0"/>
                                <a:ext cx="1206500" cy="330200"/>
                              </a:xfrm>
                              <a:prstGeom prst="wedgeRectCallout">
                                <a:avLst>
                                  <a:gd name="adj1" fmla="val 88013"/>
                                  <a:gd name="adj2" fmla="val 44242"/>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二期风机布置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6" o:spid="_x0000_s1026" o:spt="61" type="#_x0000_t61" style="position:absolute;left:0pt;margin-left:43.7pt;margin-top:61.1pt;height:26pt;width:95pt;z-index:251673600;v-text-anchor:middle;mso-width-relative:page;mso-height-relative:page;" filled="f" stroked="t" coordsize="21600,21600" o:gfxdata="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ciK12AAAAAoBAAAPAAAAAAAAAAEAIAAAACIAAABkcnMvZG93bnJldi54bWxQSwECFAAU&#10;AAAACACHTuJAY3QqVZwCAAD7BAAADgAAAAAAAAABACAAAAAnAQAAZHJzL2Uyb0RvYy54bWxQSwUG&#10;AAAAAAYABgBZAQAANQYAAAAA&#10;" adj="29811,20356">
                      <v:fill on="f" focussize="0,0"/>
                      <v:stroke weight="1pt" color="#FF0000 [3204]" miterlimit="8" joinstyle="miter"/>
                      <v:imagedata o:title=""/>
                      <o:lock v:ext="edit" aspectratio="f"/>
                      <v:textbox>
                        <w:txbxContent>
                          <w:p>
                            <w:pPr>
                              <w:ind w:firstLine="0" w:firstLineChars="0"/>
                              <w:rPr>
                                <w:b/>
                                <w:bCs/>
                                <w:color w:val="FF0000"/>
                              </w:rPr>
                            </w:pPr>
                            <w:r>
                              <w:rPr>
                                <w:rFonts w:hint="eastAsia"/>
                                <w:b/>
                                <w:bCs/>
                                <w:color w:val="FF0000"/>
                              </w:rPr>
                              <w:t>二期风机布置</w:t>
                            </w:r>
                          </w:p>
                        </w:txbxContent>
                      </v:textbox>
                    </v:shape>
                  </w:pict>
                </mc:Fallback>
              </mc:AlternateContent>
            </w:r>
            <w:r>
              <w:rPr>
                <w:color w:val="000000" w:themeColor="text1"/>
                <w14:textFill>
                  <w14:solidFill>
                    <w14:schemeClr w14:val="tx1"/>
                  </w14:solidFill>
                </w14:textFill>
              </w:rPr>
              <w:drawing>
                <wp:inline distT="0" distB="0" distL="0" distR="0">
                  <wp:extent cx="4732020" cy="7905750"/>
                  <wp:effectExtent l="0" t="0" r="0" b="0"/>
                  <wp:docPr id="13743408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40831"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701" cy="7983378"/>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待补风电场分期建设图</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（2）与《云南省在适宜地区适度开发利用新能源规划环境影响篇章》的符合性分析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在适宜地区适度开发利用新能源规划环境影响篇章》：待补风电场规划范围内还可能涉及黑颈鹤活动区，根据《云南省曲靖市会泽县待补风电场项目选址越冬黑颈鹤影响调查报告》（北京中环博宏环境资源科技有限公司，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月），建设单位在选址时已根据周边敏感区分布情况及鸟类调查结论对拟布置风机布设进行优化调整。待补风电二期规划范围内无黑颈鹤分布记录。</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云南省在适宜地区适度开发利用新能源规划环境影响篇章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待补风电场</w:t>
            </w:r>
            <w:r>
              <w:rPr>
                <w:rFonts w:hint="eastAsia"/>
                <w:color w:val="000000" w:themeColor="text1"/>
                <w14:textFill>
                  <w14:solidFill>
                    <w14:schemeClr w14:val="tx1"/>
                  </w14:solidFill>
                </w14:textFill>
              </w:rPr>
              <w:t>环评</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提出4点</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云南省在适宜地区适度开发利用新能源规划环境影响篇章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符合性</w:t>
            </w:r>
            <w:r>
              <w:rPr>
                <w:color w:val="000000" w:themeColor="text1"/>
                <w14:textFill>
                  <w14:solidFill>
                    <w14:schemeClr w14:val="tx1"/>
                  </w14:solidFill>
                </w14:textFill>
              </w:rPr>
              <w:t>分析如下：</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表1.1</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待补风电场二期与风电规划环评的相符性</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9"/>
              <w:gridCol w:w="5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19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工作</w:t>
                  </w:r>
                  <w:r>
                    <w:rPr>
                      <w:color w:val="000000" w:themeColor="text1"/>
                      <w14:textFill>
                        <w14:solidFill>
                          <w14:schemeClr w14:val="tx1"/>
                        </w14:solidFill>
                      </w14:textFill>
                    </w:rPr>
                    <w:t>要求</w:t>
                  </w:r>
                </w:p>
              </w:tc>
              <w:tc>
                <w:tcPr>
                  <w:tcW w:w="545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相符性</w:t>
                  </w:r>
                  <w:r>
                    <w:rPr>
                      <w:color w:val="000000" w:themeColor="text1"/>
                      <w14:textFill>
                        <w14:solidFill>
                          <w14:schemeClr w14:val="tx1"/>
                        </w14:solidFill>
                      </w14:textFill>
                    </w:rPr>
                    <w:t>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1" w:hRule="atLeast"/>
              </w:trPr>
              <w:tc>
                <w:tcPr>
                  <w:tcW w:w="21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复核生态保护红线和环境敏感区涉及情况</w:t>
                  </w:r>
                </w:p>
              </w:tc>
              <w:tc>
                <w:tcPr>
                  <w:tcW w:w="545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根据会泽县自然资源局、林草局、生态环境分局及黑颈鹤管护局出具的情况说明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拟建项目永久占地、临时占地</w:t>
                  </w:r>
                  <w:r>
                    <w:rPr>
                      <w:color w:val="000000" w:themeColor="text1"/>
                      <w14:textFill>
                        <w14:solidFill>
                          <w14:schemeClr w14:val="tx1"/>
                        </w14:solidFill>
                      </w14:textFill>
                    </w:rPr>
                    <w:t>不涉及</w:t>
                  </w:r>
                  <w:r>
                    <w:rPr>
                      <w:rFonts w:hint="eastAsia"/>
                      <w:color w:val="000000" w:themeColor="text1"/>
                      <w14:textFill>
                        <w14:solidFill>
                          <w14:schemeClr w14:val="tx1"/>
                        </w14:solidFill>
                      </w14:textFill>
                    </w:rPr>
                    <w:t>生态保护红线、自然保护区、风景名胜区、森林公园、地质公园、湿地公园、饮用水水源保护区及生物多样性优先保护区。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4" w:hRule="atLeast"/>
              </w:trPr>
              <w:tc>
                <w:tcPr>
                  <w:tcW w:w="21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开展黑颈鹤影响专题评价，详细调查项目与黑颈鹤活动区的关系，深入论证项目建设对黑颈鹤的影响</w:t>
                  </w:r>
                </w:p>
              </w:tc>
              <w:tc>
                <w:tcPr>
                  <w:tcW w:w="545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委托我单位对项目区的黑颈鹤活动区域进行了详细调查，同时针对待补风电场进行黑颈鹤观测，同时编制了《云南省曲靖市会泽县待补风电场项目选址越冬黑颈鹤影响调查报告》，调查结果表明，项目最近机位距黑颈鹤活动区边缘直线距离约</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km，项目未占用有历史记录及本次调查记录中黑颈鹤越冬活动区域，对黑颈鹤觅食、栖息、迁徙影响很小，不会造成黑颈鹤种群数量明显下降。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199" w:type="dxa"/>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开展陆生生态影响专题评价</w:t>
                  </w:r>
                </w:p>
              </w:tc>
              <w:tc>
                <w:tcPr>
                  <w:tcW w:w="545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已开展生态专项评价。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19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风机运行噪声影响</w:t>
                  </w:r>
                </w:p>
              </w:tc>
              <w:tc>
                <w:tcPr>
                  <w:tcW w:w="545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风机选址与居民点距离＞5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m，经过预测，距离风机3</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m即可达到《声环境质量标准》（GB309-2008）1类</w:t>
                  </w:r>
                  <w:r>
                    <w:rPr>
                      <w:rFonts w:hint="eastAsia"/>
                      <w:color w:val="000000" w:themeColor="text1"/>
                      <w:lang w:eastAsia="zh-CN"/>
                      <w14:textFill>
                        <w14:solidFill>
                          <w14:schemeClr w14:val="tx1"/>
                        </w14:solidFill>
                      </w14:textFill>
                    </w:rPr>
                    <w:t>区域</w:t>
                  </w:r>
                  <w:r>
                    <w:rPr>
                      <w:rFonts w:hint="eastAsia"/>
                      <w:color w:val="000000" w:themeColor="text1"/>
                      <w14:textFill>
                        <w14:solidFill>
                          <w14:schemeClr w14:val="tx1"/>
                        </w14:solidFill>
                      </w14:textFill>
                    </w:rPr>
                    <w:t>标准限值，风机运行噪声对周边敏感点影响很小。</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从上表可知，拟建项目符合《云南省在适宜地区适度开发利用新能源规划环境影响篇章》要求。</w:t>
            </w:r>
          </w:p>
          <w:p>
            <w:pPr>
              <w:ind w:firstLine="4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其他符合性分析</w:t>
            </w:r>
          </w:p>
        </w:tc>
        <w:tc>
          <w:tcPr>
            <w:tcW w:w="7902" w:type="dxa"/>
            <w:gridSpan w:val="3"/>
            <w:vAlign w:val="center"/>
          </w:tcPr>
          <w:p>
            <w:pPr>
              <w:pStyle w:val="34"/>
              <w:spacing w:before="156" w:after="156"/>
              <w:rPr>
                <w:color w:val="000000" w:themeColor="text1"/>
                <w14:textFill>
                  <w14:solidFill>
                    <w14:schemeClr w14:val="tx1"/>
                  </w14:solidFill>
                </w14:textFill>
              </w:rPr>
            </w:pPr>
            <w:r>
              <w:rPr>
                <w:rStyle w:val="38"/>
                <w:rFonts w:hint="eastAsia" w:eastAsia="楷体_GB2312"/>
                <w:b/>
                <w:color w:val="000000" w:themeColor="text1"/>
                <w:sz w:val="36"/>
                <w14:textFill>
                  <w14:solidFill>
                    <w14:schemeClr w14:val="tx1"/>
                  </w14:solidFill>
                </w14:textFill>
              </w:rPr>
              <w:t>1</w:t>
            </w:r>
            <w:r>
              <w:rPr>
                <w:rStyle w:val="38"/>
                <w:rFonts w:eastAsia="楷体_GB2312"/>
                <w:b/>
                <w:color w:val="000000" w:themeColor="text1"/>
                <w:sz w:val="36"/>
                <w14:textFill>
                  <w14:solidFill>
                    <w14:schemeClr w14:val="tx1"/>
                  </w14:solidFill>
                </w14:textFill>
              </w:rPr>
              <w:t xml:space="preserve">.1 </w:t>
            </w:r>
            <w:r>
              <w:rPr>
                <w:rFonts w:hint="eastAsia"/>
                <w:color w:val="000000" w:themeColor="text1"/>
                <w14:textFill>
                  <w14:solidFill>
                    <w14:schemeClr w14:val="tx1"/>
                  </w14:solidFill>
                </w14:textFill>
              </w:rPr>
              <w:t>产业政策符合性分析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再生能源在满足能源需求、改善能源结构、减少环境污染、促进经济发展方面可以发挥重要作用。中国为加快可再生能源发展，颁布了《中华人民共和国可再生能源法》，制定了《可再生能源中长期发展规划》。风力发电是将自然风能转化为机械能，再将机械能转化为电能的过程。风力发电属于《可再生能源发电管理有关规定》（2006年2月7日，国家发展和改革委员会）中所称的可再生能源中的一种。根据《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年本）》，本项目属于风力发电项目，属于鼓励类“五、新能源”中“1、</w:t>
            </w:r>
            <w:r>
              <w:rPr>
                <w:color w:val="000000" w:themeColor="text1"/>
                <w14:textFill>
                  <w14:solidFill>
                    <w14:schemeClr w14:val="tx1"/>
                  </w14:solidFill>
                </w14:textFill>
              </w:rPr>
              <w:t>风力发电技术与应用</w:t>
            </w:r>
            <w:r>
              <w:rPr>
                <w:rFonts w:hint="eastAsia"/>
                <w:color w:val="000000" w:themeColor="text1"/>
                <w14:textFill>
                  <w14:solidFill>
                    <w14:schemeClr w14:val="tx1"/>
                  </w14:solidFill>
                </w14:textFill>
              </w:rPr>
              <w:t>中高原、山区风电场建设”，项目建设符合国家现行产业政策。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待补风电场被列入云南省发展和改革委员会《关于印发云南省2021年“四个一百”重点建设项目计划的通知》（云发改投资〔2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〕76号）中“四个一百”重点建设项目（新开工项目）。本项目为待补风电场二期项目，项目已于2022年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日取得《云南省发展和改革委员会关于曲靖市待补风电场二期项目核准的批复》（云发改能源〔2022〕</w:t>
            </w:r>
            <w:r>
              <w:rPr>
                <w:color w:val="000000" w:themeColor="text1"/>
                <w14:textFill>
                  <w14:solidFill>
                    <w14:schemeClr w14:val="tx1"/>
                  </w14:solidFill>
                </w14:textFill>
              </w:rPr>
              <w:t>282</w:t>
            </w:r>
            <w:r>
              <w:rPr>
                <w:rFonts w:hint="eastAsia"/>
                <w:color w:val="000000" w:themeColor="text1"/>
                <w14:textFill>
                  <w14:solidFill>
                    <w14:schemeClr w14:val="tx1"/>
                  </w14:solidFill>
                </w14:textFill>
              </w:rPr>
              <w:t>号）。</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待补风电场二期项目利用当地风能资源发电，可缓解当地电力供需矛盾，符合国家能源发展战略和产业政策要求。项目是列入《云南省在适宜地区适度开发利用新能源规划》的项目，也是云南省2021年计划的“四个一百”重点建设项目，项目建设非常必要。</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与《云南省人民政府关于实施“三线一单”生态环境分区管控的意见》符合性分析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根据《云南省人民政府关于实施“三线一单”生态环境分区管控的意见》（云政发〔2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〕29号）：根据区域生态环境特征，划分不同类型生态环境管控单元，全省共划分1164个生态环境管控单元，分为优先保护、重点管控和一般管控3类。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①优先保护单元。共383个，包含生态保护红线和一般生态空间，主要分布在滇西北山区、南部边境山区、哀牢山和无量山、滇东南喀斯特石漠化防治区、金沙江干热河谷、高原湖泊湖区等重点生态功能区域。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重点管控单元。共652个，包含开发强度高、污染物排放强度大、环境问题相对集中的区域和大气环境布局敏感区、弱扩散区等，主要分布在滇中城市群、九大高原湖泊流域、各类开发区和工业集中区、城镇规划区及环境质量改善压力较大的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③一般管控单元。共129个，为优先保护、重点管控单元之外的区域。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根据查询结果，项目选址、选线涉及优先保护单元、重点管控单元及一般管控单元。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项目与《云南省人民政府关于实施“三线一单”生态环境分区管控的意见》符合性分析见下表。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项目与云政发〔2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〕29号符合性分析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0"/>
              <w:gridCol w:w="2949"/>
              <w:gridCol w:w="3687"/>
              <w:gridCol w:w="5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4" w:hRule="atLeast"/>
              </w:trPr>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94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要求</w:t>
                  </w:r>
                </w:p>
              </w:tc>
              <w:tc>
                <w:tcPr>
                  <w:tcW w:w="368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生态保护红线</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红线和一般生态空间。执行省人民政府发布的《云南省生态保护红线》，将未划入生态保护红线的自然保护地、饮用水水源保护区、重要湿地、基本草原、生态公益林、天然林等生态功能重要、生态环境敏感区域划为一般生态空间。</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根据会泽县自然资源局、林草局、生态环境分局及黑颈鹤管护局出具的意见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拟建项目永久占地及临时占地不涉及生态保护红线。也不涉及未划入生态保护红线的自然保护地、饮用水水源保护区、重要湿地、基本草原、国家一级公益林、国家二级公益林、天然林等生态功能重要、生态环境敏感区域等一般生态空间。</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510"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环境质量底线</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环境质量底线。到2020年底，全省水环境质量总体良好，纳入国家考核的100个地表水监测断面水质优良（达到或优于Ⅲ类）的比例达到73%以上、劣于Ⅴ类的比例控制在6%以内，省级考核的50个地表水监测断面水质达到水环境功能要求；九大高原湖泊水质稳定改善，达到考核目标；珠江、长江和西南诸河流域优良水体比例分别达到68.7%、50%和91.7%以上；州市级、县级集中式饮用水水源水质达到或优于Ⅲ类的比例分别达到97.2%、95%以上；地级城市建成区黑臭水体消除比例达到95%以上。</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根据《曲靖市生态环境局会泽分局2022年政府信息公开工作年度报告》：2022年国控断面—以礼河水文站水质稳定达地表水环境质量Ⅲ类标准，年比例达100%；其余河流断面</w:t>
                  </w:r>
                  <w:r>
                    <w:rPr>
                      <w:rFonts w:cs="Times New Roman"/>
                      <w:color w:val="000000" w:themeColor="text1"/>
                      <w14:textFill>
                        <w14:solidFill>
                          <w14:schemeClr w14:val="tx1"/>
                        </w14:solidFill>
                      </w14:textFill>
                    </w:rPr>
                    <w:t>Ⅰ-Ⅲ</w:t>
                  </w:r>
                  <w:r>
                    <w:rPr>
                      <w:rFonts w:hint="eastAsia"/>
                      <w:color w:val="000000" w:themeColor="text1"/>
                      <w14:textFill>
                        <w14:solidFill>
                          <w14:schemeClr w14:val="tx1"/>
                        </w14:solidFill>
                      </w14:textFill>
                    </w:rPr>
                    <w:t>类水质优良率为100%。二是城市集中式饮用水水源地毛家村水库、龙潭水源点水质稳定达标；19个乡（镇、街道）集中式饮用水水源水质均达地表水环境功能区要求。</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Merge w:val="continue"/>
                  <w:vAlign w:val="center"/>
                </w:tcPr>
                <w:p>
                  <w:pPr>
                    <w:pStyle w:val="29"/>
                    <w:rPr>
                      <w:color w:val="000000" w:themeColor="text1"/>
                      <w14:textFill>
                        <w14:solidFill>
                          <w14:schemeClr w14:val="tx1"/>
                        </w14:solidFill>
                      </w14:textFill>
                    </w:rPr>
                  </w:pP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大气环境质量底线。到2020年底，全省环境空气质量总体保持优良，二氧化硫、氮氧化物排放总量较2015年下降1%；细颗粒物（PM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）和可吸入颗粒物（PM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）等主要污染指标得到有效控制；州市级城市环境空气质量达到国家二级标准，优良天数比率达到97.2%以上。</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根据《曲靖市生态环境局会泽分局2022年政府信息公开工作年度报告》：2022年会泽县空气自动监测站环境空气质量优良率达100%。</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Merge w:val="continue"/>
                  <w:vAlign w:val="center"/>
                </w:tcPr>
                <w:p>
                  <w:pPr>
                    <w:pStyle w:val="29"/>
                    <w:rPr>
                      <w:color w:val="000000" w:themeColor="text1"/>
                      <w14:textFill>
                        <w14:solidFill>
                          <w14:schemeClr w14:val="tx1"/>
                        </w14:solidFill>
                      </w14:textFill>
                    </w:rPr>
                  </w:pP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风险防控底线。到2020年底，全省土壤环境质量总体保持稳定，农用地和建设用地土壤环境安全得到基本保障，土壤环境风险得到基本管控；受污染耕地安全利用率达到80%左右，污染地块安全利用率不低于90%。到2025年，土壤环境风险防范体系进一步完善，受污染耕地安全利用率和污染地块安全利用率进一步提高。</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项目拟建风机箱变集油池采取重点防渗，土壤污染风险能得到有效控制，对土壤环境的影响可控。</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资源利用上线</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水资源利用上线。到2020年底，全省年用水总量控制在214.6亿立方米以内。</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项目运营期不新增新鲜用水，风电场运营管理依托2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0kV升压站运营管理人员，不新增工作人员，项目建设不会对当地水资源供应产生影响。</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Merge w:val="continue"/>
                  <w:vAlign w:val="center"/>
                </w:tcPr>
                <w:p>
                  <w:pPr>
                    <w:pStyle w:val="29"/>
                    <w:rPr>
                      <w:color w:val="000000" w:themeColor="text1"/>
                      <w14:textFill>
                        <w14:solidFill>
                          <w14:schemeClr w14:val="tx1"/>
                        </w14:solidFill>
                      </w14:textFill>
                    </w:rPr>
                  </w:pP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土地资源利用上线。到2020年底，全省耕地保有量不低于584.53万公顷，基本农田保护面积不低于489.4万公顷，建设用地总规模控制在115.4万公顷以内。</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项目用地以林地、灌草丛及耕地为主，根据项目用地预审和选址意见书和项目“三区三线”查询，项目永久占地不占用永久基本农田。项目永久占地1</w:t>
                  </w:r>
                  <w:r>
                    <w:rPr>
                      <w:color w:val="000000" w:themeColor="text1"/>
                      <w14:textFill>
                        <w14:solidFill>
                          <w14:schemeClr w14:val="tx1"/>
                        </w14:solidFill>
                      </w14:textFill>
                    </w:rPr>
                    <w:t>.1708</w:t>
                  </w:r>
                  <w:r>
                    <w:rPr>
                      <w:rFonts w:hint="eastAsia"/>
                      <w:color w:val="000000" w:themeColor="text1"/>
                      <w14:textFill>
                        <w14:solidFill>
                          <w14:schemeClr w14:val="tx1"/>
                        </w14:solidFill>
                      </w14:textFill>
                    </w:rPr>
                    <w:t>公顷，满足用地预审意见中＜2</w:t>
                  </w:r>
                  <w:r>
                    <w:rPr>
                      <w:color w:val="000000" w:themeColor="text1"/>
                      <w14:textFill>
                        <w14:solidFill>
                          <w14:schemeClr w14:val="tx1"/>
                        </w14:solidFill>
                      </w14:textFill>
                    </w:rPr>
                    <w:t>.3783</w:t>
                  </w:r>
                  <w:r>
                    <w:rPr>
                      <w:rFonts w:hint="eastAsia"/>
                      <w:color w:val="000000" w:themeColor="text1"/>
                      <w14:textFill>
                        <w14:solidFill>
                          <w14:schemeClr w14:val="tx1"/>
                        </w14:solidFill>
                      </w14:textFill>
                    </w:rPr>
                    <w:t>公顷要求。</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Merge w:val="continue"/>
                  <w:vAlign w:val="center"/>
                </w:tcPr>
                <w:p>
                  <w:pPr>
                    <w:pStyle w:val="29"/>
                    <w:rPr>
                      <w:color w:val="000000" w:themeColor="text1"/>
                      <w14:textFill>
                        <w14:solidFill>
                          <w14:schemeClr w14:val="tx1"/>
                        </w14:solidFill>
                      </w14:textFill>
                    </w:rPr>
                  </w:pP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能源利用上线。到2020年底，全省万元地区生产总值能耗较2015年下降14%，能源消费总量控制在国家下达目标以内，非化石能源消费量占能源消费总量比重达到42%。</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本项目为风力发电项目，风力发电是将自然风能转化为机械能，再将机械能转化为电能的过程，可为区域提供清洁能源，不涉及能源利用上线。</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准入</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清单</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严格落实生态环境保护法律法规标准和有关政策，根据生态环境管控单元划分情况，明确总体管控和分类管控要求，制定各类管控单元生态环境准入清单，实施差别化生态环境管控措施。</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属于陆上风力发电，符合国家和云南省当前产业政策，符合当地相关规划。项目建设和运行满足产业准入、总量控制、排放标准等管理规定的要求。项目属于《云南省在适宜地区适度开发利用新能源规划》中规划的项目之一。项目不属于《长江经济带发展负面清单指南（试行，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年版）》（长江办〔2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号）中所列的禁止类项目。</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优先保护单元</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红线优先保护单元按照国家生态保护红线有关要求进行管控。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法律法规规定，没有明确规定的，加强论证和管理。</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查询会泽县“三区三线”及林草局查询意见，项目不涉及会泽县生态保护红线。项目实施符合《云南省主体功能区规划》、《云南省生态功能区划》、资源利用上线的要求。本项目涉及一般生态空间中的草地及省级公益林属于优先保护单元。根据调查及会泽县林业和草原局出具的文件：本项目不涉及自然保护区、风景名胜区、森林公园、地质公园、湿地公园和重要湿地等保护地，未占用国家一级公益林、国家二级公益林和天然乔木林地，在按照相关要求办理占地手续后符合《国家级公益林管理办法》《云南省地方公益林管理办法》和《中华人民共和国草原法》的相关要求。</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重点管控单元</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开发区及工业集中区重点管控单元。</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城镇生活污染重点管控单元。</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土壤污染重点管控单元。</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农业面源污染重点管控单元。</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矿产资源重点管控单元。</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大气环境布局敏感、弱扩散重点管控单元。</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本拟建项目属于陆上风力发电项目，不涉及开发区及工业集中区重点管控单元、城镇生活污染重点管控单元、农业面源污染重点管控单元、大气环境布局敏感、弱扩散重点管控单元及土壤污染重点管控单元。</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项目属于风力发电，属于清洁能源、绿色环保项目；不涉及矿产资源开采。</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一般管控单元</w:t>
                  </w:r>
                </w:p>
              </w:tc>
              <w:tc>
                <w:tcPr>
                  <w:tcW w:w="294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落实生态环境保护基本要求，项目建设和运行应满足产业准入、总量控制、排放标准等管理规定。</w:t>
                  </w:r>
                </w:p>
              </w:tc>
              <w:tc>
                <w:tcPr>
                  <w:tcW w:w="3687"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根据会泽县自然资源局出具的选址意见，项目用地范围不涉及生态保护红线；项目符合产业政策；项目不设置总量控制指标，运营期不产生废水和废气，依托的一期2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kV升压站噪声厂界达标排放，风机与居民点之间有足够的防护距离，风机对居民点噪声预测值满足《声环境质量标准》（GB3096-2008）中1类标准的要求。</w:t>
                  </w:r>
                </w:p>
              </w:tc>
              <w:tc>
                <w:tcPr>
                  <w:tcW w:w="5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34"/>
              <w:spacing w:before="156" w:after="156"/>
              <w:rPr>
                <w:color w:val="000000" w:themeColor="text1"/>
                <w14:textFill>
                  <w14:solidFill>
                    <w14:schemeClr w14:val="tx1"/>
                  </w14:solidFill>
                </w14:textFill>
              </w:rPr>
            </w:pP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与《曲靖市“三线一单”生态环境分区管控实施方案》符合性分析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根据《曲靖市“三线一单”生态环境分区管控实施方案》，全市共划分80个生态环境管控单元，分为优先保护、重点管控和一般管控3类。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①优先保护单元（共27个），包含生态保护红线和一般生态空间，主要分布在乌蒙山、大海草山、马雄山、菌子山、万峰山及东南部喀斯特地带石漠化防治区、水源保护区等重点生态功能区域。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重点管控单元（共44个），包含开发强度高、污染物排放强度大、生态环境问题相对集中的区域和大气环境布局敏感、弱扩散区等，主要分布在南盘江上游和北盘江流域、各类开发区和工业集中区、城镇规划区及环境质量改善压力较大的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③一般管控单元（共9个），为优先保护、重点管控单元之外的区域。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拟建项目占用《曲靖市“三线一单”生态环境分区管控实施方案》各分区管控单元面积详见表</w:t>
            </w:r>
            <w:r>
              <w:rPr>
                <w:color w:val="000000" w:themeColor="text1"/>
                <w14:textFill>
                  <w14:solidFill>
                    <w14:schemeClr w14:val="tx1"/>
                  </w14:solidFill>
                </w14:textFill>
              </w:rPr>
              <w:t>1.3-1</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会泽县一般生态空间优先保护单元（省级公益林和草地）、会泽县矿产资源重点管控单元，会泽县生态保护红线优先保护单元（经查询，不涉及2022年11月国家下发的“三区三线”中的生态保护红线）。本项目会泽县生态空间占用情况一览表如下：</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项目占用各分区管控单元情况表</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9"/>
              <w:gridCol w:w="1309"/>
              <w:gridCol w:w="1747"/>
              <w:gridCol w:w="1165"/>
              <w:gridCol w:w="29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5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056"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分区单元</w:t>
                  </w:r>
                </w:p>
              </w:tc>
              <w:tc>
                <w:tcPr>
                  <w:tcW w:w="116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占用面积（m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297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459"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09" w:type="dxa"/>
                  <w:vMerge w:val="restart"/>
                  <w:tcBorders>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会泽县一般生态空间优先保护单元</w:t>
                  </w:r>
                </w:p>
              </w:tc>
              <w:tc>
                <w:tcPr>
                  <w:tcW w:w="1747" w:type="dxa"/>
                  <w:tcBorders>
                    <w:left w:val="single" w:color="auto" w:sz="4" w:space="0"/>
                    <w:bottom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草地</w:t>
                  </w:r>
                </w:p>
              </w:tc>
              <w:tc>
                <w:tcPr>
                  <w:tcW w:w="1165" w:type="dxa"/>
                  <w:tcBorders>
                    <w:bottom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5656.48</w:t>
                  </w:r>
                </w:p>
              </w:tc>
              <w:tc>
                <w:tcPr>
                  <w:tcW w:w="2976" w:type="dxa"/>
                  <w:vMerge w:val="restart"/>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根据查询结果，结合林草局查询意见，项目不占用天然林及国家二级公益林，项目占用的一般生态空间优先保护单元包括草地及省级公益林地。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trPr>
              <w:tc>
                <w:tcPr>
                  <w:tcW w:w="459" w:type="dxa"/>
                  <w:vMerge w:val="continue"/>
                  <w:vAlign w:val="center"/>
                </w:tcPr>
                <w:p>
                  <w:pPr>
                    <w:pStyle w:val="29"/>
                    <w:rPr>
                      <w:color w:val="000000" w:themeColor="text1"/>
                      <w14:textFill>
                        <w14:solidFill>
                          <w14:schemeClr w14:val="tx1"/>
                        </w14:solidFill>
                      </w14:textFill>
                    </w:rPr>
                  </w:pPr>
                </w:p>
              </w:tc>
              <w:tc>
                <w:tcPr>
                  <w:tcW w:w="1309"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省级公益林</w:t>
                  </w:r>
                </w:p>
              </w:tc>
              <w:tc>
                <w:tcPr>
                  <w:tcW w:w="1165" w:type="dxa"/>
                  <w:tcBorders>
                    <w:top w:val="single" w:color="auto" w:sz="4" w:space="0"/>
                    <w:bottom w:val="single" w:color="auto" w:sz="4" w:space="0"/>
                  </w:tcBorders>
                  <w:vAlign w:val="center"/>
                </w:tcPr>
                <w:p>
                  <w:pPr>
                    <w:pStyle w:val="29"/>
                    <w:rPr>
                      <w:rFonts w:eastAsia="等线" w:cs="Times New Roman"/>
                      <w:color w:val="000000" w:themeColor="text1"/>
                      <w:szCs w:val="21"/>
                      <w14:textFill>
                        <w14:solidFill>
                          <w14:schemeClr w14:val="tx1"/>
                        </w14:solidFill>
                      </w14:textFill>
                    </w:rPr>
                  </w:pPr>
                  <w:r>
                    <w:rPr>
                      <w:rFonts w:eastAsia="等线" w:cs="Times New Roman"/>
                      <w:color w:val="000000" w:themeColor="text1"/>
                      <w:szCs w:val="21"/>
                      <w14:textFill>
                        <w14:solidFill>
                          <w14:schemeClr w14:val="tx1"/>
                        </w14:solidFill>
                      </w14:textFill>
                    </w:rPr>
                    <w:t>18653.64</w:t>
                  </w:r>
                </w:p>
              </w:tc>
              <w:tc>
                <w:tcPr>
                  <w:tcW w:w="2976"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459" w:type="dxa"/>
                  <w:vMerge w:val="continue"/>
                  <w:vAlign w:val="center"/>
                </w:tcPr>
                <w:p>
                  <w:pPr>
                    <w:pStyle w:val="29"/>
                    <w:rPr>
                      <w:color w:val="000000" w:themeColor="text1"/>
                      <w14:textFill>
                        <w14:solidFill>
                          <w14:schemeClr w14:val="tx1"/>
                        </w14:solidFill>
                      </w14:textFill>
                    </w:rPr>
                  </w:pPr>
                </w:p>
              </w:tc>
              <w:tc>
                <w:tcPr>
                  <w:tcW w:w="1309"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天然林</w:t>
                  </w:r>
                </w:p>
              </w:tc>
              <w:tc>
                <w:tcPr>
                  <w:tcW w:w="1165" w:type="dxa"/>
                  <w:tcBorders>
                    <w:top w:val="single" w:color="auto" w:sz="4" w:space="0"/>
                    <w:bottom w:val="single" w:color="auto" w:sz="4" w:space="0"/>
                  </w:tcBorders>
                  <w:vAlign w:val="center"/>
                </w:tcPr>
                <w:p>
                  <w:pPr>
                    <w:pStyle w:val="29"/>
                    <w:rPr>
                      <w:rFonts w:eastAsia="等线" w:cs="Times New Roman"/>
                      <w:color w:val="000000" w:themeColor="text1"/>
                      <w:szCs w:val="21"/>
                      <w14:textFill>
                        <w14:solidFill>
                          <w14:schemeClr w14:val="tx1"/>
                        </w14:solidFill>
                      </w14:textFill>
                    </w:rPr>
                  </w:pPr>
                  <w:r>
                    <w:rPr>
                      <w:rFonts w:eastAsia="等线" w:cs="Times New Roman"/>
                      <w:color w:val="000000" w:themeColor="text1"/>
                      <w:szCs w:val="21"/>
                      <w14:textFill>
                        <w14:solidFill>
                          <w14:schemeClr w14:val="tx1"/>
                        </w14:solidFill>
                      </w14:textFill>
                    </w:rPr>
                    <w:t>176.44</w:t>
                  </w:r>
                </w:p>
              </w:tc>
              <w:tc>
                <w:tcPr>
                  <w:tcW w:w="2976"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459" w:type="dxa"/>
                  <w:vMerge w:val="continue"/>
                  <w:vAlign w:val="center"/>
                </w:tcPr>
                <w:p>
                  <w:pPr>
                    <w:pStyle w:val="29"/>
                    <w:rPr>
                      <w:color w:val="000000" w:themeColor="text1"/>
                      <w14:textFill>
                        <w14:solidFill>
                          <w14:schemeClr w14:val="tx1"/>
                        </w14:solidFill>
                      </w14:textFill>
                    </w:rPr>
                  </w:pPr>
                </w:p>
              </w:tc>
              <w:tc>
                <w:tcPr>
                  <w:tcW w:w="1309"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747" w:type="dxa"/>
                  <w:tcBorders>
                    <w:top w:val="single" w:color="auto" w:sz="4" w:space="0"/>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国家二级公益林</w:t>
                  </w:r>
                </w:p>
              </w:tc>
              <w:tc>
                <w:tcPr>
                  <w:tcW w:w="1165" w:type="dxa"/>
                  <w:tcBorders>
                    <w:top w:val="single" w:color="auto" w:sz="4" w:space="0"/>
                  </w:tcBorders>
                  <w:vAlign w:val="center"/>
                </w:tcPr>
                <w:p>
                  <w:pPr>
                    <w:pStyle w:val="29"/>
                    <w:rPr>
                      <w:rFonts w:eastAsia="等线" w:cs="Times New Roman"/>
                      <w:color w:val="000000" w:themeColor="text1"/>
                      <w:szCs w:val="21"/>
                      <w14:textFill>
                        <w14:solidFill>
                          <w14:schemeClr w14:val="tx1"/>
                        </w14:solidFill>
                      </w14:textFill>
                    </w:rPr>
                  </w:pPr>
                  <w:r>
                    <w:rPr>
                      <w:rFonts w:eastAsia="等线" w:cs="Times New Roman"/>
                      <w:color w:val="000000" w:themeColor="text1"/>
                      <w:szCs w:val="21"/>
                      <w14:textFill>
                        <w14:solidFill>
                          <w14:schemeClr w14:val="tx1"/>
                        </w14:solidFill>
                      </w14:textFill>
                    </w:rPr>
                    <w:t>2034.57</w:t>
                  </w:r>
                </w:p>
              </w:tc>
              <w:tc>
                <w:tcPr>
                  <w:tcW w:w="2976"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5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056"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会泽县生态保护红线优先保护单元</w:t>
                  </w:r>
                </w:p>
              </w:tc>
              <w:tc>
                <w:tcPr>
                  <w:tcW w:w="1165" w:type="dxa"/>
                  <w:vAlign w:val="center"/>
                </w:tcPr>
                <w:p>
                  <w:pPr>
                    <w:pStyle w:val="29"/>
                    <w:rPr>
                      <w:rFonts w:eastAsia="等线" w:cs="Times New Roman"/>
                      <w:color w:val="000000" w:themeColor="text1"/>
                      <w:szCs w:val="21"/>
                      <w14:textFill>
                        <w14:solidFill>
                          <w14:schemeClr w14:val="tx1"/>
                        </w14:solidFill>
                      </w14:textFill>
                    </w:rPr>
                  </w:pPr>
                  <w:r>
                    <w:rPr>
                      <w:rFonts w:eastAsia="等线" w:cs="Times New Roman"/>
                      <w:color w:val="000000" w:themeColor="text1"/>
                      <w:szCs w:val="21"/>
                      <w14:textFill>
                        <w14:solidFill>
                          <w14:schemeClr w14:val="tx1"/>
                        </w14:solidFill>
                      </w14:textFill>
                    </w:rPr>
                    <w:t>53699.68</w:t>
                  </w:r>
                </w:p>
              </w:tc>
              <w:tc>
                <w:tcPr>
                  <w:tcW w:w="297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经查询，本项目不占用2022年11月国家下发的“三区三线”生态保护红线范围。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5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056"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会泽县一般管控单元</w:t>
                  </w:r>
                </w:p>
              </w:tc>
              <w:tc>
                <w:tcPr>
                  <w:tcW w:w="1165"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159004.11</w:t>
                  </w:r>
                </w:p>
              </w:tc>
              <w:tc>
                <w:tcPr>
                  <w:tcW w:w="2976"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5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3056"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会泽县矿产资源重点管控单元</w:t>
                  </w:r>
                </w:p>
              </w:tc>
              <w:tc>
                <w:tcPr>
                  <w:tcW w:w="1165"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71801.08</w:t>
                  </w:r>
                </w:p>
              </w:tc>
              <w:tc>
                <w:tcPr>
                  <w:tcW w:w="2976"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w:t>
                  </w:r>
                </w:p>
              </w:tc>
            </w:tr>
          </w:tbl>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照曲靖市人民政府于2021年7月30日发布的《曲靖市人民政府关于印发曲靖市“三线一单”生态环境分区管控实施方案的通知》（曲政发〔2021〕27号），项目拟采取的各项措施能够满足所涉及该实施方案中的各项管控要求，与曲靖市“三线一单”管控要求不冲突，符合相关管控要求；本环评提出：拟建项目在实施过程中必须严格执行涉及的各管控单元中提出的各项“管控要求”，尽力保护好项目及周边区域生态环境。具体分析内容详见表</w:t>
            </w:r>
            <w:r>
              <w:rPr>
                <w:color w:val="000000" w:themeColor="text1"/>
                <w14:textFill>
                  <w14:solidFill>
                    <w14:schemeClr w14:val="tx1"/>
                  </w14:solidFill>
                </w14:textFill>
              </w:rPr>
              <w:t>1.3-2</w:t>
            </w:r>
            <w:r>
              <w:rPr>
                <w:rFonts w:hint="eastAsia"/>
                <w:color w:val="000000" w:themeColor="text1"/>
                <w14:textFill>
                  <w14:solidFill>
                    <w14:schemeClr w14:val="tx1"/>
                  </w14:solidFill>
                </w14:textFill>
              </w:rPr>
              <w:t>。</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项目与曲政发〔2021〕27号符合性分析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7"/>
              <w:gridCol w:w="3699"/>
              <w:gridCol w:w="2916"/>
              <w:gridCol w:w="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369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要求</w:t>
                  </w:r>
                </w:p>
              </w:tc>
              <w:tc>
                <w:tcPr>
                  <w:tcW w:w="291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生态保护红线及一般生态空间</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执行云南省人民政府发布的生态保护红线，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意见，项目用地范围不涉及生态保护红线。《曲靖市“三线一单”生态环境分区管控实施方案》中所划定的一般生态空间包括：国家级公益林、省级公益林、草地、生态环境综合评估区域、天然林等，项目占地区域内涉及的草地及省级公益林是属于划入一般生态空间的区域，因此，拟建项目部分占地区域位于一般生态空间范围，在按照相关要求办理占地手续后符合《国家级公益林管理办法》《云南省地方公益林管理办法》和《中华人民共和国草原法》的相关要求。</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环境质量底线</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到2025年，全市水环境质量总体优良，集中式饮用水水源地水质保持稳定，纳入国家和省级考核的地表水监测断面水质优良率稳步提升，重点区域、流域水环境质量进一步改善，基本消除劣V类水体，水生态系统功能初步恢复。</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根据《曲靖市生态环境局会泽分局2022年政府信息公开工作年度报告》：2022年国控断面—以礼河水文站水质稳定达地表水环境质量Ⅲ类标准，年比例达100%；其余河流断面</w:t>
                  </w:r>
                  <w:r>
                    <w:rPr>
                      <w:rFonts w:cs="Times New Roman"/>
                      <w:color w:val="000000" w:themeColor="text1"/>
                      <w14:textFill>
                        <w14:solidFill>
                          <w14:schemeClr w14:val="tx1"/>
                        </w14:solidFill>
                      </w14:textFill>
                    </w:rPr>
                    <w:t>Ⅰ-Ⅲ</w:t>
                  </w:r>
                  <w:r>
                    <w:rPr>
                      <w:rFonts w:hint="eastAsia"/>
                      <w:color w:val="000000" w:themeColor="text1"/>
                      <w14:textFill>
                        <w14:solidFill>
                          <w14:schemeClr w14:val="tx1"/>
                        </w14:solidFill>
                      </w14:textFill>
                    </w:rPr>
                    <w:t>类水质优良率为100%。二是城市集中式饮用水水源地毛家村水库、龙潭水源点水质稳定达标；19个乡（镇、街道）集中式饮用水水源水质均达地表水环境功能区要求。项目运营期无废水排放，不会降低周边地表水环境质量。</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到2025年，环境空气质量稳中向好，中心城市和各县（市、区）环境空气质量稳定达到国家二级标准，优良率保持稳定，达到省级下达的考核目标要求。</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根据《曲靖市生态环境局会泽分局2022年政府信息公开工作年度报告》：2022年会泽县空气自动监测站环境空气质量优良率达100%。</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项目施工期产生的少量扬尘和机械废气通过篷布遮盖、洒水降尘等防治措施，对大气环境影响小；项目运营期无生产废气产生。</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到2025年，全市土壤环境风险防范体系进一步完善，农用地和建设用地土壤环境安全基本得到有效保障，受污染耕地安全利用率和污染地块安全利用率进一步提高。</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项目拟建风机箱变集油池采取重点防渗，土壤污染风险能得到有效控制，对土壤环境的影响可控。</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资源利用上线</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强化节约集约利用，持续提升资源能源利用效率，水资源、土地资源、能源消耗完成省级下达的控制目标。</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本项目风机运行过程中无废水产生，风电场运营管理依托2</w:t>
                  </w:r>
                  <w:r>
                    <w:rPr>
                      <w:color w:val="000000" w:themeColor="text1"/>
                      <w14:textFill>
                        <w14:solidFill>
                          <w14:schemeClr w14:val="tx1"/>
                        </w14:solidFill>
                      </w14:textFill>
                    </w:rPr>
                    <w:t>20kV</w:t>
                  </w:r>
                  <w:r>
                    <w:rPr>
                      <w:rFonts w:hint="eastAsia"/>
                      <w:color w:val="000000" w:themeColor="text1"/>
                      <w14:textFill>
                        <w14:solidFill>
                          <w14:schemeClr w14:val="tx1"/>
                        </w14:solidFill>
                      </w14:textFill>
                    </w:rPr>
                    <w:t>升压站运营管理人员，不新增工作人员生活用水；项目占地不涉及基本农田，符合土地资源利用</w:t>
                  </w:r>
                  <w:r>
                    <w:rPr>
                      <w:rFonts w:hint="eastAsia"/>
                      <w:color w:val="000000" w:themeColor="text1"/>
                      <w:lang w:eastAsia="zh-CN"/>
                      <w14:textFill>
                        <w14:solidFill>
                          <w14:schemeClr w14:val="tx1"/>
                        </w14:solidFill>
                      </w14:textFill>
                    </w:rPr>
                    <w:t>上限</w:t>
                  </w:r>
                  <w:r>
                    <w:rPr>
                      <w:rFonts w:hint="eastAsia"/>
                      <w:color w:val="000000" w:themeColor="text1"/>
                      <w14:textFill>
                        <w14:solidFill>
                          <w14:schemeClr w14:val="tx1"/>
                        </w14:solidFill>
                      </w14:textFill>
                    </w:rPr>
                    <w:t>要求；本项目主要目的与任务是充分利用当地丰富的风能资源，将风能转化为电能供日常生产生活所需。</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准入</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清单</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是优先保护单元。该区域突出空间用途管控，以严格保护生态环境为导向，以维护生态系统功能为主，依法禁止或限制大规模、高强度的工业开发和城镇建设，确保生态功能不降低。其中生态保护红线优先保护单元按照国家生态保护红线有关管控要求进行管控；一般生态空间优先保护单元参照主体功能区中重点生态功能区的开发和管制原则进行管控，涉及占用一般生态空间中的各类保护地、公益林等的开发活动应符合相应法律法规规定，涉及占用一般生态空间中的其他没有明确规定区域的，应当加强论证和管理。二是重点管控单元。该区域突出污染物排放控制和环境风险防控，以守住环境质量底线、积极发展社会经济为导向，以推动产业转型升级、强化污染减排、提升资源利用效率为重点，加快解决资源环境负荷大、局部区域生态环境质量差、生态环境风险高等问题。三是一般管控单元。该区域以经济社会可持续发展为导向，执行区域生态环境保护的基本要求，根据资源环境承载能力，引导产业科学布局，合理控制开发强度，维护生态环境功能稳定。</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涉及一般生态空间中的草地及省级公益林属于优先保护单元。项目为风力发电项目，项目符合国家产业政策，项目属于《云南省发展和改革委员会云南省能源局关于印发云南省在适宜地区适度开发利用新能源规划及配套文件的通知》（云能源水电〔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153号）中规划的风电场之一。项目不属于《长江经济带发展负面清单指南（试行，2022年版）》中所列的禁止类项目。项目是充分利用当地丰富的风能资源，将风能转化为电能供日常生产生活所需，属于清洁能源、绿色环保项目，是属于当地资源环境可承载的产业；经林草局核实及《待补风电场二期项目使用林地可行性报告》，拟建项目占用的林地不涉及国家一级公益林、二级公益林、天然乔木林地等禁止占用的林地；本环评也要求，项目所涉及和占用的林地和草地必须依法办理用地审批手续后方可实施；本项目属于陆上风力发电，符合国家和云南省地方当前产业政策，符合当地相关规划。</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一般生态空间优先保护单元</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执行《云南省人民政府关于实施“三线一单”生态环境分区管控的意见》（云政发〔2020〕29号）和曲靖市生态环境管控总体要求。原则上按照限制开发区域的要求进行管理，严格限制大规模开发建设活动。以保护和修复生态环境、提供生态产品为首要任务，因地制宜地发展不影响主体功能定位的产业。</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未纳入生态保护红线的各类自然保护地按照有关法律法规规定进行管控；自然保护区按照《云南省自然保护区管理条例》《云南省自然保护区条例》等进行管控；风景名胜区按照《风景名胜区条例》《云南省风景名胜区条例》等进行管理；森林公园按照《国家级森林公园管理办法》等进行管理；地质公园按照《地质遗迹保护管理规定》《古生物化石保护条例》等进行管理；湿地公园和重要湿地按照《湿地保护管理规定》《国家湿地公园管理办法》《湿地保护修复制度方案的通知》《城市湿地公园管理办法》《云南省湿地保护条例》《云南省人民政府关于加强湿地保护工作的意见》等进行管理；公益林、原始林按照《国家级公益林管理办法》《云南省地方公益林管理办法》等进行管理；天然林按照《国家林业局关于严格保护天然林的通知》（林资发〔2015〕181号）、《天然林保护修复制度方案》等进行管理；基本草原依据《中华人民共和国草原法》进行管理。</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①拟建项目是充分利用当地丰富的风能资源，将风能转化为电能供日常生产生活所需，属于清洁能源、绿色环保项目，是属于当地资源环境可承载的产业；拟建项目不属于影响主体功能定位的产业。</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②根据会泽县自然资源局出具的意见，拟建项目选址范围内不涉及占用生态保护红线；</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③根据会泽县林业和草原局出具的选址意见及《待补风电场二期项目使用林地可行性报告》，项目占用的林地不涉及国家一级公益林、国家二级公益林、天然乔木林地等禁止占用的林地；</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项目建设方已委托昆明铭润林业规划设计有限公司编制了《待补风电场二期项目使用林地可行性报告》，本环评也要求，项目所涉及和占用的林地、草地必须依法办理用地审批手续后方可实施，严禁未批先建、未批先占林地草地；项目选址不占用基本草原。</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拟建项目永久占地面积不大，主要为临时占地，临时占地在工程施工结束后可通过植被恢复措施得以逐渐减缓对区域生态环境的影响程度，在本报告中提出了相应的生态保护措施，通过实施相应的保护措施后，对区域生态环境影响有限。</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会泽工业集中区重点管控单元</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①严格控制以废气污染物为特征的产业引入，保障环境空气质量。</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②金钟片区禁止引入水污染物排放量大的产业。</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③者海化工片区（精细磷化工为主）引进项目需加强论证，降低对云南会泽黑颈鹤国家级自然保护区的影响。</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项目不属于废气污染物为特征的产业，不属于水污染物排放量大的产业，项目距离黑颈鹤自然保护区较远，不会对自然保护区产生影响。项目位于山区，不位于工业园区。</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①加快园区环保基础设施建设，改善区域地表水环境质量，在受纳水体未达标前，园区或者各企业应实现废水不外排或者污染物倍量削减。</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②区域产业布局和项目建设应充分考虑对地下水的影响，做好地下水污染防治和监控。</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项目无废水排放，箱变等设施设置了集油池，项目实施不会对地下水造成影响。</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①进驻园区项目在选址布局时要充分考虑环境防护距离和安全防护距离的要求，避免事故发生时对敏感的居住人群的影响。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②园区集中固废储存和处置设施建设应严格对场地进行工程地质勘</w:t>
                  </w:r>
                  <w:r>
                    <w:rPr>
                      <w:rFonts w:hint="eastAsia"/>
                      <w:color w:val="000000" w:themeColor="text1"/>
                      <w:lang w:eastAsia="zh-CN"/>
                      <w14:textFill>
                        <w14:solidFill>
                          <w14:schemeClr w14:val="tx1"/>
                        </w14:solidFill>
                      </w14:textFill>
                    </w:rPr>
                    <w:t>察</w:t>
                  </w:r>
                  <w:r>
                    <w:rPr>
                      <w:rFonts w:hint="eastAsia"/>
                      <w:color w:val="000000" w:themeColor="text1"/>
                      <w14:textFill>
                        <w14:solidFill>
                          <w14:schemeClr w14:val="tx1"/>
                        </w14:solidFill>
                      </w14:textFill>
                    </w:rPr>
                    <w:t>，查明工程地质条件，提出针对性措施，确保区域地下水安全。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③制定突发环境事件应急预案并加强演练，完善风险管理机制。</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项目设置集中固废收集点，并提出相应防渗措施，不会对土壤及地下水造成影响。项目建成后应编制突发环境事件应急预案并定期演练。</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积极开展生产废水综合利用，提高工业用水重复利用率。</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本项目风机运行过程中无废水产生，风电场运营管理依托2</w:t>
                  </w:r>
                  <w:r>
                    <w:rPr>
                      <w:color w:val="000000" w:themeColor="text1"/>
                      <w14:textFill>
                        <w14:solidFill>
                          <w14:schemeClr w14:val="tx1"/>
                        </w14:solidFill>
                      </w14:textFill>
                    </w:rPr>
                    <w:t>20kV</w:t>
                  </w:r>
                  <w:r>
                    <w:rPr>
                      <w:rFonts w:hint="eastAsia"/>
                      <w:color w:val="000000" w:themeColor="text1"/>
                      <w14:textFill>
                        <w14:solidFill>
                          <w14:schemeClr w14:val="tx1"/>
                        </w14:solidFill>
                      </w14:textFill>
                    </w:rPr>
                    <w:t>升压站运营管理人员，不新增工作人员，不新增生活污水。</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会泽县矿产资源重点管控单元</w:t>
                  </w: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落实《云南省矿产资源总体规划》《曲靖市矿产资源总体规划》《会泽县矿产资源总体规划》中关于禁止开采区的规定，禁止开采区内不得新设采矿权。对各类保护区内已设置的商业探矿权和采矿权，依法退出。</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②严格禁止在各禁止开采区、自然保护区、风景名胜区、城镇、水库面山、主干公路两侧一定范围内进行采石和挖砂取石。</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新建矿山严格控制最低开采规模，对于规模小、数量多、布局不合理、资源浪费严重、生态保护和安全生产压力大等突出问题的矿山，通过产业调整、转型升级、资源整合等方式，构建集约、高效、协调的矿山开发新格局，实现科学发展、安全发展。</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④严格尾矿库建设项目准入，严控新增环境污染风险。</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项目属于风力发电，属于清洁能源、绿色环保项目；不涉及矿产资源开采，不涉及尾矿库建设。</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①推行清洁生产工艺，严格矿产资源开发的污染物排放。</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②对原有大中型矿山进行技术改造，淘汰污染严重、资源利用率低的落后设备与工艺。对矿产资源开发活动集中的区域，严格执行重点重金属污染物特别排放限值。</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项目为陆上风力发电，属于清洁能源，采用发电设备为国内先进发电设备，不涉及矿产资源开采。</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①矿山采选区、废水处理设施、固体废物储存场所等应配备完善的防扬散、防流失、防渗漏措施，严防对水体和土壤造成污染。</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②对尾矿库、废石堆通过平整、覆土、种植等措施开展复垦还绿，严防重金属污染。</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③加强尾矿库环境风险防范。重点尾矿库所属企业按照有关规定，开展污染状况自行监测。</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项目为陆上风力发电，不涉及矿山开采、尾矿库建设等，项目配套建设的固体废物储存场所等配备完善的防扬散、防流失、防渗漏措施，防止对水体和土壤造成污染。</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37" w:type="dxa"/>
                  <w:vMerge w:val="continue"/>
                  <w:vAlign w:val="center"/>
                </w:tcPr>
                <w:p>
                  <w:pPr>
                    <w:pStyle w:val="29"/>
                    <w:rPr>
                      <w:color w:val="000000" w:themeColor="text1"/>
                      <w14:textFill>
                        <w14:solidFill>
                          <w14:schemeClr w14:val="tx1"/>
                        </w14:solidFill>
                      </w14:textFill>
                    </w:rPr>
                  </w:pPr>
                </w:p>
              </w:tc>
              <w:tc>
                <w:tcPr>
                  <w:tcW w:w="369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①从源头减少废水产生，实施清污分流，充分利用矿井水、循环利用选矿废水。</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②提高矿产资源回采率和综合回收率，大力开展粉煤灰、炉渣、冶炼废渣、尾矿等资源化利用。</w:t>
                  </w:r>
                </w:p>
              </w:tc>
              <w:tc>
                <w:tcPr>
                  <w:tcW w:w="29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本项目风机运行过程中无废水产生，风电场运营管理依托一期220kV升压站运营管理人员，不新增工作人员，不新增生活污水，升压站已设置雨污分流，污水经处理后回用于绿化，不外排。</w:t>
                  </w:r>
                </w:p>
              </w:tc>
              <w:tc>
                <w:tcPr>
                  <w:tcW w:w="50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满足</w:t>
                  </w:r>
                </w:p>
              </w:tc>
            </w:tr>
          </w:tbl>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与《云南省主体功能区规划》的符合性分析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根据《云南省主体功能区规划》（云政发〔20</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1号），拟建项目位于国家农产品主产区（云南有49个县市属于国家农产品主产区），属于限制开发区域。区域功能定位为：①农产品主产区是保障粮食产品和主要农产品供给安全的基地，全省农业产业化的重要地区，现代农业的示范基地，农村居民安居乐业的美好家园，社会主义新农村建设的示范区。②农产品主产区主要以大力发展高原特色农业为重点，切实保护耕地，稳定粮食生产，发展现代农业，增强农业综合生产能力，增加农民收入，加快建设社会主义新农村，有效增强农产品供给保障能力，确保国家粮食安全和食品安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云南省主体功能区规划》在能源开发与布局中对于风电场建设要求：“妥善处理好风电开发与环境保护的关系，规范风电有序发展，严格按照规划环评要求，取消位于鸟类迁徙通道和生物多样性丰富区的风电场，科学合理确定风电开发规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查询，拟建项目已避开《云南省主体功能区规划》中禁止开发名录中所列的自然保护区、世界遗产地、风景名胜区、森林公园、地质公园、饮用水水源保护区、湿地公园等。项目在建设过程中将扰动原地貌，造成一定程度的水土流失，项目施工过程中在采取一定的工程措施、植物措施、临时措施后，将显著降低水土流失危害。项目建成后，将对临时占地区进行植被恢复或复耕，这将进一步减小项目建设对当地农业生产的不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拟建项目建设区域位于山脊，不属于生物多样性丰富的区域，项目区也不在云南省主要鸟类迁徙通道上。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位于会泽县南部山区的山脊区域，该区域主要分布为针叶林、草甸等，耕地零星分布；根据现场调查情况，项目的建设不占用基本农田，占用耕地面积较少，项目区不属于农产品集中分布区，因此，拟建项目不会影响会泽县作为农产品主产区主要功能的发挥，项目建设与《云南省主体功能区规划》中会泽县的功能定位不冲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综上分析，项目建设与《云南省主体功能区规划》不冲突。</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与《云南省生态功能区划》的符合性分析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根据《云南省生态功能区划》，项目位于会泽县南部，属于牛栏江、南盘江上游岩溶山原水源涵养生态功能区。所在地生态功能区单元及其生态服务功能、主要生态问题及产业发展方向见下表。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云南省生态功能区划简表</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6"/>
              <w:gridCol w:w="1309"/>
              <w:gridCol w:w="56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746"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功能</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分区</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单元</w:t>
                  </w:r>
                </w:p>
              </w:tc>
              <w:tc>
                <w:tcPr>
                  <w:tcW w:w="130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生态区</w:t>
                  </w:r>
                </w:p>
              </w:tc>
              <w:tc>
                <w:tcPr>
                  <w:tcW w:w="56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Ⅲ 高原亚热带北部常绿阔叶林生态区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746" w:type="dxa"/>
                  <w:vMerge w:val="continue"/>
                  <w:vAlign w:val="center"/>
                </w:tcPr>
                <w:p>
                  <w:pPr>
                    <w:pStyle w:val="29"/>
                    <w:rPr>
                      <w:color w:val="000000" w:themeColor="text1"/>
                      <w14:textFill>
                        <w14:solidFill>
                          <w14:schemeClr w14:val="tx1"/>
                        </w14:solidFill>
                      </w14:textFill>
                    </w:rPr>
                  </w:pPr>
                </w:p>
              </w:tc>
              <w:tc>
                <w:tcPr>
                  <w:tcW w:w="130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生态亚区</w:t>
                  </w:r>
                </w:p>
              </w:tc>
              <w:tc>
                <w:tcPr>
                  <w:tcW w:w="56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Ⅲ4 滇东北高中山暖性针叶林、亚高山草甸生态亚区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746" w:type="dxa"/>
                  <w:vMerge w:val="continue"/>
                  <w:vAlign w:val="center"/>
                </w:tcPr>
                <w:p>
                  <w:pPr>
                    <w:pStyle w:val="29"/>
                    <w:rPr>
                      <w:color w:val="000000" w:themeColor="text1"/>
                      <w14:textFill>
                        <w14:solidFill>
                          <w14:schemeClr w14:val="tx1"/>
                        </w14:solidFill>
                      </w14:textFill>
                    </w:rPr>
                  </w:pPr>
                </w:p>
              </w:tc>
              <w:tc>
                <w:tcPr>
                  <w:tcW w:w="130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生态功能区</w:t>
                  </w:r>
                </w:p>
              </w:tc>
              <w:tc>
                <w:tcPr>
                  <w:tcW w:w="56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Ⅲ4-4 牛栏江、南盘江上游岩溶山原水源涵养生态功能区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055"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所在区域与面积</w:t>
                  </w:r>
                </w:p>
              </w:tc>
              <w:tc>
                <w:tcPr>
                  <w:tcW w:w="56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沾益县北部，宣威市西部以及会泽县南部地区，面积5628.93km</w:t>
                  </w:r>
                  <w:r>
                    <w:rPr>
                      <w:rFonts w:hint="eastAsia"/>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055"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主要生态特征</w:t>
                  </w:r>
                </w:p>
              </w:tc>
              <w:tc>
                <w:tcPr>
                  <w:tcW w:w="56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以地貌以石灰岩山原为主，大部分地区的年降雨量在1000-1200mm，主要植被类型为云南松林，生长较差。主要土壤类型为黄棕壤和红壤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055"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主要生态环境问题</w:t>
                  </w:r>
                </w:p>
              </w:tc>
              <w:tc>
                <w:tcPr>
                  <w:tcW w:w="560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土地垦殖过度、森林退化严重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055"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生态环境敏感性</w:t>
                  </w:r>
                </w:p>
              </w:tc>
              <w:tc>
                <w:tcPr>
                  <w:tcW w:w="560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石漠化高中度敏感、土壤侵蚀中度敏感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055"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主要生态系统服务功能</w:t>
                  </w:r>
                </w:p>
              </w:tc>
              <w:tc>
                <w:tcPr>
                  <w:tcW w:w="56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牛栏江、南盘江上游岩溶地区的水源涵养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055"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保护措施与</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发展方向</w:t>
                  </w:r>
                </w:p>
              </w:tc>
              <w:tc>
                <w:tcPr>
                  <w:tcW w:w="56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严格退耕还林，加大封山育林的力度，调整产业结构，提高森林的数量和质量</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位于山顶区域，根据现场调查情况，项目建设区植被保存较好，具有较好的水源涵养与水土保持功能，项目的建设将不可避免的会对该区域的水土保持功能产生一定的影响，为了保护该区域的生态功能，建设单位已经委托昆明睿清水土保持咨询有限公司编制了水土保持方案报告书，根据《水保报告（报批稿）》的结论：“本工程建设方案布局合理，水土流失防治方面符合水土保持法律法规、技术标准的规定，实施水土保持措施后能达到控制水土流失、保护生态环境的目的。”项目的选址和选点，已避让环境敏感区、天然林、国家一级公益林等保存较好的森林资源，进一步降低了项目建设对森林植被的破坏，因此，只要认真落实水土保持措施和生态保护措施，项目建设不会破坏牛栏江、南盘江上游岩溶地区的水源涵养功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综上所述，项目符合《云南省生态功能区划》要求。</w:t>
            </w:r>
          </w:p>
          <w:p>
            <w:pPr>
              <w:pStyle w:val="34"/>
              <w:spacing w:before="156" w:after="156"/>
              <w:rPr>
                <w:color w:val="000000" w:themeColor="text1"/>
                <w14:textFill>
                  <w14:solidFill>
                    <w14:schemeClr w14:val="tx1"/>
                  </w14:solidFill>
                </w14:textFill>
              </w:rPr>
            </w:pP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与《云南省生物多样性保护条例》相符性分析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云南省生物多样性保护条例》于2018年9月21日经云南省第十三届人大常委会第五次会议通过，于2019年1月1日起施行。云南省已划定生物多样性保护优先区域，根据物种的丰富和珍稀濒危程度、生态系统类型的代表性以及区域的不可替代性而划定了生物多样性保护的重点和关键区域。分为一级区划和二级区划。根据保护条例，在生物多样性保护优先区域的建设项目以及自然资源开发，应当评价对生物多样性的影响，并作为环境影响评价的重要组成部分。项目与《云南省生物多样性保护条例》符合性分析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.6-1  </w:t>
            </w:r>
            <w:r>
              <w:rPr>
                <w:rFonts w:hint="eastAsia"/>
                <w:color w:val="000000" w:themeColor="text1"/>
                <w14:textFill>
                  <w14:solidFill>
                    <w14:schemeClr w14:val="tx1"/>
                  </w14:solidFill>
                </w14:textFill>
              </w:rPr>
              <w:t>与《云南省生物多样性保护条例》符合性分析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5"/>
              <w:gridCol w:w="3424"/>
              <w:gridCol w:w="2951"/>
              <w:gridCol w:w="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4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云南省生物多样性保护条例</w:t>
                  </w:r>
                </w:p>
              </w:tc>
              <w:tc>
                <w:tcPr>
                  <w:tcW w:w="295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是否符合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3424"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第二十九条 新建、改建、扩建建设项目以及开发自然资源，应当依法开展环境影响评价。对可能造成重要生态系统破坏、损害重要物种及其栖息地和生境的，应当制定专项保护、恢复和补偿方案，纳入环境影响评价。</w:t>
                  </w:r>
                </w:p>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在生物多样性保护优先区域的建设项目以及自然资源开发，应当评价对生物多样性的影响，并作为环境影响评价的重要组成部分。</w:t>
                  </w:r>
                </w:p>
              </w:tc>
              <w:tc>
                <w:tcPr>
                  <w:tcW w:w="2951"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会泽县境内，经叠图分析，项目不在云南生物多样性保护优先区域。本项目按照相关要求开展环境影响评价，且项目选址不占用国家级和省级自然保护区、风景名胜区、饮用水水源保护区、重要生态系统、重要物种栖息地等环境敏感区和特殊功能生态区，不会造成重要生态系统和重要物种栖息地的破坏。</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综上，项目与《云南省生态功能区划》的保护措施及发展方向不冲突，符合《云南主体功能区规划》相关定位。综上，本项目建设符合《云南省生物多样性保护条例》要求。</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与《云南省生物多样性保护战略与行动计划（2012~2030）》的符合性分析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国生物多样性保护战略与行动计划（2011-2030年）》划分的中国生物多样性保护优先区域，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k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，占云南国土面积的23.8%。</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1.7-1</w:t>
            </w:r>
            <w:r>
              <w:rPr>
                <w:rFonts w:hint="eastAsia"/>
                <w:color w:val="000000" w:themeColor="text1"/>
                <w14:textFill>
                  <w14:solidFill>
                    <w14:schemeClr w14:val="tx1"/>
                  </w14:solidFill>
                </w14:textFill>
              </w:rPr>
              <w:t xml:space="preserve">  6个一级优先区域和18个二级优先区域一览表</w:t>
            </w:r>
          </w:p>
          <w:tbl>
            <w:tblPr>
              <w:tblStyle w:val="20"/>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2473"/>
              <w:gridCol w:w="44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70" w:hRule="atLeast"/>
              </w:trPr>
              <w:tc>
                <w:tcPr>
                  <w:tcW w:w="74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473"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一级优先区域</w:t>
                  </w:r>
                </w:p>
              </w:tc>
              <w:tc>
                <w:tcPr>
                  <w:tcW w:w="4439"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二级优先区域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473"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滇西北高山峡谷针叶林区域</w:t>
                  </w: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①高黎贡山北段温凉性针叶林区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②梅里雪山－碧罗雪山寒温性针叶林区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③云岭山脉寒温性－暖温性针叶林区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④香格里拉山原寒温性针叶林区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473"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云南南部边缘热带雨林区域</w:t>
                  </w: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①高黎贡山南段中山湿性常绿阔叶林区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②铜壁关热带雨林区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③南汀河热带雨林区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④西双版纳热带雨林区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⑤红河湿润雨林区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473"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滇东南喀斯特东南季风阔叶林区域</w:t>
                  </w: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①滇东南喀斯特东南季风阔叶林区域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473"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滇东北乌蒙山湿润常绿阔叶林区域</w:t>
                  </w: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①乌蒙山湿润常绿阔叶林区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②金沙江下游干热、干暖河谷区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473"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澜沧江中游－哀牢山中山湿性常绿阔叶林区域</w:t>
                  </w: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①澜沧江中山宽谷常绿阔叶林区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②无量山中山湿性常绿阔叶林区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③哀牢山中山湿性常绿阔叶林区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473"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云南高原湿地区域</w:t>
                  </w: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①滇中高原湖泊区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②滇西北高原湖泊区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744" w:type="dxa"/>
                  <w:vMerge w:val="continue"/>
                  <w:shd w:val="clear" w:color="auto" w:fill="auto"/>
                  <w:vAlign w:val="center"/>
                </w:tcPr>
                <w:p>
                  <w:pPr>
                    <w:pStyle w:val="29"/>
                    <w:rPr>
                      <w:color w:val="000000" w:themeColor="text1"/>
                      <w14:textFill>
                        <w14:solidFill>
                          <w14:schemeClr w14:val="tx1"/>
                        </w14:solidFill>
                      </w14:textFill>
                    </w:rPr>
                  </w:pPr>
                </w:p>
              </w:tc>
              <w:tc>
                <w:tcPr>
                  <w:tcW w:w="2473" w:type="dxa"/>
                  <w:vMerge w:val="continue"/>
                  <w:shd w:val="clear" w:color="auto" w:fill="auto"/>
                  <w:vAlign w:val="center"/>
                </w:tcPr>
                <w:p>
                  <w:pPr>
                    <w:pStyle w:val="29"/>
                    <w:rPr>
                      <w:color w:val="000000" w:themeColor="text1"/>
                      <w14:textFill>
                        <w14:solidFill>
                          <w14:schemeClr w14:val="tx1"/>
                        </w14:solidFill>
                      </w14:textFill>
                    </w:rPr>
                  </w:pPr>
                </w:p>
              </w:tc>
              <w:tc>
                <w:tcPr>
                  <w:tcW w:w="4439" w:type="dxa"/>
                  <w:shd w:val="clear" w:color="auto" w:fill="auto"/>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③滇东北高山沼泽化草甸区</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位于云南省曲靖市会泽县南部待补镇、驾车乡、上村乡一带的山脊，经对照云南省生物多样性保护战略与行动计划（2012-2030）及云南生物多样性保护优先区域区划图，本工程不涉及其中提出的6个一级优先区域和18个二级优先区域，因此，本工程与《云南省生物多样性保护战略与行动计划（2012-2030）》不冲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本拟建项目与《云南省生物多样性保护战略与行动计划（2012-2030）》相对位置详见下图。</w:t>
            </w:r>
          </w:p>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2085975</wp:posOffset>
                      </wp:positionH>
                      <wp:positionV relativeFrom="paragraph">
                        <wp:posOffset>762000</wp:posOffset>
                      </wp:positionV>
                      <wp:extent cx="984250" cy="325755"/>
                      <wp:effectExtent l="57150" t="0" r="25400" b="169545"/>
                      <wp:wrapNone/>
                      <wp:docPr id="9" name="对话气泡: 矩形 9"/>
                      <wp:cNvGraphicFramePr/>
                      <a:graphic xmlns:a="http://schemas.openxmlformats.org/drawingml/2006/main">
                        <a:graphicData uri="http://schemas.microsoft.com/office/word/2010/wordprocessingShape">
                          <wps:wsp>
                            <wps:cNvSpPr/>
                            <wps:spPr>
                              <a:xfrm>
                                <a:off x="0" y="0"/>
                                <a:ext cx="984250" cy="325755"/>
                              </a:xfrm>
                              <a:prstGeom prst="wedgeRectCallout">
                                <a:avLst>
                                  <a:gd name="adj1" fmla="val -51706"/>
                                  <a:gd name="adj2" fmla="val 8954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left"/>
                                    <w:rPr>
                                      <w:b/>
                                      <w:bCs/>
                                      <w:color w:val="FF0000"/>
                                      <w14:textOutline w14:w="9525" w14:cap="rnd" w14:cmpd="sng" w14:algn="ctr">
                                        <w14:solidFill>
                                          <w14:srgbClr w14:val="FF0000"/>
                                        </w14:solidFill>
                                        <w14:prstDash w14:val="solid"/>
                                        <w14:bevel/>
                                      </w14:textOutline>
                                    </w:rPr>
                                  </w:pPr>
                                  <w:r>
                                    <w:rPr>
                                      <w:rFonts w:hint="eastAsia"/>
                                      <w:b/>
                                      <w:bCs/>
                                      <w:color w:val="FF0000"/>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对话气泡: 矩形 9" o:spid="_x0000_s1026" o:spt="61" type="#_x0000_t61" style="position:absolute;left:0pt;margin-left:164.25pt;margin-top:60pt;height:25.65pt;width:77.5pt;z-index:251662336;mso-width-relative:page;mso-height-relative:page;" filled="f" stroked="t" coordsize="21600,21600" o:gfxdata="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Z9vWNoAAAALAQAADwAAAAAAAAABACAAAAAiAAAAZHJzL2Rvd25yZXYueG1sUEsBAhQA&#10;FAAAAAgAh07iQDOfTaKbAgAA8QQAAA4AAAAAAAAAAQAgAAAAKQEAAGRycy9lMm9Eb2MueG1sUEsF&#10;BgAAAAAGAAYAWQEAADYGAAAAAA==&#10;" adj="-368,30143">
                      <v:fill on="f" focussize="0,0"/>
                      <v:stroke weight="1pt" color="#FF0000 [3204]" miterlimit="8" joinstyle="miter"/>
                      <v:imagedata o:title=""/>
                      <o:lock v:ext="edit" aspectratio="f"/>
                      <v:textbox>
                        <w:txbxContent>
                          <w:p>
                            <w:pPr>
                              <w:ind w:firstLine="0" w:firstLineChars="0"/>
                              <w:jc w:val="left"/>
                              <w:rPr>
                                <w:b/>
                                <w:bCs/>
                                <w:color w:val="FF0000"/>
                                <w14:textOutline w14:w="9525" w14:cap="rnd" w14:cmpd="sng" w14:algn="ctr">
                                  <w14:solidFill>
                                    <w14:srgbClr w14:val="FF0000"/>
                                  </w14:solidFill>
                                  <w14:prstDash w14:val="solid"/>
                                  <w14:bevel/>
                                </w14:textOutline>
                              </w:rPr>
                            </w:pPr>
                            <w:r>
                              <w:rPr>
                                <w:rFonts w:hint="eastAsia"/>
                                <w:b/>
                                <w:bCs/>
                                <w:color w:val="FF0000"/>
                              </w:rPr>
                              <w:t>项目所在地</w:t>
                            </w:r>
                          </w:p>
                        </w:txbxContent>
                      </v:textbox>
                    </v:shape>
                  </w:pict>
                </mc:Fallback>
              </mc:AlternateContent>
            </w:r>
            <w:r>
              <w:rPr>
                <w:color w:val="000000" w:themeColor="text1"/>
                <w14:textFill>
                  <w14:solidFill>
                    <w14:schemeClr w14:val="tx1"/>
                  </w14:solidFill>
                </w14:textFill>
              </w:rPr>
              <w:drawing>
                <wp:inline distT="0" distB="0" distL="0" distR="0">
                  <wp:extent cx="4685030" cy="295338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29111" cy="2981164"/>
                          </a:xfrm>
                          <a:prstGeom prst="rect">
                            <a:avLst/>
                          </a:prstGeom>
                          <a:noFill/>
                          <a:ln>
                            <a:noFill/>
                          </a:ln>
                        </pic:spPr>
                      </pic:pic>
                    </a:graphicData>
                  </a:graphic>
                </wp:inline>
              </w:drawing>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color w:val="000000" w:themeColor="text1"/>
                <w14:textFill>
                  <w14:solidFill>
                    <w14:schemeClr w14:val="tx1"/>
                  </w14:solidFill>
                </w14:textFill>
              </w:rPr>
              <w:t xml:space="preserve">.7-1  </w:t>
            </w:r>
            <w:r>
              <w:rPr>
                <w:rFonts w:hint="eastAsia"/>
                <w:color w:val="000000" w:themeColor="text1"/>
                <w14:textFill>
                  <w14:solidFill>
                    <w14:schemeClr w14:val="tx1"/>
                  </w14:solidFill>
                </w14:textFill>
              </w:rPr>
              <w:t>项目与云南省生物多样性保护区位置关系</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与《国家林业和草原局关于规范风电场项目建设使用林地的通知》（林资发〔20</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〕17号）的符合性分析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文件中规定的风电场建设使用林地禁建区域为：严格保护生态功能重要、生态脆弱敏感地区的林地。自然遗产地、国家公园、自然保护区、森林公园、湿地公园、地质公园、风景名胜区、鸟类主要迁徙通道和迁徙地等区域以及沿海基干林带和消浪林带。风电场建设使用林地限制范围为：“风电场建设应当节约集约使用林地。风机基础、施工和检修道路、升压站、集电线路等，禁止占用天然乔木林（竹林）地、年降雨量400毫米以下区域的有林地、一级国家级公益林地和二级国家级公益林中的有林地。”强化风电场道路建设和临时用地管理：风电场施工和检修道路，应尽可能利用现有森林防火道路、林区道路、乡村道路等道路，在其基础上扩建的风电场道路原则上不得改变现有道路性质。风电场新建配套道路应与风电场一同办理使用林地手续，风电场配套道路要严格控制道路宽度，提高标准，合理建设排水沟、过水涵洞、挡土墙等设施；严格按照设计规范施工，禁止强推强挖式放坡施工，防止废弃砂石任意放置和随意滚落，同步实施水土保持和恢复林业生产条件的措施。吊装平台、施工道路、弃渣场、集电线路等临时占用林地的，应在临时占用林地期满后一年内恢复林业生产条件，并及时恢复植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会泽县年平均降雨量约为</w:t>
            </w:r>
            <w:r>
              <w:rPr>
                <w:color w:val="000000" w:themeColor="text1"/>
                <w14:textFill>
                  <w14:solidFill>
                    <w14:schemeClr w14:val="tx1"/>
                  </w14:solidFill>
                </w14:textFill>
              </w:rPr>
              <w:t>817.7</w:t>
            </w:r>
            <w:r>
              <w:rPr>
                <w:rFonts w:hint="eastAsia"/>
                <w:color w:val="000000" w:themeColor="text1"/>
                <w14:textFill>
                  <w14:solidFill>
                    <w14:schemeClr w14:val="tx1"/>
                  </w14:solidFill>
                </w14:textFill>
              </w:rPr>
              <w:t>毫米，故项目不涉及年降雨量</w:t>
            </w:r>
            <w:r>
              <w:rPr>
                <w:color w:val="000000" w:themeColor="text1"/>
                <w14:textFill>
                  <w14:solidFill>
                    <w14:schemeClr w14:val="tx1"/>
                  </w14:solidFill>
                </w14:textFill>
              </w:rPr>
              <w:t>400</w:t>
            </w:r>
            <w:r>
              <w:rPr>
                <w:rFonts w:hint="eastAsia"/>
                <w:color w:val="000000" w:themeColor="text1"/>
                <w14:textFill>
                  <w14:solidFill>
                    <w14:schemeClr w14:val="tx1"/>
                  </w14:solidFill>
                </w14:textFill>
              </w:rPr>
              <w:t>毫米以下区域的</w:t>
            </w:r>
            <w:r>
              <w:rPr>
                <w:rFonts w:hint="eastAsia"/>
                <w:color w:val="000000" w:themeColor="text1"/>
                <w:lang w:eastAsia="zh-CN"/>
                <w14:textFill>
                  <w14:solidFill>
                    <w14:schemeClr w14:val="tx1"/>
                  </w14:solidFill>
                </w14:textFill>
              </w:rPr>
              <w:t>所</w:t>
            </w:r>
            <w:r>
              <w:rPr>
                <w:rFonts w:hint="eastAsia"/>
                <w:color w:val="000000" w:themeColor="text1"/>
                <w14:textFill>
                  <w14:solidFill>
                    <w14:schemeClr w14:val="tx1"/>
                  </w14:solidFill>
                </w14:textFill>
              </w:rPr>
              <w:t>有林地。根据《待补风电场二期项目使用林地可行性报告》，项目不占用天然乔木林（竹林）地、年降雨量400毫米以下区域的有林地、一级国家级公益林地和二级国家级公益林，项目建设完成后对临时用地进行植被恢复，符合相关林业规划。</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与云环发〔2014〕50号文的符合性分析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2015年5月，云南省环境保护厅发布了《关于进一步加强风电建设项目环境影响评价管理工作的通知》（云环发〔2014〕50号），项目与该通知符合性分析见下表。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.9-1  </w:t>
            </w:r>
            <w:r>
              <w:rPr>
                <w:rFonts w:hint="eastAsia"/>
                <w:color w:val="000000" w:themeColor="text1"/>
                <w14:textFill>
                  <w14:solidFill>
                    <w14:schemeClr w14:val="tx1"/>
                  </w14:solidFill>
                </w14:textFill>
              </w:rPr>
              <w:t>与云环发〔2014〕50号文的符合性分析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5"/>
              <w:gridCol w:w="3424"/>
              <w:gridCol w:w="2951"/>
              <w:gridCol w:w="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4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云环发〔2014〕50号文</w:t>
                  </w:r>
                </w:p>
              </w:tc>
              <w:tc>
                <w:tcPr>
                  <w:tcW w:w="295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是否符合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3424" w:type="dxa"/>
                  <w:vAlign w:val="center"/>
                </w:tcPr>
                <w:p>
                  <w:pPr>
                    <w:pStyle w:val="29"/>
                    <w:jc w:val="both"/>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风电建设要坚持生态优先的原则，结合国家和我省主体功能区规划、生态功能区划、云南省风电开发规划以及规划环境影响评价的有关要求，切实落实生态保护措施，科学、合理、有序地推进风电建设。</w:t>
                  </w:r>
                </w:p>
              </w:tc>
              <w:tc>
                <w:tcPr>
                  <w:tcW w:w="2951" w:type="dxa"/>
                  <w:vAlign w:val="center"/>
                </w:tcPr>
                <w:p>
                  <w:pPr>
                    <w:pStyle w:val="29"/>
                    <w:jc w:val="both"/>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拟建项目符合云南省主体功能区规划，生态功能区划及云南省风电开发规划及规划环境影响评价的要求。</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4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风电建设项目要有效避让环境敏感区和重点环境保护目标，对开发与保护统筹考虑不够的、区域生态系统影响较大的、生态环保措施不落实的以及生态环境保护资金投入不足的不予审批项目环境影响评价文件。</w:t>
                  </w:r>
                </w:p>
              </w:tc>
              <w:tc>
                <w:tcPr>
                  <w:tcW w:w="29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拟建项目已避让自然保护区、饮用水水源保护区、风景名胜区等生态环境敏感区，并严格要求相关生态保护措施。</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4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在风电开发中，还应重点关注鸟类迁徙通道、特有（珍稀）植物群落、自然圣境等重要生态环境保护目标。</w:t>
                  </w:r>
                </w:p>
              </w:tc>
              <w:tc>
                <w:tcPr>
                  <w:tcW w:w="29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项目选址避让了主要</w:t>
                  </w:r>
                  <w:r>
                    <w:rPr>
                      <w:rFonts w:hint="eastAsia"/>
                      <w:color w:val="000000" w:themeColor="text1"/>
                      <w:lang w:eastAsia="zh-CN"/>
                      <w14:textFill>
                        <w14:solidFill>
                          <w14:schemeClr w14:val="tx1"/>
                        </w14:solidFill>
                      </w14:textFill>
                    </w:rPr>
                    <w:t>候鸟</w:t>
                  </w:r>
                  <w:r>
                    <w:rPr>
                      <w:rFonts w:hint="eastAsia"/>
                      <w:color w:val="000000" w:themeColor="text1"/>
                      <w14:textFill>
                        <w14:solidFill>
                          <w14:schemeClr w14:val="tx1"/>
                        </w14:solidFill>
                      </w14:textFill>
                    </w:rPr>
                    <w:t>迁徙通道，不涉及特有（珍稀）植物群落、自然圣境等重要生态环境保护目标。</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4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统筹考虑风电建设项目进场道路、场内道路和升压站的环境影响，将上述建设内容纳入风电项目评价范围一并开展环境影响评价。</w:t>
                  </w:r>
                </w:p>
              </w:tc>
              <w:tc>
                <w:tcPr>
                  <w:tcW w:w="29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项目已将进场道路、场内道路、升压站等纳入环境影响评价。</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4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风电项目环评要按照《环境影响评价公众参与暂行办法（试行）》的要求，组织开展公众参与，编制环评报告表的风电项目要组织公众调查，收集公众调查意见。</w:t>
                  </w:r>
                </w:p>
              </w:tc>
              <w:tc>
                <w:tcPr>
                  <w:tcW w:w="29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项目已组织开展公众参与，并开展公众调查。</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4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应按照生态优先的原则，优化风机选址、调整布局，有效避让环境敏感区，降低风电场对环境敏感区域等的不良环境影响。</w:t>
                  </w:r>
                </w:p>
              </w:tc>
              <w:tc>
                <w:tcPr>
                  <w:tcW w:w="29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项目选址已经避让自然保护区、风景名胜区等环境敏感区，并提出在工程施工过程中进一步优化施工布置及施工工艺，尽量减少占用自然植被等措施。</w:t>
                  </w:r>
                </w:p>
              </w:tc>
              <w:tc>
                <w:tcPr>
                  <w:tcW w:w="75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综上所述，项目建设与云环发〔2014〕50号文相关要求相协调。</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.10 </w:t>
            </w:r>
            <w:r>
              <w:rPr>
                <w:rFonts w:hint="eastAsia"/>
                <w:color w:val="000000" w:themeColor="text1"/>
                <w14:textFill>
                  <w14:solidFill>
                    <w14:schemeClr w14:val="tx1"/>
                  </w14:solidFill>
                </w14:textFill>
              </w:rPr>
              <w:t>与《云南省长江经济带发展负面清单指南实施细则（试行，2022年版）》符合性分析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深入贯彻落实习近平总书记关于推动长江经济带发展的重要讲话和指示批示精神，认真落实长江保护法，云南省发展改革委会根据《长江经济带发展负面清单指南（试行，</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年版）》（长江办〔</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号），结合云南实际，</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日云南省发展和改革委员会发布了《云南省长江经济带发展负面清单指南实施细则（试行，</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年版）》（云发改基础〔</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894</w:t>
            </w:r>
            <w:r>
              <w:rPr>
                <w:rFonts w:hint="eastAsia"/>
                <w:color w:val="000000" w:themeColor="text1"/>
                <w14:textFill>
                  <w14:solidFill>
                    <w14:schemeClr w14:val="tx1"/>
                  </w14:solidFill>
                </w14:textFill>
              </w:rPr>
              <w:t>号文），本项目与《云南省长江经济带发展负面清单指南实施细则（试行，</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年版）》（云发改基础〔</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894</w:t>
            </w:r>
            <w:r>
              <w:rPr>
                <w:rFonts w:hint="eastAsia"/>
                <w:color w:val="000000" w:themeColor="text1"/>
                <w14:textFill>
                  <w14:solidFill>
                    <w14:schemeClr w14:val="tx1"/>
                  </w14:solidFill>
                </w14:textFill>
              </w:rPr>
              <w:t>号文）中的内容对照情况详见下表：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.10-1  </w:t>
            </w:r>
            <w:r>
              <w:rPr>
                <w:rFonts w:hint="eastAsia"/>
                <w:color w:val="000000" w:themeColor="text1"/>
                <w14:textFill>
                  <w14:solidFill>
                    <w14:schemeClr w14:val="tx1"/>
                  </w14:solidFill>
                </w14:textFill>
              </w:rPr>
              <w:t>与云发改基础〔2022〕894号文符合性分析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5"/>
              <w:gridCol w:w="4581"/>
              <w:gridCol w:w="1793"/>
              <w:gridCol w:w="7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58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云南省长江经济带发展负面清单指南实施细则（试行，2022年版）</w:t>
                  </w:r>
                </w:p>
              </w:tc>
              <w:tc>
                <w:tcPr>
                  <w:tcW w:w="179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是否符合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项目为风电项目，不属于港口布局规划以及港口总体规划的码头项目。</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根据现场调查，项目选址不占用自然保护区。</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6"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根据现场调查，项目选址不涉及风景名胜区。</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6"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项目选址不涉及饮用水水源保护区。</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6" w:hRule="atLeast"/>
              </w:trPr>
              <w:tc>
                <w:tcPr>
                  <w:tcW w:w="52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项目选址不涉及水产种质资源保护区，不涉及国家湿地公园。</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67"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项目不在金沙江、长江一级支流岸线保护范围，项目不属于左列中所禁止的行为和禁止建设的建设项目。</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项目风机运行过程中无废水产生，风电场运营管理依托2</w:t>
                  </w:r>
                  <w:r>
                    <w:rPr>
                      <w:color w:val="000000" w:themeColor="text1"/>
                      <w14:textFill>
                        <w14:solidFill>
                          <w14:schemeClr w14:val="tx1"/>
                        </w14:solidFill>
                      </w14:textFill>
                    </w:rPr>
                    <w:t>20kV</w:t>
                  </w:r>
                  <w:r>
                    <w:rPr>
                      <w:rFonts w:hint="eastAsia"/>
                      <w:color w:val="000000" w:themeColor="text1"/>
                      <w14:textFill>
                        <w14:solidFill>
                          <w14:schemeClr w14:val="tx1"/>
                        </w14:solidFill>
                      </w14:textFill>
                    </w:rPr>
                    <w:t>升压站管理人员，不新增工作人员生活用水，升压站生活污水经处理后回用，不外排。</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禁止在金沙江干流、长江一级支流、水生生物保护区和长江流域禁捕水域开展天然渔业资源生产性捕捞。</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项目不涉及水域工作，不开展生产性捕捞。</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项目属于风力发电项目，不属于化工项目及尾矿库、冶炼渣库和磷石膏库项目。</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禁止在合规园区外新建、扩建钢铁、石化、化工、焦化、建材、有色、制浆造纸行业中的高污染项目。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项目属于风力发电项目，不属于禁止建设的高污染项目。</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项目属于风力发电项目，不属于禁止的不符合国家石化、现代煤化工等产业布局规划的项目。不属于危险化学品生产项目。</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7" w:hRule="atLeast"/>
              </w:trPr>
              <w:tc>
                <w:tcPr>
                  <w:tcW w:w="52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458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79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项目属于风力发电项目，不属于产能过剩、耗能高排放项目，不属于高毒高残留以及对环境影响大的农药原药生产项目。</w:t>
                  </w:r>
                </w:p>
              </w:tc>
              <w:tc>
                <w:tcPr>
                  <w:tcW w:w="75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与《关于做好能源项目环评审批服务工作的通知》（云环通〔</w:t>
            </w:r>
            <w:r>
              <w:rPr>
                <w:bCs/>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bCs/>
                <w:color w:val="000000" w:themeColor="text1"/>
                <w14:textFill>
                  <w14:solidFill>
                    <w14:schemeClr w14:val="tx1"/>
                  </w14:solidFill>
                </w14:textFill>
              </w:rPr>
              <w:t>140</w:t>
            </w:r>
            <w:r>
              <w:rPr>
                <w:rFonts w:hint="eastAsia"/>
                <w:color w:val="000000" w:themeColor="text1"/>
                <w14:textFill>
                  <w14:solidFill>
                    <w14:schemeClr w14:val="tx1"/>
                  </w14:solidFill>
                </w14:textFill>
              </w:rPr>
              <w:t>号）的符合性</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日，云南省生态环境厅印发了《关于做好能源项目环评审批服务工作的通知》（云环通〔</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140</w:t>
            </w:r>
            <w:r>
              <w:rPr>
                <w:rFonts w:hint="eastAsia"/>
                <w:color w:val="000000" w:themeColor="text1"/>
                <w14:textFill>
                  <w14:solidFill>
                    <w14:schemeClr w14:val="tx1"/>
                  </w14:solidFill>
                </w14:textFill>
              </w:rPr>
              <w:t>号），该通知要求：对可能涉及自然保护地、饮用水水源保护区、生态保护红线等环境敏感区的煤炭开采、水力发电、风力发电、太阳能发电等能源项目尤其是涉及能源保供项目要依法依规予以避让。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本项目为风力发电项目，该项目微观选址拟布置</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台风机机组，并于</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日取得《云南省发展和改革委员会关于曲靖市待补风电场二期项目核准的批复》（云发改能源〔</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282</w:t>
            </w:r>
            <w:r>
              <w:rPr>
                <w:rFonts w:hint="eastAsia"/>
                <w:color w:val="000000" w:themeColor="text1"/>
                <w14:textFill>
                  <w14:solidFill>
                    <w14:schemeClr w14:val="tx1"/>
                  </w14:solidFill>
                </w14:textFill>
              </w:rPr>
              <w:t>号）。在环评过程中，核查了拟选风机与饮用水水源准保护区的位置关系，其中</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台风机位于毛家村水库饮用水水源准保护区，本着生态优先的原则，环评建议建设单位舍弃以上</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台风机。后建设单位采纳了环评建议，取消了饮用水水源准保护区内的1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台风机，为确保发电规模满足要求，建设单位对风机选址进行了优化调整，最终选定</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台风机机组，安装</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台5.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MW的机组和</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MW的机组。根据相关选址意见，项目选址不涉及自然保护区、国家公园、风景名胜区、文物古迹、湿地保护区等自然保护地；根据曲靖市生态环境局会泽分局出具的选址意见，项目不涉及饮用水水源保护区。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综上，本项目已依法依规对可能涉及的禁止建设区域进行避让，项目建设符合《关于做好能源项目环评审批服务工作的通知》（云环通〔2022〕140号）的相关要求。</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与曲靖市集中式饮用水水源地保护条例符合性分析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待补风电场二期项目受周边敏感因素限制，规划范围内已无其他可选机位。为满足《云南省在适宜地区适度开发利用新能源规划》中的装机规模要求，最终确定可安装的总装机台数仅</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台，风机选址具有唯一性。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根据地理信息系统（GIS）分析，本项目所在区域不涉及毛家村水库饮用水水源保护区范围，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台风机与该水源保护区的准保护区边界较近。项目与《</w:t>
            </w:r>
            <w:r>
              <w:rPr>
                <w:rFonts w:hint="eastAsia"/>
                <w:bCs/>
                <w:color w:val="000000" w:themeColor="text1"/>
                <w14:textFill>
                  <w14:solidFill>
                    <w14:schemeClr w14:val="tx1"/>
                  </w14:solidFill>
                </w14:textFill>
              </w:rPr>
              <w:t>曲靖市集中式饮用水水源地保护条例</w:t>
            </w:r>
            <w:r>
              <w:rPr>
                <w:rFonts w:hint="eastAsia"/>
                <w:color w:val="000000" w:themeColor="text1"/>
                <w14:textFill>
                  <w14:solidFill>
                    <w14:schemeClr w14:val="tx1"/>
                  </w14:solidFill>
                </w14:textFill>
              </w:rPr>
              <w:t>》符合性分析见下表。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.12-1  </w:t>
            </w:r>
            <w:r>
              <w:rPr>
                <w:rFonts w:hint="eastAsia"/>
                <w:color w:val="000000" w:themeColor="text1"/>
                <w14:textFill>
                  <w14:solidFill>
                    <w14:schemeClr w14:val="tx1"/>
                  </w14:solidFill>
                </w14:textFill>
              </w:rPr>
              <w:t>项目与《</w:t>
            </w:r>
            <w:r>
              <w:rPr>
                <w:rFonts w:hint="eastAsia"/>
                <w:bCs/>
                <w:color w:val="000000" w:themeColor="text1"/>
                <w14:textFill>
                  <w14:solidFill>
                    <w14:schemeClr w14:val="tx1"/>
                  </w14:solidFill>
                </w14:textFill>
              </w:rPr>
              <w:t>曲靖市集中式饮用水水源地保护条例</w:t>
            </w:r>
            <w:r>
              <w:rPr>
                <w:rFonts w:hint="eastAsia"/>
                <w:color w:val="000000" w:themeColor="text1"/>
                <w14:textFill>
                  <w14:solidFill>
                    <w14:schemeClr w14:val="tx1"/>
                  </w14:solidFill>
                </w14:textFill>
              </w:rPr>
              <w:t>》符合性分析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8"/>
              <w:gridCol w:w="3801"/>
              <w:gridCol w:w="2765"/>
              <w:gridCol w:w="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8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条例要求</w:t>
                  </w:r>
                </w:p>
              </w:tc>
              <w:tc>
                <w:tcPr>
                  <w:tcW w:w="276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65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8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第十七条 在地表水集中式饮用水水源准保护区内，禁止新建、扩建对水体污染严重的建设项目；改建建设项目，不得增加排污量；不得破坏湿地、毁林开荒以及破坏集中式饮用水水源涵养林、护岸林和其他植被。</w:t>
                  </w:r>
                </w:p>
              </w:tc>
              <w:tc>
                <w:tcPr>
                  <w:tcW w:w="27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不在水源准保护区内，不破坏湿地、毁林开荒、不破坏水源涵养林、护岸林和其他植被。本工程不在保护区内设置排污口。受地理位置、工程任务等条件限制，本项目于毛家村水库饮用水水源保护区准保护区旁设置施工临时占地，项目施工期避开雨季，产生的施工生产废水和生活污水禁止排入保护区内，需设置收集设施，经沉淀处理后回用于周边道路洒水抑尘及施工生产工序不外排，不会流入水源准保护区河道内，对水源地水质影响较小。</w:t>
                  </w:r>
                </w:p>
              </w:tc>
              <w:tc>
                <w:tcPr>
                  <w:tcW w:w="6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8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第十八条 在地表水集中式饮用水水源二级保护区内，除第十七条规定禁止的行为外，还禁止下列行为：</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（一）设置排污口；</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（二）新建、改建、扩建排放污染物的建设项目；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（三）建设畜禽养殖场、养殖小区；</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（四）使用农药；</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（五）丢弃农药、农药包装物或者清洗施药器械；</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（六）建设工业固体废物集中贮存、处置的设施、场所和生活垃圾填埋场；</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（七）倾倒、堆放、掩埋废液、废渣、病死畜禽、垃圾及其他固体废弃物；</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（八）设立有毒、有害化学仓库和堆栈；</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（九）设置加油站、油库；</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（十）建造坟墓；</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（十一）从事取土、挖沙、采石等活动；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（十二）法律、法规禁止的其他行为。</w:t>
                  </w:r>
                </w:p>
              </w:tc>
              <w:tc>
                <w:tcPr>
                  <w:tcW w:w="27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项目不涉及饮用水水源二</w:t>
                  </w:r>
                  <w:r>
                    <w:rPr>
                      <w:color w:val="000000" w:themeColor="text1"/>
                      <w14:textFill>
                        <w14:solidFill>
                          <w14:schemeClr w14:val="tx1"/>
                        </w14:solidFill>
                      </w14:textFill>
                    </w:rPr>
                    <w:t>级保护区</w:t>
                  </w:r>
                  <w:r>
                    <w:rPr>
                      <w:rFonts w:hint="eastAsia"/>
                      <w:color w:val="000000" w:themeColor="text1"/>
                      <w14:textFill>
                        <w14:solidFill>
                          <w14:schemeClr w14:val="tx1"/>
                        </w14:solidFill>
                      </w14:textFill>
                    </w:rPr>
                    <w:t>。</w:t>
                  </w:r>
                </w:p>
              </w:tc>
              <w:tc>
                <w:tcPr>
                  <w:tcW w:w="6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8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第十九条 在地表水集中式饮用水水源一级保护区内，除第十八条规定禁止的行为外，还禁止下列行为：</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（一）新建、改建、扩建与供水设施和保护水源无关的建设项目；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（二）放养畜禽；</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（三）从事网箱养殖、旅游、游泳、垂钓、餐饮、野炊、露营、洗涤或者其他可能污染饮用水水体的活动；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（四）法律、法规禁止的其他行为。</w:t>
                  </w:r>
                </w:p>
              </w:tc>
              <w:tc>
                <w:tcPr>
                  <w:tcW w:w="27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项目不涉及饮用水水源一</w:t>
                  </w:r>
                  <w:r>
                    <w:rPr>
                      <w:color w:val="000000" w:themeColor="text1"/>
                      <w14:textFill>
                        <w14:solidFill>
                          <w14:schemeClr w14:val="tx1"/>
                        </w14:solidFill>
                      </w14:textFill>
                    </w:rPr>
                    <w:t>级保护区</w:t>
                  </w:r>
                  <w:r>
                    <w:rPr>
                      <w:rFonts w:hint="eastAsia"/>
                      <w:color w:val="000000" w:themeColor="text1"/>
                      <w14:textFill>
                        <w14:solidFill>
                          <w14:schemeClr w14:val="tx1"/>
                        </w14:solidFill>
                      </w14:textFill>
                    </w:rPr>
                    <w:t>。</w:t>
                  </w:r>
                </w:p>
              </w:tc>
              <w:tc>
                <w:tcPr>
                  <w:tcW w:w="6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80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第二十条 在地下水集中式饮用水水源保护区内，除遵守地表水保护区的相关规定外，还禁止下列行为：</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（一）利用高压水井、渗井、渗坑、矿井、矿坑、裂隙和溶洞排放、倾倒含有毒污染物的废水、含病原体的污水和其他废弃物；</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（二）利用无防渗漏措施的沟渠、坑塘等输送或者存贮含有毒污染物的废水、含病原体的污水或者其他废弃物；</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（三）兴建地下工程设施或者进行地下勘探、采矿等活动，不采取防止地下水污染的措施；</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（四）对停止使用的取水口不及时封闭；</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（五）法律、法规禁止的其他行为。</w:t>
                  </w:r>
                </w:p>
              </w:tc>
              <w:tc>
                <w:tcPr>
                  <w:tcW w:w="27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项目不涉及地下水集中式饮用水水源。</w:t>
                  </w:r>
                </w:p>
              </w:tc>
              <w:tc>
                <w:tcPr>
                  <w:tcW w:w="6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由以上分析可知，项目建设符合《</w:t>
            </w:r>
            <w:r>
              <w:rPr>
                <w:rFonts w:hint="eastAsia"/>
                <w:bCs/>
                <w:color w:val="000000" w:themeColor="text1"/>
                <w14:textFill>
                  <w14:solidFill>
                    <w14:schemeClr w14:val="tx1"/>
                  </w14:solidFill>
                </w14:textFill>
              </w:rPr>
              <w:t>曲靖市集中式饮用水水源地保护条例</w:t>
            </w:r>
            <w:r>
              <w:rPr>
                <w:rFonts w:hint="eastAsia"/>
                <w:color w:val="000000" w:themeColor="text1"/>
                <w14:textFill>
                  <w14:solidFill>
                    <w14:schemeClr w14:val="tx1"/>
                  </w14:solidFill>
                </w14:textFill>
              </w:rPr>
              <w:t>》相关要求。</w:t>
            </w:r>
          </w:p>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与《云南省牛栏江保护条例》符合性分析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了加强牛栏江流域水资源的保护，防治水污染，提高水资源开发利用综合效益，云南省人民政府于2010年批复了《牛栏江流域（云南部分）水环境保护规划（2009~2030年）》，云南省第十一届人民代表大会常务委员会第三十四次会议于2012年9月通过了《云南省牛栏江保护条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根据《牛栏江流域（云南部分）水环境保护规划（2009～2030年）》：牛栏江流域（云南段）划分为牛栏江德泽水库以上重点保护区（调水水源区）和牛栏江德泽水库以下生态环境保护区（下游区）。其中，调水水源区（Ⅰ区）分为水源保护核心区（I1区）、重点污染控制区（I2区）和重点水源涵养区（I3）；下游区（Ⅱ区）分为污染控制区（Ⅱ1区）和水源涵养区（Ⅱ2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根据《云南省牛栏江保护条例》：牛栏江流域实行分区保护。牛栏江德泽水库坝址以上集水区域为牛栏江流域上游保护区，牛栏江德泽水库坝址以下集水区域为牛栏江流域下游保护区。牛栏江流域上游保护区划分为水源保护核心区、重点污染控制区和重点水源涵养区。</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68520" cy="6501130"/>
                  <wp:effectExtent l="19050" t="19050" r="17780" b="13970"/>
                  <wp:docPr id="742375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75684"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68888" cy="6501284"/>
                          </a:xfrm>
                          <a:prstGeom prst="rect">
                            <a:avLst/>
                          </a:prstGeom>
                          <a:noFill/>
                          <a:ln>
                            <a:solidFill>
                              <a:schemeClr val="tx1"/>
                            </a:solid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color w:val="000000" w:themeColor="text1"/>
                <w14:textFill>
                  <w14:solidFill>
                    <w14:schemeClr w14:val="tx1"/>
                  </w14:solidFill>
                </w14:textFill>
              </w:rPr>
              <w:t xml:space="preserve">.13-1  </w:t>
            </w:r>
            <w:r>
              <w:rPr>
                <w:rFonts w:hint="eastAsia"/>
                <w:color w:val="000000" w:themeColor="text1"/>
                <w14:textFill>
                  <w14:solidFill>
                    <w14:schemeClr w14:val="tx1"/>
                  </w14:solidFill>
                </w14:textFill>
              </w:rPr>
              <w:t>项目与牛栏江保护规划关系图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根据上图可知，项目</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风机位于牛栏江上游保护区的重点水源涵养区。项目与《云南省牛栏江保护条例》符合性分析见下表。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 xml:space="preserve">.13-1  </w:t>
            </w:r>
            <w:r>
              <w:rPr>
                <w:rFonts w:hint="eastAsia"/>
                <w:color w:val="000000" w:themeColor="text1"/>
                <w14:textFill>
                  <w14:solidFill>
                    <w14:schemeClr w14:val="tx1"/>
                  </w14:solidFill>
                </w14:textFill>
              </w:rPr>
              <w:t>项目与《云南省牛栏江保护条例》符合性分析</w:t>
            </w:r>
          </w:p>
          <w:tbl>
            <w:tblPr>
              <w:tblStyle w:val="21"/>
              <w:tblW w:w="7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0"/>
              <w:gridCol w:w="4529"/>
              <w:gridCol w:w="1338"/>
              <w:gridCol w:w="9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7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45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条例要求</w:t>
                  </w:r>
                </w:p>
              </w:tc>
              <w:tc>
                <w:tcPr>
                  <w:tcW w:w="13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91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7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重点水源涵养区内禁止行为</w:t>
                  </w:r>
                </w:p>
              </w:tc>
              <w:tc>
                <w:tcPr>
                  <w:tcW w:w="452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（一）盗伐、滥伐林木和破坏草地；</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（二）使用高毒、高残留农药；</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（三）利用溶洞、渗井、渗坑、裂隙排放、倾倒含有毒有害物质的废水、废渣；</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（四）向水体排放废水、倾倒工业废渣、城镇垃圾或者其他废弃物；</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（五）在江河、渠道、水库最高水位线以下的滩地、岸坡堆放、存贮固体废弃物或者其他污染物；</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（六）利用无防渗漏措施的沟渠、坑塘等输送或者存贮含有毒污染物的废水、含病原体的污水或者其他废弃物。</w:t>
                  </w:r>
                </w:p>
              </w:tc>
              <w:tc>
                <w:tcPr>
                  <w:tcW w:w="1338" w:type="dxa"/>
                  <w:vAlign w:val="center"/>
                </w:tcPr>
                <w:p>
                  <w:pPr>
                    <w:pStyle w:val="29"/>
                    <w:jc w:val="both"/>
                    <w:rPr>
                      <w:color w:val="000000" w:themeColor="text1"/>
                      <w14:textFill>
                        <w14:solidFill>
                          <w14:schemeClr w14:val="tx1"/>
                        </w14:solidFill>
                      </w14:textFill>
                    </w:rPr>
                  </w:pPr>
                  <w:bookmarkStart w:id="13" w:name="_Hlk157559487"/>
                  <w:r>
                    <w:rPr>
                      <w:rFonts w:hint="eastAsia"/>
                      <w:color w:val="000000" w:themeColor="text1"/>
                      <w14:textFill>
                        <w14:solidFill>
                          <w14:schemeClr w14:val="tx1"/>
                        </w14:solidFill>
                      </w14:textFill>
                    </w:rPr>
                    <w:t>项目在取得林地、草地、土地等手续后才开工建设，不属于盗伐、滥伐林木和破坏草地；项目无废水、固体废物外排。</w:t>
                  </w:r>
                  <w:bookmarkEnd w:id="13"/>
                </w:p>
              </w:tc>
              <w:tc>
                <w:tcPr>
                  <w:tcW w:w="91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通过以上分析可知，项目建设符合《云南省牛栏江保护条例》相关要求。</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tc>
      </w:tr>
    </w:tbl>
    <w:p>
      <w:pPr>
        <w:ind w:firstLine="720"/>
        <w:rPr>
          <w:rFonts w:ascii="楷体_GB2312" w:eastAsia="楷体_GB2312"/>
          <w:color w:val="000000" w:themeColor="text1"/>
          <w:sz w:val="36"/>
          <w:szCs w:val="36"/>
          <w14:textFill>
            <w14:solidFill>
              <w14:schemeClr w14:val="tx1"/>
            </w14:solidFill>
          </w14:textFill>
        </w:rPr>
        <w:sectPr>
          <w:footerReference r:id="rId9" w:type="default"/>
          <w:pgSz w:w="11906" w:h="16838"/>
          <w:pgMar w:top="1440" w:right="1531" w:bottom="1440" w:left="1531" w:header="851" w:footer="1077" w:gutter="0"/>
          <w:pgNumType w:start="1"/>
          <w:cols w:space="425" w:num="1"/>
          <w:docGrid w:type="lines" w:linePitch="312" w:charSpace="0"/>
        </w:sectPr>
      </w:pPr>
    </w:p>
    <w:p>
      <w:pPr>
        <w:ind w:firstLine="420" w:firstLineChars="0"/>
        <w:jc w:val="center"/>
        <w:outlineLvl w:val="0"/>
        <w:rPr>
          <w:rFonts w:ascii="黑体" w:hAnsi="黑体" w:eastAsia="黑体"/>
          <w:color w:val="000000" w:themeColor="text1"/>
          <w:sz w:val="30"/>
          <w:szCs w:val="30"/>
          <w14:textFill>
            <w14:solidFill>
              <w14:schemeClr w14:val="tx1"/>
            </w14:solidFill>
          </w14:textFill>
        </w:rPr>
      </w:pPr>
      <w:bookmarkStart w:id="14" w:name="_Toc88744728"/>
      <w:bookmarkStart w:id="15" w:name="_Toc157554960"/>
      <w:r>
        <w:rPr>
          <w:rFonts w:hint="eastAsia" w:ascii="黑体" w:hAnsi="黑体" w:eastAsia="黑体"/>
          <w:color w:val="000000" w:themeColor="text1"/>
          <w:sz w:val="30"/>
          <w:szCs w:val="30"/>
          <w14:textFill>
            <w14:solidFill>
              <w14:schemeClr w14:val="tx1"/>
            </w14:solidFill>
          </w14:textFill>
        </w:rPr>
        <w:t>二、建设内容</w:t>
      </w:r>
      <w:bookmarkEnd w:id="14"/>
      <w:bookmarkEnd w:id="15"/>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地理位置</w:t>
            </w:r>
          </w:p>
        </w:tc>
        <w:tc>
          <w:tcPr>
            <w:tcW w:w="8629" w:type="dxa"/>
          </w:tcPr>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地理位置</w:t>
            </w:r>
          </w:p>
          <w:p>
            <w:pPr>
              <w:ind w:firstLine="480"/>
              <w:rPr>
                <w:color w:val="000000" w:themeColor="text1"/>
                <w14:textFill>
                  <w14:solidFill>
                    <w14:schemeClr w14:val="tx1"/>
                  </w14:solidFill>
                </w14:textFill>
              </w:rPr>
            </w:pPr>
            <w:bookmarkStart w:id="16" w:name="_Hlk69115773"/>
            <w:r>
              <w:rPr>
                <w:rFonts w:hint="eastAsia"/>
                <w:color w:val="000000" w:themeColor="text1"/>
                <w14:textFill>
                  <w14:solidFill>
                    <w14:schemeClr w14:val="tx1"/>
                  </w14:solidFill>
                </w14:textFill>
              </w:rPr>
              <w:t>曲靖市待补风电场二期项目</w:t>
            </w:r>
            <w:r>
              <w:rPr>
                <w:color w:val="000000" w:themeColor="text1"/>
                <w14:textFill>
                  <w14:solidFill>
                    <w14:schemeClr w14:val="tx1"/>
                  </w14:solidFill>
                </w14:textFill>
              </w:rPr>
              <w:t>位于</w:t>
            </w:r>
            <w:r>
              <w:rPr>
                <w:rFonts w:hint="eastAsia"/>
                <w:color w:val="000000" w:themeColor="text1"/>
                <w14:textFill>
                  <w14:solidFill>
                    <w14:schemeClr w14:val="tx1"/>
                  </w14:solidFill>
                </w14:textFill>
              </w:rPr>
              <w:t>云南省曲靖市会泽县待补镇、驾车乡、上村乡，</w:t>
            </w:r>
            <w:r>
              <w:rPr>
                <w:color w:val="000000" w:themeColor="text1"/>
                <w14:textFill>
                  <w14:solidFill>
                    <w14:schemeClr w14:val="tx1"/>
                  </w14:solidFill>
                </w14:textFill>
              </w:rPr>
              <w:t>地理坐标介于</w:t>
            </w:r>
            <w:r>
              <w:rPr>
                <w:rFonts w:hint="eastAsia"/>
                <w:color w:val="000000" w:themeColor="text1"/>
                <w14:textFill>
                  <w14:solidFill>
                    <w14:schemeClr w14:val="tx1"/>
                  </w14:solidFill>
                </w14:textFill>
              </w:rPr>
              <w:t>东经</w:t>
            </w:r>
            <w:r>
              <w:rPr>
                <w:color w:val="000000" w:themeColor="text1"/>
                <w14:textFill>
                  <w14:solidFill>
                    <w14:schemeClr w14:val="tx1"/>
                  </w14:solidFill>
                </w14:textFill>
              </w:rPr>
              <w:t>103°22′1.024″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东经103°36′58.015″、</w:t>
            </w:r>
            <w:r>
              <w:rPr>
                <w:rFonts w:hint="eastAsia"/>
                <w:color w:val="000000" w:themeColor="text1"/>
                <w14:textFill>
                  <w14:solidFill>
                    <w14:schemeClr w14:val="tx1"/>
                  </w14:solidFill>
                </w14:textFill>
              </w:rPr>
              <w:t>北纬</w:t>
            </w:r>
            <w:r>
              <w:rPr>
                <w:color w:val="000000" w:themeColor="text1"/>
                <w14:textFill>
                  <w14:solidFill>
                    <w14:schemeClr w14:val="tx1"/>
                  </w14:solidFill>
                </w14:textFill>
              </w:rPr>
              <w:t>26°09′17.084″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北纬26°26′52.003″</w:t>
            </w:r>
            <w:r>
              <w:rPr>
                <w:rFonts w:hint="eastAsia"/>
                <w:color w:val="000000" w:themeColor="text1"/>
                <w14:textFill>
                  <w14:solidFill>
                    <w14:schemeClr w14:val="tx1"/>
                  </w14:solidFill>
                </w14:textFill>
              </w:rPr>
              <w:t>之间，详见附图1</w:t>
            </w:r>
            <w:r>
              <w:rPr>
                <w:color w:val="000000" w:themeColor="text1"/>
                <w14:textFill>
                  <w14:solidFill>
                    <w14:schemeClr w14:val="tx1"/>
                  </w14:solidFill>
                </w14:textFill>
              </w:rPr>
              <w:t>。</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项目组成及规模</w:t>
            </w:r>
          </w:p>
        </w:tc>
        <w:tc>
          <w:tcPr>
            <w:tcW w:w="8629" w:type="dxa"/>
          </w:tcPr>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项目组成及规模</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项目基本情况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（1）项目名称：曲靖市待补风电场二期项目。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（2）建设性质：新建。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（3）建设单位：华电（曲靖）新能源开发有限公司。</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）建设地点：云南省曲靖市会泽县待补镇、驾车乡、上村乡。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）建设规模：项目拟安装</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台风电机组，其中单机容量为</w:t>
            </w:r>
            <w:r>
              <w:rPr>
                <w:color w:val="000000" w:themeColor="text1"/>
                <w14:textFill>
                  <w14:solidFill>
                    <w14:schemeClr w14:val="tx1"/>
                  </w14:solidFill>
                </w14:textFill>
              </w:rPr>
              <w:t>5500</w:t>
            </w:r>
            <w:r>
              <w:rPr>
                <w:rFonts w:hint="eastAsia"/>
                <w:color w:val="000000" w:themeColor="text1"/>
                <w14:textFill>
                  <w14:solidFill>
                    <w14:schemeClr w14:val="tx1"/>
                  </w14:solidFill>
                </w14:textFill>
              </w:rPr>
              <w:t>kW的风电机组1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台，单机容量为</w:t>
            </w:r>
            <w:r>
              <w:rPr>
                <w:color w:val="000000" w:themeColor="text1"/>
                <w14:textFill>
                  <w14:solidFill>
                    <w14:schemeClr w14:val="tx1"/>
                  </w14:solidFill>
                </w14:textFill>
              </w:rPr>
              <w:t>6700</w:t>
            </w:r>
            <w:r>
              <w:rPr>
                <w:rFonts w:hint="eastAsia"/>
                <w:color w:val="000000" w:themeColor="text1"/>
                <w14:textFill>
                  <w14:solidFill>
                    <w14:schemeClr w14:val="tx1"/>
                  </w14:solidFill>
                </w14:textFill>
              </w:rPr>
              <w:t>kW的风电机组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台，总装机容量为</w:t>
            </w:r>
            <w:r>
              <w:rPr>
                <w:color w:val="000000" w:themeColor="text1"/>
                <w14:textFill>
                  <w14:solidFill>
                    <w14:schemeClr w14:val="tx1"/>
                  </w14:solidFill>
                </w14:textFill>
              </w:rPr>
              <w:t>189</w:t>
            </w:r>
            <w:r>
              <w:rPr>
                <w:rFonts w:hint="eastAsia"/>
                <w:color w:val="000000" w:themeColor="text1"/>
                <w14:textFill>
                  <w14:solidFill>
                    <w14:schemeClr w14:val="tx1"/>
                  </w14:solidFill>
                </w14:textFill>
              </w:rPr>
              <w:t>MW，年上网电量</w:t>
            </w:r>
            <w:bookmarkStart w:id="17" w:name="_Hlk69115877"/>
            <w:r>
              <w:rPr>
                <w:color w:val="000000" w:themeColor="text1"/>
                <w14:textFill>
                  <w14:solidFill>
                    <w14:schemeClr w14:val="tx1"/>
                  </w14:solidFill>
                </w14:textFill>
              </w:rPr>
              <w:t>42820</w:t>
            </w:r>
            <w:r>
              <w:rPr>
                <w:rFonts w:hint="eastAsia"/>
                <w:color w:val="000000" w:themeColor="text1"/>
                <w14:textFill>
                  <w14:solidFill>
                    <w14:schemeClr w14:val="tx1"/>
                  </w14:solidFill>
                </w14:textFill>
              </w:rPr>
              <w:t>万</w:t>
            </w:r>
            <w:bookmarkEnd w:id="17"/>
            <w:r>
              <w:rPr>
                <w:rFonts w:hint="eastAsia"/>
                <w:color w:val="000000" w:themeColor="text1"/>
                <w14:textFill>
                  <w14:solidFill>
                    <w14:schemeClr w14:val="tx1"/>
                  </w14:solidFill>
                </w14:textFill>
              </w:rPr>
              <w:t>kW</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h，年等效满负荷小时数</w:t>
            </w:r>
            <w:r>
              <w:rPr>
                <w:color w:val="000000" w:themeColor="text1"/>
                <w14:textFill>
                  <w14:solidFill>
                    <w14:schemeClr w14:val="tx1"/>
                  </w14:solidFill>
                </w14:textFill>
              </w:rPr>
              <w:t>2286</w:t>
            </w:r>
            <w:r>
              <w:rPr>
                <w:rFonts w:hint="eastAsia"/>
                <w:color w:val="000000" w:themeColor="text1"/>
                <w14:textFill>
                  <w14:solidFill>
                    <w14:schemeClr w14:val="tx1"/>
                  </w14:solidFill>
                </w14:textFill>
              </w:rPr>
              <w:t>h，容量系数为0.</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。项目采用“一机一变”的接线方式，共</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台箱变。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）建设内容：</w:t>
            </w:r>
            <w:bookmarkStart w:id="18" w:name="_Hlk95086194"/>
            <w:r>
              <w:rPr>
                <w:rFonts w:hint="eastAsia"/>
                <w:color w:val="000000" w:themeColor="text1"/>
                <w14:textFill>
                  <w14:solidFill>
                    <w14:schemeClr w14:val="tx1"/>
                  </w14:solidFill>
                </w14:textFill>
              </w:rPr>
              <w:t>项目由风力发电机组、箱式变电站、3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kV集电线路及道路工程组成，在一期已建2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kV升压站预留主变位置安装一台容量为</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MVA的主变压器，配套安装主变进线柜2面，风机进线柜8面，1套GIS装置，在35kVII段母线配置1台容量为500kVA的站用变，35kVII段母线配置一台</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25000kvar的动态无功补偿装置。</w:t>
            </w:r>
            <w:bookmarkEnd w:id="18"/>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（7）建设工期：1</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个月。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）投资：项目总投资为</w:t>
            </w:r>
            <w:r>
              <w:rPr>
                <w:color w:val="000000" w:themeColor="text1"/>
                <w14:textFill>
                  <w14:solidFill>
                    <w14:schemeClr w14:val="tx1"/>
                  </w14:solidFill>
                </w14:textFill>
              </w:rPr>
              <w:t>88061.18</w:t>
            </w:r>
            <w:r>
              <w:rPr>
                <w:rFonts w:hint="eastAsia"/>
                <w:color w:val="000000" w:themeColor="text1"/>
                <w14:textFill>
                  <w14:solidFill>
                    <w14:schemeClr w14:val="tx1"/>
                  </w14:solidFill>
                </w14:textFill>
              </w:rPr>
              <w:t>万元，环保投资</w:t>
            </w:r>
            <w:r>
              <w:rPr>
                <w:color w:val="000000" w:themeColor="text1"/>
                <w14:textFill>
                  <w14:solidFill>
                    <w14:schemeClr w14:val="tx1"/>
                  </w14:solidFill>
                </w14:textFill>
              </w:rPr>
              <w:t>1763.99</w:t>
            </w:r>
            <w:r>
              <w:rPr>
                <w:rFonts w:hint="eastAsia"/>
                <w:color w:val="000000" w:themeColor="text1"/>
                <w14:textFill>
                  <w14:solidFill>
                    <w14:schemeClr w14:val="tx1"/>
                  </w14:solidFill>
                </w14:textFill>
              </w:rPr>
              <w:t>万元，占总投资的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项目主要工程特性见表2.2-1。</w:t>
            </w:r>
          </w:p>
          <w:p>
            <w:pPr>
              <w:pStyle w:val="28"/>
              <w:spacing w:before="156"/>
              <w:rPr>
                <w:color w:val="000000" w:themeColor="text1"/>
                <w14:textFill>
                  <w14:solidFill>
                    <w14:schemeClr w14:val="tx1"/>
                  </w14:solidFill>
                </w14:textFill>
              </w:rPr>
            </w:pPr>
          </w:p>
          <w:p>
            <w:pPr>
              <w:pStyle w:val="28"/>
              <w:spacing w:before="156"/>
              <w:rPr>
                <w:color w:val="000000" w:themeColor="text1"/>
                <w14:textFill>
                  <w14:solidFill>
                    <w14:schemeClr w14:val="tx1"/>
                  </w14:solidFill>
                </w14:textFill>
              </w:rPr>
            </w:pP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表2.2-1  工程特性表</w:t>
            </w:r>
          </w:p>
          <w:tbl>
            <w:tblPr>
              <w:tblStyle w:val="20"/>
              <w:tblW w:w="838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471"/>
              <w:gridCol w:w="907"/>
              <w:gridCol w:w="905"/>
              <w:gridCol w:w="902"/>
              <w:gridCol w:w="907"/>
              <w:gridCol w:w="2862"/>
              <w:gridCol w:w="142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092" w:type="dxa"/>
                  <w:gridSpan w:val="5"/>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w:t>
                  </w: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海拔高度</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2679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3222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经度（东经）</w:t>
                  </w:r>
                </w:p>
              </w:tc>
              <w:tc>
                <w:tcPr>
                  <w:tcW w:w="4291" w:type="dxa"/>
                  <w:gridSpan w:val="2"/>
                  <w:vAlign w:val="center"/>
                </w:tcPr>
                <w:p>
                  <w:pPr>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sz w:val="21"/>
                      <w:szCs w:val="21"/>
                      <w14:textFill>
                        <w14:solidFill>
                          <w14:schemeClr w14:val="tx1"/>
                        </w14:solidFill>
                      </w14:textFill>
                    </w:rPr>
                    <w:t>东经103°22′1.24″～东经103°36′58.15″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纬度（北纬）</w:t>
                  </w:r>
                </w:p>
              </w:tc>
              <w:tc>
                <w:tcPr>
                  <w:tcW w:w="4291" w:type="dxa"/>
                  <w:gridSpan w:val="2"/>
                  <w:vAlign w:val="center"/>
                </w:tcPr>
                <w:p>
                  <w:pPr>
                    <w:pStyle w:val="29"/>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北纬26°09′17.84″～北纬26°26′52.03″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年平均风速（1</w:t>
                  </w:r>
                  <w:r>
                    <w:rPr>
                      <w:color w:val="000000" w:themeColor="text1"/>
                      <w14:textFill>
                        <w14:solidFill>
                          <w14:schemeClr w14:val="tx1"/>
                        </w14:solidFill>
                      </w14:textFill>
                    </w:rPr>
                    <w:t>15m</w:t>
                  </w:r>
                  <w:r>
                    <w:rPr>
                      <w:rFonts w:hint="eastAsia"/>
                      <w:color w:val="000000" w:themeColor="text1"/>
                      <w14:textFill>
                        <w14:solidFill>
                          <w14:schemeClr w14:val="tx1"/>
                        </w14:solidFill>
                      </w14:textFill>
                    </w:rPr>
                    <w:t>高度）</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m/s</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1" w:hRule="atLeast"/>
              </w:trPr>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风功率密度（115m高度）</w:t>
                  </w:r>
                </w:p>
              </w:tc>
              <w:tc>
                <w:tcPr>
                  <w:tcW w:w="286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W/m</w:t>
                  </w:r>
                  <w:r>
                    <w:rPr>
                      <w:rFonts w:hint="eastAsia"/>
                      <w:color w:val="000000" w:themeColor="text1"/>
                      <w:vertAlign w:val="superscript"/>
                      <w14:textFill>
                        <w14:solidFill>
                          <w14:schemeClr w14:val="tx1"/>
                        </w14:solidFill>
                      </w14:textFill>
                    </w:rPr>
                    <w:t>2</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21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盛行风向</w:t>
                  </w:r>
                </w:p>
              </w:tc>
              <w:tc>
                <w:tcPr>
                  <w:tcW w:w="2862" w:type="dxa"/>
                  <w:vAlign w:val="center"/>
                </w:tcPr>
                <w:p>
                  <w:pPr>
                    <w:pStyle w:val="29"/>
                    <w:rPr>
                      <w:color w:val="000000" w:themeColor="text1"/>
                      <w14:textFill>
                        <w14:solidFill>
                          <w14:schemeClr w14:val="tx1"/>
                        </w14:solidFill>
                      </w14:textFill>
                    </w:rPr>
                  </w:pP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SW~SSW</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主要设备</w:t>
                  </w:r>
                </w:p>
              </w:tc>
              <w:tc>
                <w:tcPr>
                  <w:tcW w:w="907"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项目主要机电设备</w:t>
                  </w:r>
                </w:p>
              </w:tc>
              <w:tc>
                <w:tcPr>
                  <w:tcW w:w="905"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风电机组</w:t>
                  </w: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台数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额定功率</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k</w:t>
                  </w:r>
                  <w:r>
                    <w:rPr>
                      <w:color w:val="000000" w:themeColor="text1"/>
                      <w14:textFill>
                        <w14:solidFill>
                          <w14:schemeClr w14:val="tx1"/>
                        </w14:solidFill>
                      </w14:textFill>
                    </w:rPr>
                    <w:t>W</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6700/5500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叶片数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风轮直径</w:t>
                  </w:r>
                </w:p>
              </w:tc>
              <w:tc>
                <w:tcPr>
                  <w:tcW w:w="286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m</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切入风速</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m/s</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额定风速（标况）</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m/s</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10.5/11.3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切出风速</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m/s</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安全风速</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m/s</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轮毂高度</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发电机功率因数</w:t>
                  </w:r>
                </w:p>
              </w:tc>
              <w:tc>
                <w:tcPr>
                  <w:tcW w:w="2862" w:type="dxa"/>
                  <w:vAlign w:val="center"/>
                </w:tcPr>
                <w:p>
                  <w:pPr>
                    <w:pStyle w:val="29"/>
                    <w:rPr>
                      <w:color w:val="000000" w:themeColor="text1"/>
                      <w14:textFill>
                        <w14:solidFill>
                          <w14:schemeClr w14:val="tx1"/>
                        </w14:solidFill>
                      </w14:textFill>
                    </w:rPr>
                  </w:pP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-0.95~+0.95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45" w:hRule="atLeast"/>
              </w:trPr>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额定电压</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V</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1140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45" w:hRule="atLeast"/>
              </w:trPr>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2714" w:type="dxa"/>
                  <w:gridSpan w:val="3"/>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箱式变电站</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restart"/>
                  <w:tcBorders>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集电</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线路</w:t>
                  </w: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电压等级</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kV</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回路数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回</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902" w:type="dxa"/>
                  <w:vMerge w:val="restart"/>
                  <w:tcBorders>
                    <w:left w:val="single" w:color="auto" w:sz="4" w:space="0"/>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长度</w:t>
                  </w:r>
                </w:p>
              </w:tc>
              <w:tc>
                <w:tcPr>
                  <w:tcW w:w="907" w:type="dxa"/>
                  <w:tcBorders>
                    <w:left w:val="single" w:color="auto" w:sz="4" w:space="0"/>
                    <w:bottom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架空</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902" w:type="dxa"/>
                  <w:vMerge w:val="continue"/>
                  <w:tcBorders>
                    <w:left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907" w:type="dxa"/>
                  <w:tcBorders>
                    <w:top w:val="single" w:color="auto" w:sz="4" w:space="0"/>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地埋</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km</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201.9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w:t>
                  </w:r>
                </w:p>
              </w:tc>
              <w:tc>
                <w:tcPr>
                  <w:tcW w:w="905" w:type="dxa"/>
                  <w:vMerge w:val="restart"/>
                  <w:tcBorders>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w:t>
                  </w: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新增主变型号</w:t>
                  </w:r>
                </w:p>
              </w:tc>
              <w:tc>
                <w:tcPr>
                  <w:tcW w:w="286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SF11-190000/220GY</w:t>
                  </w:r>
                </w:p>
                <w:p>
                  <w:pPr>
                    <w:pStyle w:val="29"/>
                    <w:rPr>
                      <w:color w:val="000000" w:themeColor="text1"/>
                      <w14:textFill>
                        <w14:solidFill>
                          <w14:schemeClr w14:val="tx1"/>
                        </w14:solidFill>
                      </w14:textFill>
                    </w:rPr>
                  </w:pPr>
                  <w:r>
                    <w:rPr>
                      <w:color w:val="000000" w:themeColor="text1"/>
                      <w14:textFill>
                        <w14:solidFill>
                          <w14:schemeClr w14:val="tx1"/>
                        </w14:solidFill>
                      </w14:textFill>
                    </w:rPr>
                    <w:t>230±8×1.25%/35kV</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新增台数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新增容量</w:t>
                  </w:r>
                </w:p>
              </w:tc>
              <w:tc>
                <w:tcPr>
                  <w:tcW w:w="286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MVA</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IS</w:t>
                  </w:r>
                  <w:r>
                    <w:rPr>
                      <w:rFonts w:hint="eastAsia"/>
                      <w:color w:val="000000" w:themeColor="text1"/>
                      <w14:textFill>
                        <w14:solidFill>
                          <w14:schemeClr w14:val="tx1"/>
                        </w14:solidFill>
                      </w14:textFill>
                    </w:rPr>
                    <w:t>装置</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风机进线柜</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面</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907" w:type="dxa"/>
                  <w:vMerge w:val="continue"/>
                  <w:vAlign w:val="center"/>
                </w:tcPr>
                <w:p>
                  <w:pPr>
                    <w:pStyle w:val="29"/>
                    <w:rPr>
                      <w:color w:val="000000" w:themeColor="text1"/>
                      <w14:textFill>
                        <w14:solidFill>
                          <w14:schemeClr w14:val="tx1"/>
                        </w14:solidFill>
                      </w14:textFill>
                    </w:rPr>
                  </w:pPr>
                </w:p>
              </w:tc>
              <w:tc>
                <w:tcPr>
                  <w:tcW w:w="905"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1809" w:type="dxa"/>
                  <w:gridSpan w:val="2"/>
                  <w:tcBorders>
                    <w:lef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主变进线柜</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面</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土建</w:t>
                  </w:r>
                </w:p>
              </w:tc>
              <w:tc>
                <w:tcPr>
                  <w:tcW w:w="1812" w:type="dxa"/>
                  <w:gridSpan w:val="2"/>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风电机组基础</w:t>
                  </w: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台数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座</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1812" w:type="dxa"/>
                  <w:gridSpan w:val="2"/>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型式</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钢筋混凝土圆形扩展式预应力锚栓基础</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1812" w:type="dxa"/>
                  <w:gridSpan w:val="2"/>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地基特性</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中硬土</w:t>
                  </w:r>
                </w:p>
              </w:tc>
              <w:tc>
                <w:tcPr>
                  <w:tcW w:w="14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1812" w:type="dxa"/>
                  <w:gridSpan w:val="2"/>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箱式变电站基础</w:t>
                  </w: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台数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座</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1812" w:type="dxa"/>
                  <w:gridSpan w:val="2"/>
                  <w:vMerge w:val="continue"/>
                  <w:vAlign w:val="center"/>
                </w:tcPr>
                <w:p>
                  <w:pPr>
                    <w:pStyle w:val="29"/>
                    <w:rPr>
                      <w:color w:val="000000" w:themeColor="text1"/>
                      <w14:textFill>
                        <w14:solidFill>
                          <w14:schemeClr w14:val="tx1"/>
                        </w14:solidFill>
                      </w14:textFill>
                    </w:rPr>
                  </w:pPr>
                </w:p>
              </w:tc>
              <w:tc>
                <w:tcPr>
                  <w:tcW w:w="1809"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型式</w:t>
                  </w:r>
                </w:p>
              </w:tc>
              <w:tc>
                <w:tcPr>
                  <w:tcW w:w="4291"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钢筋混凝土箱形结构</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占地</w:t>
                  </w: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工程总占地</w:t>
                  </w:r>
                </w:p>
              </w:tc>
              <w:tc>
                <w:tcPr>
                  <w:tcW w:w="2862" w:type="dxa"/>
                  <w:tcBorders>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p>
              </w:tc>
              <w:tc>
                <w:tcPr>
                  <w:tcW w:w="1429" w:type="dxa"/>
                  <w:tcBorders>
                    <w:left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31.1026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永久占地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1.1708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1" w:hRule="atLeast"/>
              </w:trPr>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临时占地</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29.9318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投资</w:t>
                  </w: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静态总投资</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84758.67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单位千瓦静态投资</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元/k</w:t>
                  </w:r>
                  <w:r>
                    <w:rPr>
                      <w:color w:val="000000" w:themeColor="text1"/>
                      <w14:textFill>
                        <w14:solidFill>
                          <w14:schemeClr w14:val="tx1"/>
                        </w14:solidFill>
                      </w14:textFill>
                    </w:rPr>
                    <w:t>W</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4649.41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工程总投资</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86602.78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单位千瓦动态投资</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元/k</w:t>
                  </w:r>
                  <w:r>
                    <w:rPr>
                      <w:color w:val="000000" w:themeColor="text1"/>
                      <w14:textFill>
                        <w14:solidFill>
                          <w14:schemeClr w14:val="tx1"/>
                        </w14:solidFill>
                      </w14:textFill>
                    </w:rPr>
                    <w:t>W</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4750.56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施工辅助工程</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1322.67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设备及安装工程</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60714.93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建筑工程</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11627.97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其他费用</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9431.18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基本预备费</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1661.93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建设期利息</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1844.11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经济指标</w:t>
                  </w: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装机容量</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color w:val="000000" w:themeColor="text1"/>
                      <w14:textFill>
                        <w14:solidFill>
                          <w14:schemeClr w14:val="tx1"/>
                        </w14:solidFill>
                      </w14:textFill>
                    </w:rPr>
                    <w:t>W</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年上网电量</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万k</w:t>
                  </w:r>
                  <w:r>
                    <w:rPr>
                      <w:color w:val="000000" w:themeColor="text1"/>
                      <w14:textFill>
                        <w14:solidFill>
                          <w14:schemeClr w14:val="tx1"/>
                        </w14:solidFill>
                      </w14:textFill>
                    </w:rPr>
                    <w:t>W</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h</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42820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工程总投资（含流动资金）</w:t>
                  </w:r>
                </w:p>
              </w:tc>
              <w:tc>
                <w:tcPr>
                  <w:tcW w:w="286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42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88061.18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年等效满负荷小时数</w:t>
                  </w:r>
                </w:p>
              </w:tc>
              <w:tc>
                <w:tcPr>
                  <w:tcW w:w="2862"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H</w:t>
                  </w:r>
                </w:p>
              </w:tc>
              <w:tc>
                <w:tcPr>
                  <w:tcW w:w="1429"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2286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71" w:type="dxa"/>
                  <w:vMerge w:val="continue"/>
                  <w:vAlign w:val="center"/>
                </w:tcPr>
                <w:p>
                  <w:pPr>
                    <w:pStyle w:val="29"/>
                    <w:rPr>
                      <w:color w:val="000000" w:themeColor="text1"/>
                      <w14:textFill>
                        <w14:solidFill>
                          <w14:schemeClr w14:val="tx1"/>
                        </w14:solidFill>
                      </w14:textFill>
                    </w:rPr>
                  </w:pPr>
                </w:p>
              </w:tc>
              <w:tc>
                <w:tcPr>
                  <w:tcW w:w="3621" w:type="dxa"/>
                  <w:gridSpan w:val="4"/>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平均上网电价（含增值税）</w:t>
                  </w:r>
                </w:p>
              </w:tc>
              <w:tc>
                <w:tcPr>
                  <w:tcW w:w="286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元/k</w:t>
                  </w:r>
                  <w:r>
                    <w:rPr>
                      <w:color w:val="000000" w:themeColor="text1"/>
                      <w14:textFill>
                        <w14:solidFill>
                          <w14:schemeClr w14:val="tx1"/>
                        </w14:solidFill>
                      </w14:textFill>
                    </w:rPr>
                    <w:t>W</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h</w:t>
                  </w:r>
                </w:p>
              </w:tc>
              <w:tc>
                <w:tcPr>
                  <w:tcW w:w="1429"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0.2883</w:t>
                  </w:r>
                </w:p>
              </w:tc>
            </w:tr>
          </w:tbl>
          <w:p>
            <w:pPr>
              <w:pStyle w:val="35"/>
              <w:spacing w:before="156" w:after="156"/>
              <w:rPr>
                <w:color w:val="000000" w:themeColor="text1"/>
                <w14:textFill>
                  <w14:solidFill>
                    <w14:schemeClr w14:val="tx1"/>
                  </w14:solidFill>
                </w14:textFill>
              </w:rPr>
            </w:pPr>
            <w:r>
              <w:rPr>
                <w:color w:val="000000" w:themeColor="text1"/>
                <w14:textFill>
                  <w14:solidFill>
                    <w14:schemeClr w14:val="tx1"/>
                  </w14:solidFill>
                </w14:textFill>
              </w:rPr>
              <w:t xml:space="preserve">2.2.2 </w:t>
            </w:r>
            <w:r>
              <w:rPr>
                <w:rFonts w:hint="eastAsia"/>
                <w:color w:val="000000" w:themeColor="text1"/>
                <w14:textFill>
                  <w14:solidFill>
                    <w14:schemeClr w14:val="tx1"/>
                  </w14:solidFill>
                </w14:textFill>
              </w:rPr>
              <w:t>项目组成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拟建项目主要由风机机组区、集电线路区、主变安装、施工道路工程区几部分组成，项目组成详见表2.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项目组成表</w:t>
            </w:r>
          </w:p>
          <w:tbl>
            <w:tblPr>
              <w:tblStyle w:val="20"/>
              <w:tblW w:w="838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468"/>
              <w:gridCol w:w="563"/>
              <w:gridCol w:w="1601"/>
              <w:gridCol w:w="575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主体工程</w:t>
                  </w:r>
                </w:p>
              </w:tc>
              <w:tc>
                <w:tcPr>
                  <w:tcW w:w="563"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风机机组区</w:t>
                  </w:r>
                </w:p>
              </w:tc>
              <w:tc>
                <w:tcPr>
                  <w:tcW w:w="16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风机机组</w:t>
                  </w:r>
                </w:p>
              </w:tc>
              <w:tc>
                <w:tcPr>
                  <w:tcW w:w="5751" w:type="dxa"/>
                  <w:vAlign w:val="center"/>
                </w:tcPr>
                <w:p>
                  <w:pPr>
                    <w:pStyle w:val="29"/>
                    <w:jc w:val="both"/>
                    <w:rPr>
                      <w:color w:val="000000" w:themeColor="text1"/>
                      <w14:textFill>
                        <w14:solidFill>
                          <w14:schemeClr w14:val="tx1"/>
                        </w14:solidFill>
                      </w14:textFill>
                    </w:rPr>
                  </w:pP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台风机布置在风能资源较好的山脊处；风轮直径</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m；采用C40钢筋混凝土圆形扩展式预应力锚栓基础。</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vAlign w:val="center"/>
                </w:tcPr>
                <w:p>
                  <w:pPr>
                    <w:pStyle w:val="29"/>
                    <w:rPr>
                      <w:color w:val="000000" w:themeColor="text1"/>
                      <w14:textFill>
                        <w14:solidFill>
                          <w14:schemeClr w14:val="tx1"/>
                        </w14:solidFill>
                      </w14:textFill>
                    </w:rPr>
                  </w:pPr>
                </w:p>
              </w:tc>
              <w:tc>
                <w:tcPr>
                  <w:tcW w:w="563" w:type="dxa"/>
                  <w:vMerge w:val="continue"/>
                </w:tcPr>
                <w:p>
                  <w:pPr>
                    <w:pStyle w:val="29"/>
                    <w:rPr>
                      <w:color w:val="000000" w:themeColor="text1"/>
                      <w14:textFill>
                        <w14:solidFill>
                          <w14:schemeClr w14:val="tx1"/>
                        </w14:solidFill>
                      </w14:textFill>
                    </w:rPr>
                  </w:pPr>
                </w:p>
              </w:tc>
              <w:tc>
                <w:tcPr>
                  <w:tcW w:w="16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箱式变压器</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采用风力发电机与箱式变电站组合的一机一变的单元接线方式，箱式变电站布置在风力发电机的塔架基础附近。</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vAlign w:val="center"/>
                </w:tcPr>
                <w:p>
                  <w:pPr>
                    <w:pStyle w:val="29"/>
                    <w:rPr>
                      <w:color w:val="000000" w:themeColor="text1"/>
                      <w14:textFill>
                        <w14:solidFill>
                          <w14:schemeClr w14:val="tx1"/>
                        </w14:solidFill>
                      </w14:textFill>
                    </w:rPr>
                  </w:pPr>
                </w:p>
              </w:tc>
              <w:tc>
                <w:tcPr>
                  <w:tcW w:w="563" w:type="dxa"/>
                  <w:vMerge w:val="continue"/>
                </w:tcPr>
                <w:p>
                  <w:pPr>
                    <w:pStyle w:val="29"/>
                    <w:rPr>
                      <w:color w:val="000000" w:themeColor="text1"/>
                      <w14:textFill>
                        <w14:solidFill>
                          <w14:schemeClr w14:val="tx1"/>
                        </w14:solidFill>
                      </w14:textFill>
                    </w:rPr>
                  </w:pPr>
                </w:p>
              </w:tc>
              <w:tc>
                <w:tcPr>
                  <w:tcW w:w="16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风机安装平台</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在每个机位旁设置45m</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55m安装平台，共</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个风机安装平台。</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主变压器</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在一期已建2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kV升压站预留主变位置安装一台容量为</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MVA的主变压器，配套安装主变进线柜2面，风机进线柜8面，1套GIS装置，在35kVII段母线配置1台容量为500kVA的站用变，35kVII段母线配置一台±25000kvar的动态无功补偿装置。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集电线路区</w:t>
                  </w:r>
                </w:p>
              </w:tc>
              <w:tc>
                <w:tcPr>
                  <w:tcW w:w="5751" w:type="dxa"/>
                  <w:vAlign w:val="center"/>
                </w:tcPr>
                <w:p>
                  <w:pPr>
                    <w:pStyle w:val="29"/>
                    <w:jc w:val="both"/>
                    <w:rPr>
                      <w:color w:val="000000" w:themeColor="text1"/>
                      <w14:textFill>
                        <w14:solidFill>
                          <w14:schemeClr w14:val="tx1"/>
                        </w14:solidFill>
                      </w14:textFill>
                    </w:rPr>
                  </w:pPr>
                  <w:bookmarkStart w:id="19" w:name="_Hlk76219487"/>
                  <w:r>
                    <w:rPr>
                      <w:rFonts w:hint="eastAsia"/>
                      <w:color w:val="000000" w:themeColor="text1"/>
                      <w14:textFill>
                        <w14:solidFill>
                          <w14:schemeClr w14:val="tx1"/>
                        </w14:solidFill>
                      </w14:textFill>
                    </w:rPr>
                    <w:t>项目采用“一机一变”的单元接线方式，共</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台箱变。综合考虑项目各风机的位置分布、35kV集电线路的走向等因素，将项目的</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台风机箱变分为</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组，每组箱变35kV侧经电缆分支箱并联至1回35kV集电线路，共8回3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kV集电线路连接至220kV升压站。</w:t>
                  </w:r>
                  <w:bookmarkEnd w:id="19"/>
                  <w:r>
                    <w:rPr>
                      <w:rFonts w:hint="eastAsia"/>
                      <w:color w:val="000000" w:themeColor="text1"/>
                      <w14:textFill>
                        <w14:solidFill>
                          <w14:schemeClr w14:val="tx1"/>
                        </w14:solidFill>
                      </w14:textFill>
                    </w:rPr>
                    <w:t>集电线路总长度</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km，均为地埋线路。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进场道路</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风机沿山脊布置，场内有多条乡村道路及森林防火通道分布，因场内地形起伏，施工道路需通向各风机安装平台及各施工场所，施工道路布置较为复杂，施工道路尽量沿用现有乡村道路及防火通道。场内交通线路采用施工主线道路与施工支线道路相结合的方式进行布置。整个场内施工主线、施工支线道路与风机安装平台共同组成“枝状”场内交通系统。项目施工主线道路由国道G213、嵩待路、进场道路接入，通至场址较远端的发电机组安装平台。每条施工支线尽可能的连接较多的安装平台，同时考虑尽可能的缩短其与施工主线道路的距离。</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拟建项目改扩建进场道路总长约</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m，新建进场施工道路总长约</w:t>
                  </w:r>
                  <w:r>
                    <w:rPr>
                      <w:color w:val="000000" w:themeColor="text1"/>
                      <w14:textFill>
                        <w14:solidFill>
                          <w14:schemeClr w14:val="tx1"/>
                        </w14:solidFill>
                      </w14:textFill>
                    </w:rPr>
                    <w:t>9.26</w:t>
                  </w:r>
                  <w:r>
                    <w:rPr>
                      <w:rFonts w:hint="eastAsia"/>
                      <w:color w:val="000000" w:themeColor="text1"/>
                      <w14:textFill>
                        <w14:solidFill>
                          <w14:schemeClr w14:val="tx1"/>
                        </w14:solidFill>
                      </w14:textFill>
                    </w:rPr>
                    <w:t>km。路面宽</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m，路基宽</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m，泥结石路面。</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施工生产生活区</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项目使用商品混凝土，租用附近民房，现场不设施工生产生活区，利用风机安装平台堆放风机材料。</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临时表土堆场</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规划了2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处表土临时堆放点，除</w:t>
                  </w:r>
                  <w:r>
                    <w:rPr>
                      <w:color w:val="000000" w:themeColor="text1"/>
                      <w14:textFill>
                        <w14:solidFill>
                          <w14:schemeClr w14:val="tx1"/>
                        </w14:solidFill>
                      </w14:textFill>
                    </w:rPr>
                    <w:t>69#、68#、67#、61#、55#、50#</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4#这7个风机</w:t>
                  </w:r>
                  <w:r>
                    <w:rPr>
                      <w:rFonts w:hint="eastAsia"/>
                      <w:color w:val="000000" w:themeColor="text1"/>
                      <w14:textFill>
                        <w14:solidFill>
                          <w14:schemeClr w14:val="tx1"/>
                        </w14:solidFill>
                      </w14:textFill>
                    </w:rPr>
                    <w:t>平台</w:t>
                  </w:r>
                  <w:r>
                    <w:rPr>
                      <w:color w:val="000000" w:themeColor="text1"/>
                      <w14:textFill>
                        <w14:solidFill>
                          <w14:schemeClr w14:val="tx1"/>
                        </w14:solidFill>
                      </w14:textFill>
                    </w:rPr>
                    <w:t>不具备堆存表土的条件外，其余风机平台均可设置表土堆存场地，</w:t>
                  </w:r>
                  <w:r>
                    <w:rPr>
                      <w:rFonts w:hint="eastAsia"/>
                      <w:color w:val="000000" w:themeColor="text1"/>
                      <w14:textFill>
                        <w14:solidFill>
                          <w14:schemeClr w14:val="tx1"/>
                        </w14:solidFill>
                      </w14:textFill>
                    </w:rPr>
                    <w:t>本着土地资源合理利用的原则，表土临时堆放点均设置于风机平台，不新增占地。</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供水</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场址地处山顶，无较好的天然水源地，场址内地表无出露泉水。施工用水采用罐车从场外附近的村庄取水，运输至施工现场的方式供应。</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排水</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项目施工期产生的地表径流经沉砂池沉淀后排放，施工人员生活污水经临时旱厕（移动式旱厕）收集后定期清运用作植被恢复肥料，项目运营期无废水产生。</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运营期新增主变产生的事故油排入已建事故油池排油系统。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供电</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项目施工用电分散，项目无集中施工点，采用移动式柴油发电机供电。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依托工程</w:t>
                  </w: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防火通道</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在本项目建设之前，由会泽县林业和草原局申请立项，建设防火通道46.472km，</w:t>
                  </w:r>
                  <w:r>
                    <w:rPr>
                      <w:color w:val="000000" w:themeColor="text1"/>
                      <w14:textFill>
                        <w14:solidFill>
                          <w14:schemeClr w14:val="tx1"/>
                        </w14:solidFill>
                      </w14:textFill>
                    </w:rPr>
                    <w:t>该防火通道除用作森林防火及当地的农村道路外，还可以直达本项目部分风机平台区域，对本项目提供了较好的对外运输条件。25.4</w:t>
                  </w:r>
                  <w:r>
                    <w:rPr>
                      <w:rFonts w:hint="eastAsia"/>
                      <w:color w:val="000000" w:themeColor="text1"/>
                      <w14:textFill>
                        <w14:solidFill>
                          <w14:schemeClr w14:val="tx1"/>
                        </w14:solidFill>
                      </w14:textFill>
                    </w:rPr>
                    <w:t>km进场道路及</w:t>
                  </w:r>
                  <w:r>
                    <w:rPr>
                      <w:color w:val="000000" w:themeColor="text1"/>
                      <w14:textFill>
                        <w14:solidFill>
                          <w14:schemeClr w14:val="tx1"/>
                        </w14:solidFill>
                      </w14:textFill>
                    </w:rPr>
                    <w:t>34.312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集电线路托该防火通道，该防火通道路基宽度约7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m，路面宽度约5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m，能够满足项目运输需求。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弃渣场</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依托一期已批复的1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弃渣场，容积1</w:t>
                  </w:r>
                  <w:r>
                    <w:rPr>
                      <w:color w:val="000000" w:themeColor="text1"/>
                      <w14:textFill>
                        <w14:solidFill>
                          <w14:schemeClr w14:val="tx1"/>
                        </w14:solidFill>
                      </w14:textFill>
                    </w:rPr>
                    <w:t>9.8</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，能够满足项目需求，项目不单独设置弃渣场。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农村道路</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项目依托现有农村公路</w:t>
                  </w:r>
                  <w:r>
                    <w:rPr>
                      <w:color w:val="000000" w:themeColor="text1"/>
                      <w14:textFill>
                        <w14:solidFill>
                          <w14:schemeClr w14:val="tx1"/>
                        </w14:solidFill>
                      </w14:textFill>
                    </w:rPr>
                    <w:t>24.64</w:t>
                  </w:r>
                  <w:r>
                    <w:rPr>
                      <w:rFonts w:hint="eastAsia"/>
                      <w:color w:val="000000" w:themeColor="text1"/>
                      <w14:textFill>
                        <w14:solidFill>
                          <w14:schemeClr w14:val="tx1"/>
                        </w14:solidFill>
                      </w14:textFill>
                    </w:rPr>
                    <w:t>km作为运输道路，其中</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km农村公路需要扩建加固，农村道路路面宽度约7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m，满足项目运输需求。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kV升压站及配套危废暂存间、事故油池。</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环保工程</w:t>
                  </w: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项目风机检修产生的废机油依托一期2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kV升压站危废暂存间。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vAlign w:val="center"/>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事故油池</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项目新增的主变压器事故油池依托2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kV升压站事故油池收集处理。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468" w:type="dxa"/>
                  <w:vMerge w:val="continue"/>
                </w:tcPr>
                <w:p>
                  <w:pPr>
                    <w:pStyle w:val="29"/>
                    <w:rPr>
                      <w:color w:val="000000" w:themeColor="text1"/>
                      <w14:textFill>
                        <w14:solidFill>
                          <w14:schemeClr w14:val="tx1"/>
                        </w14:solidFill>
                      </w14:textFill>
                    </w:rPr>
                  </w:pPr>
                </w:p>
              </w:tc>
              <w:tc>
                <w:tcPr>
                  <w:tcW w:w="2164"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箱变事故油收集池</w:t>
                  </w:r>
                </w:p>
              </w:tc>
              <w:tc>
                <w:tcPr>
                  <w:tcW w:w="575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在每个箱变内设置事故油收集池，每个收集池容积</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，共</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个箱变事故油收集池。事故油池底部和四周设置防渗措施（防渗层为至少1m厚黏土层，透系数≤10</w:t>
                  </w:r>
                  <w:r>
                    <w:rPr>
                      <w:rFonts w:hint="eastAsia"/>
                      <w:color w:val="000000" w:themeColor="text1"/>
                      <w:vertAlign w:val="superscript"/>
                      <w14:textFill>
                        <w14:solidFill>
                          <w14:schemeClr w14:val="tx1"/>
                        </w14:solidFill>
                      </w14:textFill>
                    </w:rPr>
                    <w:t>-</w:t>
                  </w:r>
                  <w:r>
                    <w:rPr>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cm/s，或2mm厚高密度聚乙烯，或至少2mm厚的其它人工材料，渗透系数≤10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cm/s），确保事故油和油污水在存储的过程中不会渗漏。</w:t>
                  </w:r>
                </w:p>
              </w:tc>
            </w:tr>
          </w:tbl>
          <w:p>
            <w:pPr>
              <w:pStyle w:val="35"/>
              <w:spacing w:before="156" w:after="156"/>
              <w:rPr>
                <w:color w:val="000000" w:themeColor="text1"/>
                <w14:textFill>
                  <w14:solidFill>
                    <w14:schemeClr w14:val="tx1"/>
                  </w14:solidFill>
                </w14:textFill>
              </w:rPr>
            </w:pPr>
            <w:r>
              <w:rPr>
                <w:color w:val="000000" w:themeColor="text1"/>
                <w14:textFill>
                  <w14:solidFill>
                    <w14:schemeClr w14:val="tx1"/>
                  </w14:solidFill>
                </w14:textFill>
              </w:rPr>
              <w:t xml:space="preserve">2.2.3 </w:t>
            </w:r>
            <w:r>
              <w:rPr>
                <w:rFonts w:hint="eastAsia"/>
                <w:color w:val="000000" w:themeColor="text1"/>
                <w14:textFill>
                  <w14:solidFill>
                    <w14:schemeClr w14:val="tx1"/>
                  </w14:solidFill>
                </w14:textFill>
              </w:rPr>
              <w:t>主体工程</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.2.3.1 </w:t>
            </w:r>
            <w:r>
              <w:rPr>
                <w:rFonts w:hint="eastAsia"/>
                <w:color w:val="000000" w:themeColor="text1"/>
                <w14:textFill>
                  <w14:solidFill>
                    <w14:schemeClr w14:val="tx1"/>
                  </w14:solidFill>
                </w14:textFill>
              </w:rPr>
              <w:t>风机机组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（1）机组布置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①场址主风能方向明显，主要集中且更为集中于SW~SSW区间，以SW居多；因此，风机按垂直于SW方向进行布置；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②充分利用风能资源，风机布置于风功率密度较高处；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③风机布置考虑场内交通和施工安装条件，尽量减少工程量；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④场址的主风能方向稳定，机组尾流影响主要集中在该主风能方向上，同时地形也有一定起伏，风机布置时列距按不低于2倍左右风轮直径考虑，行距按5倍左右风轮直径考虑；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⑤风机布置时避让国家一级公益林、二级公益林中的有林地、基本农田、生态红线、天然乔木林、水源保护地、压覆矿等敏感因素；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⑥各个机位点均距居民点满足直线距离500m以上，充分考虑了风机运行对居民生活带来的影响。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（2）风机特性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项目所选单机容量为</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MW及5</w:t>
            </w:r>
            <w:r>
              <w:rPr>
                <w:color w:val="000000" w:themeColor="text1"/>
                <w14:textFill>
                  <w14:solidFill>
                    <w14:schemeClr w14:val="tx1"/>
                  </w14:solidFill>
                </w14:textFill>
              </w:rPr>
              <w:t>.5MW</w:t>
            </w:r>
            <w:r>
              <w:rPr>
                <w:rFonts w:hint="eastAsia"/>
                <w:color w:val="000000" w:themeColor="text1"/>
                <w14:textFill>
                  <w14:solidFill>
                    <w14:schemeClr w14:val="tx1"/>
                  </w14:solidFill>
                </w14:textFill>
              </w:rPr>
              <w:t>的风机，风机风轮直径为</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m，叶片长</w:t>
            </w:r>
            <w:r>
              <w:rPr>
                <w:color w:val="000000" w:themeColor="text1"/>
                <w14:textFill>
                  <w14:solidFill>
                    <w14:schemeClr w14:val="tx1"/>
                  </w14:solidFill>
                </w14:textFill>
              </w:rPr>
              <w:t>97</w:t>
            </w:r>
            <w:r>
              <w:rPr>
                <w:rFonts w:hint="eastAsia"/>
                <w:color w:val="000000" w:themeColor="text1"/>
                <w14:textFill>
                  <w14:solidFill>
                    <w14:schemeClr w14:val="tx1"/>
                  </w14:solidFill>
                </w14:textFill>
              </w:rPr>
              <w:t>m，发电机塔架为钢制锥筒，塔架重量：</w:t>
            </w:r>
            <w:r>
              <w:rPr>
                <w:color w:val="000000" w:themeColor="text1"/>
                <w14:textFill>
                  <w14:solidFill>
                    <w14:schemeClr w14:val="tx1"/>
                  </w14:solidFill>
                </w14:textFill>
              </w:rPr>
              <w:t>290.55</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/316.30</w:t>
            </w:r>
            <w:r>
              <w:rPr>
                <w:rFonts w:hint="eastAsia"/>
                <w:color w:val="000000" w:themeColor="text1"/>
                <w14:textFill>
                  <w14:solidFill>
                    <w14:schemeClr w14:val="tx1"/>
                  </w14:solidFill>
                </w14:textFill>
              </w:rPr>
              <w:t>t（5</w:t>
            </w:r>
            <w:r>
              <w:rPr>
                <w:color w:val="000000" w:themeColor="text1"/>
                <w14:textFill>
                  <w14:solidFill>
                    <w14:schemeClr w14:val="tx1"/>
                  </w14:solidFill>
                </w14:textFill>
              </w:rPr>
              <w:t>.5MW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6.7MW</w:t>
            </w:r>
            <w:r>
              <w:rPr>
                <w:rFonts w:hint="eastAsia"/>
                <w:color w:val="000000" w:themeColor="text1"/>
                <w14:textFill>
                  <w14:solidFill>
                    <w14:schemeClr w14:val="tx1"/>
                  </w14:solidFill>
                </w14:textFill>
              </w:rPr>
              <w:t>），风机机舱重（含发电机、转轮系统）：</w:t>
            </w:r>
            <w:r>
              <w:rPr>
                <w:color w:val="000000" w:themeColor="text1"/>
                <w14:textFill>
                  <w14:solidFill>
                    <w14:schemeClr w14:val="tx1"/>
                  </w14:solidFill>
                </w14:textFill>
              </w:rPr>
              <w:t>250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/260</w:t>
            </w:r>
            <w:r>
              <w:rPr>
                <w:rFonts w:hint="eastAsia"/>
                <w:color w:val="000000" w:themeColor="text1"/>
                <w14:textFill>
                  <w14:solidFill>
                    <w14:schemeClr w14:val="tx1"/>
                  </w14:solidFill>
                </w14:textFill>
              </w:rPr>
              <w:t>t（5</w:t>
            </w:r>
            <w:r>
              <w:rPr>
                <w:color w:val="000000" w:themeColor="text1"/>
                <w14:textFill>
                  <w14:solidFill>
                    <w14:schemeClr w14:val="tx1"/>
                  </w14:solidFill>
                </w14:textFill>
              </w:rPr>
              <w:t>.5MW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6.7MW</w:t>
            </w:r>
            <w:r>
              <w:rPr>
                <w:rFonts w:hint="eastAsia"/>
                <w:color w:val="000000" w:themeColor="text1"/>
                <w14:textFill>
                  <w14:solidFill>
                    <w14:schemeClr w14:val="tx1"/>
                  </w14:solidFill>
                </w14:textFill>
              </w:rPr>
              <w:t>），预装轮毂高度为1</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m。</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（3）风机基础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基础体型为C40钢筋混凝土圆形扩展式预应力锚栓基础。基础直径2</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m，端部高度0.8m，根部高</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m；台柱高度0.</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m，直径7m；埋深</w:t>
            </w:r>
            <w:r>
              <w:rPr>
                <w:color w:val="000000" w:themeColor="text1"/>
                <w14:textFill>
                  <w14:solidFill>
                    <w14:schemeClr w14:val="tx1"/>
                  </w14:solidFill>
                </w14:textFill>
              </w:rPr>
              <w:t>3.7</w:t>
            </w:r>
            <w:r>
              <w:rPr>
                <w:rFonts w:hint="eastAsia"/>
                <w:color w:val="000000" w:themeColor="text1"/>
                <w14:textFill>
                  <w14:solidFill>
                    <w14:schemeClr w14:val="tx1"/>
                  </w14:solidFill>
                </w14:textFill>
              </w:rPr>
              <w:t>m；采用预应力锚栓组合件连接塔筒和基础。基础浇筑完成后，基坑采用土石分层回填并夯实到台柱顶部，回填土夯实后容重不低于18kN/m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（4）风机吊装平台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根据风机设备和吊装要求，需要在每个机位旁设置45m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55m吊装场地，共</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（5）箱式变压器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项目共安装</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台单机容量</w:t>
            </w:r>
            <w:r>
              <w:rPr>
                <w:color w:val="000000" w:themeColor="text1"/>
                <w14:textFill>
                  <w14:solidFill>
                    <w14:schemeClr w14:val="tx1"/>
                  </w14:solidFill>
                </w14:textFill>
              </w:rPr>
              <w:t>5500</w:t>
            </w:r>
            <w:r>
              <w:rPr>
                <w:rFonts w:hint="eastAsia"/>
                <w:color w:val="000000" w:themeColor="text1"/>
                <w14:textFill>
                  <w14:solidFill>
                    <w14:schemeClr w14:val="tx1"/>
                  </w14:solidFill>
                </w14:textFill>
              </w:rPr>
              <w:t>kW，</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台单机容量6</w:t>
            </w:r>
            <w:r>
              <w:rPr>
                <w:color w:val="000000" w:themeColor="text1"/>
                <w14:textFill>
                  <w14:solidFill>
                    <w14:schemeClr w14:val="tx1"/>
                  </w14:solidFill>
                </w14:textFill>
              </w:rPr>
              <w:t>700</w:t>
            </w:r>
            <w:r>
              <w:rPr>
                <w:rFonts w:hint="eastAsia"/>
                <w:color w:val="000000" w:themeColor="text1"/>
                <w14:textFill>
                  <w14:solidFill>
                    <w14:schemeClr w14:val="tx1"/>
                  </w14:solidFill>
                </w14:textFill>
              </w:rPr>
              <w:t>kW的风力发电机组，机组出口电压均为</w:t>
            </w:r>
            <w:r>
              <w:rPr>
                <w:color w:val="000000" w:themeColor="text1"/>
                <w14:textFill>
                  <w14:solidFill>
                    <w14:schemeClr w14:val="tx1"/>
                  </w14:solidFill>
                </w14:textFill>
              </w:rPr>
              <w:t>1.14</w:t>
            </w:r>
            <w:r>
              <w:rPr>
                <w:rFonts w:hint="eastAsia"/>
                <w:color w:val="000000" w:themeColor="text1"/>
                <w14:textFill>
                  <w14:solidFill>
                    <w14:schemeClr w14:val="tx1"/>
                  </w14:solidFill>
                </w14:textFill>
              </w:rPr>
              <w:t>kV，经附近的箱式变压器升压至3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kV后接至3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kV集电线路。风机与箱变组合采用“一机一变”的单元接线方式，箱变布置在距风机约15m处，</w:t>
            </w:r>
            <w:r>
              <w:rPr>
                <w:color w:val="000000" w:themeColor="text1"/>
                <w14:textFill>
                  <w14:solidFill>
                    <w14:schemeClr w14:val="tx1"/>
                  </w14:solidFill>
                </w14:textFill>
              </w:rPr>
              <w:t>5500</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风机采用额定容量为</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00kVA的箱式变压器，</w:t>
            </w:r>
            <w:r>
              <w:rPr>
                <w:color w:val="000000" w:themeColor="text1"/>
                <w14:textFill>
                  <w14:solidFill>
                    <w14:schemeClr w14:val="tx1"/>
                  </w14:solidFill>
                </w14:textFill>
              </w:rPr>
              <w:t>6700</w:t>
            </w:r>
            <w:r>
              <w:rPr>
                <w:rFonts w:hint="eastAsia"/>
                <w:color w:val="000000" w:themeColor="text1"/>
                <w14:textFill>
                  <w14:solidFill>
                    <w14:schemeClr w14:val="tx1"/>
                  </w14:solidFill>
                </w14:textFill>
              </w:rPr>
              <w:t>kW风机采用额定容量为</w:t>
            </w:r>
            <w:r>
              <w:rPr>
                <w:color w:val="000000" w:themeColor="text1"/>
                <w14:textFill>
                  <w14:solidFill>
                    <w14:schemeClr w14:val="tx1"/>
                  </w14:solidFill>
                </w14:textFill>
              </w:rPr>
              <w:t>74</w:t>
            </w:r>
            <w:r>
              <w:rPr>
                <w:rFonts w:hint="eastAsia"/>
                <w:color w:val="000000" w:themeColor="text1"/>
                <w14:textFill>
                  <w14:solidFill>
                    <w14:schemeClr w14:val="tx1"/>
                  </w14:solidFill>
                </w14:textFill>
              </w:rPr>
              <w:t>00kVA的箱式变压器。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箱式变压器采用华氏油浸式无励磁调压升压变压器，变比均为37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2.5%/1.14kV，箱式变电站低压侧（1.14kV）侧按发~变组接线，35kV侧为线路~变压器组接线，采用断路器保护，两侧采用电缆馈线。箱式变电站低压侧设置1台变压器，作为照明、检修、加热电源。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5500kW风电机组与6100kVA箱式变电站的联结采用9根型号为ZR-YJY</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-1.8/3kV-3</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相线和2根型号为ZR-YJY</w:t>
            </w:r>
            <w:r>
              <w:rPr>
                <w:rFonts w:hint="eastAsia"/>
                <w:color w:val="000000" w:themeColor="text1"/>
                <w:vertAlign w:val="subscript"/>
                <w14:textFill>
                  <w14:solidFill>
                    <w14:schemeClr w14:val="tx1"/>
                  </w14:solidFill>
                </w14:textFill>
              </w:rPr>
              <w:t>63</w:t>
            </w:r>
            <w:r>
              <w:rPr>
                <w:rFonts w:hint="eastAsia"/>
                <w:color w:val="000000" w:themeColor="text1"/>
                <w14:textFill>
                  <w14:solidFill>
                    <w14:schemeClr w14:val="tx1"/>
                  </w14:solidFill>
                </w14:textFill>
              </w:rPr>
              <w:t>-1.8/3kV-1</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PE线并联方式；6700kW风电机组与7400kVA箱式变电站的联结采用12根型号为ZR-YJY</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-1.8/3kV-3</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相线和2根型号为ZR-YJY</w:t>
            </w:r>
            <w:r>
              <w:rPr>
                <w:rFonts w:hint="eastAsia"/>
                <w:color w:val="000000" w:themeColor="text1"/>
                <w:vertAlign w:val="subscript"/>
                <w14:textFill>
                  <w14:solidFill>
                    <w14:schemeClr w14:val="tx1"/>
                  </w14:solidFill>
                </w14:textFill>
              </w:rPr>
              <w:t>63</w:t>
            </w:r>
            <w:r>
              <w:rPr>
                <w:rFonts w:hint="eastAsia"/>
                <w:color w:val="000000" w:themeColor="text1"/>
                <w14:textFill>
                  <w14:solidFill>
                    <w14:schemeClr w14:val="tx1"/>
                  </w14:solidFill>
                </w14:textFill>
              </w:rPr>
              <w:t>-1.8/3kV-1</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PE线并联方式。箱式变高压侧选用35kV电压等级，出线采用1根ZR-YJLY</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-3</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120mm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交联聚乙烯绝缘铝芯电力电缆。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变压器基础底部埋深1.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m，基础顶面高于地坪0.</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5m。箱变基础对地基承载力要求不高，较密实坡、残积层及以下岩层均可作为箱变基础持力层。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曲靖市待补风电场二期项目风机机位特性见下表。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  曲靖市待补风电场二期项目风机机位特性表</w:t>
            </w:r>
          </w:p>
          <w:tbl>
            <w:tblPr>
              <w:tblStyle w:val="20"/>
              <w:tblW w:w="8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545"/>
              <w:gridCol w:w="1432"/>
              <w:gridCol w:w="691"/>
              <w:gridCol w:w="691"/>
              <w:gridCol w:w="919"/>
              <w:gridCol w:w="862"/>
              <w:gridCol w:w="862"/>
              <w:gridCol w:w="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3" w:hRule="atLeast"/>
              </w:trPr>
              <w:tc>
                <w:tcPr>
                  <w:tcW w:w="690" w:type="dxa"/>
                  <w:vMerge w:val="restart"/>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2977" w:type="dxa"/>
                  <w:gridSpan w:val="2"/>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坐标</w:t>
                  </w:r>
                </w:p>
              </w:tc>
              <w:tc>
                <w:tcPr>
                  <w:tcW w:w="691" w:type="dxa"/>
                  <w:vMerge w:val="restart"/>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海拔</w:t>
                  </w:r>
                </w:p>
              </w:tc>
              <w:tc>
                <w:tcPr>
                  <w:tcW w:w="691" w:type="dxa"/>
                  <w:vMerge w:val="restart"/>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平均</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风速</w:t>
                  </w:r>
                </w:p>
              </w:tc>
              <w:tc>
                <w:tcPr>
                  <w:tcW w:w="919" w:type="dxa"/>
                  <w:vMerge w:val="restart"/>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理论</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发电量</w:t>
                  </w:r>
                </w:p>
              </w:tc>
              <w:tc>
                <w:tcPr>
                  <w:tcW w:w="862" w:type="dxa"/>
                  <w:vMerge w:val="restart"/>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上网</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电量</w:t>
                  </w:r>
                </w:p>
              </w:tc>
              <w:tc>
                <w:tcPr>
                  <w:tcW w:w="862" w:type="dxa"/>
                  <w:vMerge w:val="restart"/>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等效</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小时</w:t>
                  </w:r>
                </w:p>
              </w:tc>
              <w:tc>
                <w:tcPr>
                  <w:tcW w:w="691" w:type="dxa"/>
                  <w:vMerge w:val="restart"/>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rPr>
              <w:tc>
                <w:tcPr>
                  <w:tcW w:w="690" w:type="dxa"/>
                  <w:vMerge w:val="continue"/>
                  <w:vAlign w:val="center"/>
                </w:tcPr>
                <w:p>
                  <w:pPr>
                    <w:pStyle w:val="29"/>
                    <w:rPr>
                      <w:color w:val="000000" w:themeColor="text1"/>
                      <w14:textFill>
                        <w14:solidFill>
                          <w14:schemeClr w14:val="tx1"/>
                        </w14:solidFill>
                      </w14:textFill>
                    </w:rPr>
                  </w:pP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Y</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691" w:type="dxa"/>
                  <w:vMerge w:val="continue"/>
                  <w:shd w:val="clear" w:color="auto" w:fill="auto"/>
                  <w:noWrap/>
                  <w:vAlign w:val="bottom"/>
                </w:tcPr>
                <w:p>
                  <w:pPr>
                    <w:pStyle w:val="29"/>
                    <w:rPr>
                      <w:color w:val="000000" w:themeColor="text1"/>
                      <w14:textFill>
                        <w14:solidFill>
                          <w14:schemeClr w14:val="tx1"/>
                        </w14:solidFill>
                      </w14:textFill>
                    </w:rPr>
                  </w:pPr>
                </w:p>
              </w:tc>
              <w:tc>
                <w:tcPr>
                  <w:tcW w:w="691" w:type="dxa"/>
                  <w:vMerge w:val="continue"/>
                  <w:vAlign w:val="center"/>
                </w:tcPr>
                <w:p>
                  <w:pPr>
                    <w:pStyle w:val="29"/>
                    <w:rPr>
                      <w:color w:val="000000" w:themeColor="text1"/>
                      <w14:textFill>
                        <w14:solidFill>
                          <w14:schemeClr w14:val="tx1"/>
                        </w14:solidFill>
                      </w14:textFill>
                    </w:rPr>
                  </w:pPr>
                </w:p>
              </w:tc>
              <w:tc>
                <w:tcPr>
                  <w:tcW w:w="919" w:type="dxa"/>
                  <w:vMerge w:val="continue"/>
                  <w:vAlign w:val="center"/>
                </w:tcPr>
                <w:p>
                  <w:pPr>
                    <w:pStyle w:val="29"/>
                    <w:rPr>
                      <w:color w:val="000000" w:themeColor="text1"/>
                      <w14:textFill>
                        <w14:solidFill>
                          <w14:schemeClr w14:val="tx1"/>
                        </w14:solidFill>
                      </w14:textFill>
                    </w:rPr>
                  </w:pPr>
                </w:p>
              </w:tc>
              <w:tc>
                <w:tcPr>
                  <w:tcW w:w="862" w:type="dxa"/>
                  <w:vMerge w:val="continue"/>
                  <w:vAlign w:val="center"/>
                </w:tcPr>
                <w:p>
                  <w:pPr>
                    <w:pStyle w:val="29"/>
                    <w:rPr>
                      <w:color w:val="000000" w:themeColor="text1"/>
                      <w14:textFill>
                        <w14:solidFill>
                          <w14:schemeClr w14:val="tx1"/>
                        </w14:solidFill>
                      </w14:textFill>
                    </w:rPr>
                  </w:pPr>
                </w:p>
              </w:tc>
              <w:tc>
                <w:tcPr>
                  <w:tcW w:w="862" w:type="dxa"/>
                  <w:vMerge w:val="continue"/>
                  <w:vAlign w:val="center"/>
                </w:tcPr>
                <w:p>
                  <w:pPr>
                    <w:pStyle w:val="29"/>
                    <w:rPr>
                      <w:color w:val="000000" w:themeColor="text1"/>
                      <w14:textFill>
                        <w14:solidFill>
                          <w14:schemeClr w14:val="tx1"/>
                        </w14:solidFill>
                      </w14:textFill>
                    </w:rPr>
                  </w:pPr>
                </w:p>
              </w:tc>
              <w:tc>
                <w:tcPr>
                  <w:tcW w:w="691"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41</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34630174.001</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2880760.000</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3222</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8.3</w:t>
                  </w:r>
                </w:p>
              </w:tc>
              <w:tc>
                <w:tcPr>
                  <w:tcW w:w="91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2876</w:t>
                  </w:r>
                </w:p>
              </w:tc>
              <w:tc>
                <w:tcPr>
                  <w:tcW w:w="862"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2144</w:t>
                  </w:r>
                </w:p>
              </w:tc>
              <w:tc>
                <w:tcPr>
                  <w:tcW w:w="862"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3201</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34630710.698</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2881396.397</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3209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8.2</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2858</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2047</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3055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43</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34631191.098</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2881398.098</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3162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2762</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1930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2881</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44</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34631243.502</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2882234.600</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3155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8.5</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2974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2191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3271</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45</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34632374.298</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2882397.004</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3030</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2405</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1733</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2586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46</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34632649.401</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2882177.305</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3012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7.1</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2336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1708</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2549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47</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34643251.656</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2887745.941</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2805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1834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1302</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2367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48</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34643111.908</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2888031.007</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6.5</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2111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1413</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2109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49</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34642977.255</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2888311.798</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2201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1446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2158</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34642410.987</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2888182.681</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2937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7.1</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2443</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1747</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2608</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51</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34642440.393</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2888651.599</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2929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2210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1565</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2336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52</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34642270.434</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2888950.285</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2911</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1999</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1440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2149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53</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34641186.500</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2888782.444</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2946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2238</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1659</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2476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34640614.557</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2889103.413</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2902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1651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2210</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34640147.900</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2889287.900</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1616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1191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2165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34640174.420</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2889914.381</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2857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1585</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1154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2098</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57</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34641344.703</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2890841.605</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2782</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91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1260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890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1619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34640907.110</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2891011.562</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6.1</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1674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1221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2221</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59</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34644681.936</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2891869.720</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2679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1349</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997</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1813</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34644329.269</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2892230.151</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2687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1354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998</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1815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61</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34643951.374</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2892614.881</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2682</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91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1306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947</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1722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62</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34640501.002</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2893965.106</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2905</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2124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1585</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2366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34641069.809</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2894082.628</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2856</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5.9</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1610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1146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2084</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34643067.748</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2895376.946</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2843</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1534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1137</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2067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65</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34643753.515</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2895907.428</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2842</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91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1455</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1024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1862</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34644787.642</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2896821.842</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2844</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1521</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1122</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2040</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34646962.500</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2897485.800</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2907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2008</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1486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2218</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68</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34647395.100</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2897441.900</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2914</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6.1</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1860</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1354</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2021</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34647619.212</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2896889.113</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2939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6.5</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2097</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1548</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2310</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690"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54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34647877.579</w:t>
                  </w:r>
                </w:p>
              </w:tc>
              <w:tc>
                <w:tcPr>
                  <w:tcW w:w="1432"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2895954.961</w:t>
                  </w:r>
                </w:p>
              </w:tc>
              <w:tc>
                <w:tcPr>
                  <w:tcW w:w="691"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2829</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919"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1976</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1479</w:t>
                  </w:r>
                </w:p>
              </w:tc>
              <w:tc>
                <w:tcPr>
                  <w:tcW w:w="862"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2207</w:t>
                  </w:r>
                </w:p>
              </w:tc>
              <w:tc>
                <w:tcPr>
                  <w:tcW w:w="691"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3667" w:type="dxa"/>
                  <w:gridSpan w:val="3"/>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91" w:type="dxa"/>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59227</w:t>
                  </w:r>
                </w:p>
              </w:tc>
              <w:tc>
                <w:tcPr>
                  <w:tcW w:w="862"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42820</w:t>
                  </w:r>
                </w:p>
              </w:tc>
              <w:tc>
                <w:tcPr>
                  <w:tcW w:w="862"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3667" w:type="dxa"/>
                  <w:gridSpan w:val="3"/>
                  <w:shd w:val="clear" w:color="auto" w:fill="auto"/>
                  <w:noWrap/>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平均</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2908</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91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1974.2</w:t>
                  </w:r>
                </w:p>
              </w:tc>
              <w:tc>
                <w:tcPr>
                  <w:tcW w:w="862"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1427.3</w:t>
                  </w:r>
                </w:p>
              </w:tc>
              <w:tc>
                <w:tcPr>
                  <w:tcW w:w="862"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2286.1</w:t>
                  </w:r>
                </w:p>
              </w:tc>
              <w:tc>
                <w:tcPr>
                  <w:tcW w:w="69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6.3</w:t>
                  </w:r>
                </w:p>
              </w:tc>
            </w:tr>
          </w:tbl>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.2.3.2 </w:t>
            </w:r>
            <w:r>
              <w:rPr>
                <w:rFonts w:hint="eastAsia"/>
                <w:color w:val="000000" w:themeColor="text1"/>
                <w14:textFill>
                  <w14:solidFill>
                    <w14:schemeClr w14:val="tx1"/>
                  </w14:solidFill>
                </w14:textFill>
              </w:rPr>
              <w:t>集电线路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（1）风机基础至箱式变压器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项目共安装</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台单机容量</w:t>
            </w:r>
            <w:r>
              <w:rPr>
                <w:color w:val="000000" w:themeColor="text1"/>
                <w14:textFill>
                  <w14:solidFill>
                    <w14:schemeClr w14:val="tx1"/>
                  </w14:solidFill>
                </w14:textFill>
              </w:rPr>
              <w:t>5.5MW</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台单机容量6</w:t>
            </w:r>
            <w:r>
              <w:rPr>
                <w:color w:val="000000" w:themeColor="text1"/>
                <w14:textFill>
                  <w14:solidFill>
                    <w14:schemeClr w14:val="tx1"/>
                  </w14:solidFill>
                </w14:textFill>
              </w:rPr>
              <w:t>.7MW</w:t>
            </w:r>
            <w:r>
              <w:rPr>
                <w:rFonts w:hint="eastAsia"/>
                <w:color w:val="000000" w:themeColor="text1"/>
                <w14:textFill>
                  <w14:solidFill>
                    <w14:schemeClr w14:val="tx1"/>
                  </w14:solidFill>
                </w14:textFill>
              </w:rPr>
              <w:t>的风力发电机组，机组出口电压均为</w:t>
            </w:r>
            <w:r>
              <w:rPr>
                <w:color w:val="000000" w:themeColor="text1"/>
                <w14:textFill>
                  <w14:solidFill>
                    <w14:schemeClr w14:val="tx1"/>
                  </w14:solidFill>
                </w14:textFill>
              </w:rPr>
              <w:t>1.14</w:t>
            </w:r>
            <w:r>
              <w:rPr>
                <w:rFonts w:hint="eastAsia"/>
                <w:color w:val="000000" w:themeColor="text1"/>
                <w14:textFill>
                  <w14:solidFill>
                    <w14:schemeClr w14:val="tx1"/>
                  </w14:solidFill>
                </w14:textFill>
              </w:rPr>
              <w:t>kV，经附近的箱式变电站升压至35kV后接至35kV集电线路，风机与箱变组合采用“一机一变”的单元接线方式，箱变布置在距风机约15m处，</w:t>
            </w:r>
            <w:r>
              <w:rPr>
                <w:color w:val="000000" w:themeColor="text1"/>
                <w14:textFill>
                  <w14:solidFill>
                    <w14:schemeClr w14:val="tx1"/>
                  </w14:solidFill>
                </w14:textFill>
              </w:rPr>
              <w:t>5500</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风机采用额定容量为</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00kVA的箱式变压器，</w:t>
            </w:r>
            <w:r>
              <w:rPr>
                <w:color w:val="000000" w:themeColor="text1"/>
                <w14:textFill>
                  <w14:solidFill>
                    <w14:schemeClr w14:val="tx1"/>
                  </w14:solidFill>
                </w14:textFill>
              </w:rPr>
              <w:t>6700</w:t>
            </w:r>
            <w:r>
              <w:rPr>
                <w:rFonts w:hint="eastAsia"/>
                <w:color w:val="000000" w:themeColor="text1"/>
                <w14:textFill>
                  <w14:solidFill>
                    <w14:schemeClr w14:val="tx1"/>
                  </w14:solidFill>
                </w14:textFill>
              </w:rPr>
              <w:t>kW风机采用额定容量为</w:t>
            </w:r>
            <w:r>
              <w:rPr>
                <w:color w:val="000000" w:themeColor="text1"/>
                <w14:textFill>
                  <w14:solidFill>
                    <w14:schemeClr w14:val="tx1"/>
                  </w14:solidFill>
                </w14:textFill>
              </w:rPr>
              <w:t>74</w:t>
            </w:r>
            <w:r>
              <w:rPr>
                <w:rFonts w:hint="eastAsia"/>
                <w:color w:val="000000" w:themeColor="text1"/>
                <w14:textFill>
                  <w14:solidFill>
                    <w14:schemeClr w14:val="tx1"/>
                  </w14:solidFill>
                </w14:textFill>
              </w:rPr>
              <w:t>00kVA的箱式变压器。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5500kW风电机组与6100kVA箱式变电站的联结采用9根型号为ZR-YJY</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-1.8/3kV-3×400mm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相线和2根型号为ZR-YJY</w:t>
            </w:r>
            <w:r>
              <w:rPr>
                <w:rFonts w:hint="eastAsia"/>
                <w:color w:val="000000" w:themeColor="text1"/>
                <w:vertAlign w:val="subscript"/>
                <w14:textFill>
                  <w14:solidFill>
                    <w14:schemeClr w14:val="tx1"/>
                  </w14:solidFill>
                </w14:textFill>
              </w:rPr>
              <w:t>63</w:t>
            </w:r>
            <w:r>
              <w:rPr>
                <w:rFonts w:hint="eastAsia"/>
                <w:color w:val="000000" w:themeColor="text1"/>
                <w14:textFill>
                  <w14:solidFill>
                    <w14:schemeClr w14:val="tx1"/>
                  </w14:solidFill>
                </w14:textFill>
              </w:rPr>
              <w:t>-1.8/3kV-1×400mm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PE线并联方式；6700kW风电机组与7400kVA箱式变电站的联结采用12根型号为ZR-YJY</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-1.8/3kV-3×400mm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相线和2根型号为ZR-YJY</w:t>
            </w:r>
            <w:r>
              <w:rPr>
                <w:rFonts w:hint="eastAsia"/>
                <w:color w:val="000000" w:themeColor="text1"/>
                <w:vertAlign w:val="subscript"/>
                <w14:textFill>
                  <w14:solidFill>
                    <w14:schemeClr w14:val="tx1"/>
                  </w14:solidFill>
                </w14:textFill>
              </w:rPr>
              <w:t>63</w:t>
            </w:r>
            <w:r>
              <w:rPr>
                <w:rFonts w:hint="eastAsia"/>
                <w:color w:val="000000" w:themeColor="text1"/>
                <w14:textFill>
                  <w14:solidFill>
                    <w14:schemeClr w14:val="tx1"/>
                  </w14:solidFill>
                </w14:textFill>
              </w:rPr>
              <w:t>-1.8/3kV-1×400mm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PE线并联方式。箱式变高压侧选用35kV电压等级，出线采用1根ZR-YJLY</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-3×120mm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交联聚乙烯绝缘铝芯电力电缆。</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（2）箱式变压器至升压站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风电场集电线路额定电压为</w:t>
            </w:r>
            <w:r>
              <w:rPr>
                <w:color w:val="000000" w:themeColor="text1"/>
                <w14:textFill>
                  <w14:solidFill>
                    <w14:schemeClr w14:val="tx1"/>
                  </w14:solidFill>
                </w14:textFill>
              </w:rPr>
              <w:t>35kV</w:t>
            </w:r>
            <w:r>
              <w:rPr>
                <w:rFonts w:hint="eastAsia"/>
                <w:color w:val="000000" w:themeColor="text1"/>
                <w14:textFill>
                  <w14:solidFill>
                    <w14:schemeClr w14:val="tx1"/>
                  </w14:solidFill>
                </w14:textFill>
              </w:rPr>
              <w:t>，工程风机大多布置在高海拔覆冰厚区域，采用电缆线路方式连接。风电场采用“一机一变”的单元接线方式，共</w:t>
            </w:r>
            <w:r>
              <w:rPr>
                <w:color w:val="000000" w:themeColor="text1"/>
                <w14:textFill>
                  <w14:solidFill>
                    <w14:schemeClr w14:val="tx1"/>
                  </w14:solidFill>
                </w14:textFill>
              </w:rPr>
              <w:t>30台</w:t>
            </w:r>
            <w:r>
              <w:rPr>
                <w:rFonts w:hint="eastAsia"/>
                <w:color w:val="000000" w:themeColor="text1"/>
                <w14:textFill>
                  <w14:solidFill>
                    <w14:schemeClr w14:val="tx1"/>
                  </w14:solidFill>
                </w14:textFill>
              </w:rPr>
              <w:t>箱变。综合考虑风电场各风机的位置分布、</w:t>
            </w:r>
            <w:r>
              <w:rPr>
                <w:color w:val="000000" w:themeColor="text1"/>
                <w14:textFill>
                  <w14:solidFill>
                    <w14:schemeClr w14:val="tx1"/>
                  </w14:solidFill>
                </w14:textFill>
              </w:rPr>
              <w:t>35kV</w:t>
            </w:r>
            <w:r>
              <w:rPr>
                <w:rFonts w:hint="eastAsia"/>
                <w:color w:val="000000" w:themeColor="text1"/>
                <w14:textFill>
                  <w14:solidFill>
                    <w14:schemeClr w14:val="tx1"/>
                  </w14:solidFill>
                </w14:textFill>
              </w:rPr>
              <w:t>集电线路的走向等因素，将风电场的风机箱变分为8组，</w:t>
            </w:r>
            <w:r>
              <w:rPr>
                <w:color w:val="000000" w:themeColor="text1"/>
                <w14:textFill>
                  <w14:solidFill>
                    <w14:schemeClr w14:val="tx1"/>
                  </w14:solidFill>
                </w14:textFill>
              </w:rPr>
              <w:t>待补二期189</w:t>
            </w:r>
            <w:r>
              <w:rPr>
                <w:rFonts w:hint="eastAsia"/>
                <w:color w:val="000000" w:themeColor="text1"/>
                <w14:textFill>
                  <w14:solidFill>
                    <w14:schemeClr w14:val="tx1"/>
                  </w14:solidFill>
                </w14:textFill>
              </w:rPr>
              <w:t>MW</w:t>
            </w:r>
            <w:r>
              <w:rPr>
                <w:color w:val="000000" w:themeColor="text1"/>
                <w14:textFill>
                  <w14:solidFill>
                    <w14:schemeClr w14:val="tx1"/>
                  </w14:solidFill>
                </w14:textFill>
              </w:rPr>
              <w:t>风电项目30</w:t>
            </w:r>
            <w:r>
              <w:rPr>
                <w:rFonts w:hint="eastAsia"/>
                <w:color w:val="000000" w:themeColor="text1"/>
                <w14:textFill>
                  <w14:solidFill>
                    <w14:schemeClr w14:val="tx1"/>
                  </w14:solidFill>
                </w14:textFill>
              </w:rPr>
              <w:t>台风机通过8回3</w:t>
            </w:r>
            <w:r>
              <w:rPr>
                <w:color w:val="000000" w:themeColor="text1"/>
                <w14:textFill>
                  <w14:solidFill>
                    <w14:schemeClr w14:val="tx1"/>
                  </w14:solidFill>
                </w14:textFill>
              </w:rPr>
              <w:t>5kV</w:t>
            </w:r>
            <w:r>
              <w:rPr>
                <w:rFonts w:hint="eastAsia"/>
                <w:color w:val="000000" w:themeColor="text1"/>
                <w14:textFill>
                  <w14:solidFill>
                    <w14:schemeClr w14:val="tx1"/>
                  </w14:solidFill>
                </w14:textFill>
              </w:rPr>
              <w:t>集电</w:t>
            </w:r>
            <w:r>
              <w:rPr>
                <w:color w:val="000000" w:themeColor="text1"/>
                <w14:textFill>
                  <w14:solidFill>
                    <w14:schemeClr w14:val="tx1"/>
                  </w14:solidFill>
                </w14:textFill>
              </w:rPr>
              <w:t>线路</w:t>
            </w:r>
            <w:r>
              <w:rPr>
                <w:rFonts w:hint="eastAsia"/>
                <w:color w:val="000000" w:themeColor="text1"/>
                <w14:textFill>
                  <w14:solidFill>
                    <w14:schemeClr w14:val="tx1"/>
                  </w14:solidFill>
                </w14:textFill>
              </w:rPr>
              <w:t>连接至待补一期</w:t>
            </w:r>
            <w:r>
              <w:rPr>
                <w:color w:val="000000" w:themeColor="text1"/>
                <w14:textFill>
                  <w14:solidFill>
                    <w14:schemeClr w14:val="tx1"/>
                  </w14:solidFill>
                </w14:textFill>
              </w:rPr>
              <w:t>220kV</w:t>
            </w:r>
            <w:r>
              <w:rPr>
                <w:rFonts w:hint="eastAsia"/>
                <w:color w:val="000000" w:themeColor="text1"/>
                <w14:textFill>
                  <w14:solidFill>
                    <w14:schemeClr w14:val="tx1"/>
                  </w14:solidFill>
                </w14:textFill>
              </w:rPr>
              <w:t>升压站。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根据《风电场工程电气设计规范》（NB/T 31026-2012）及35kV线路输送能力、风场装机规模、风机布置、地形特点等因素，35kV电缆集电线路，线路按最多输送4台风力发电机组的电力25.6MW设计，根据各风机的连接组合，铝芯电缆型号拟选用</w:t>
            </w:r>
            <w:r>
              <w:rPr>
                <w:color w:val="000000" w:themeColor="text1"/>
                <w14:textFill>
                  <w14:solidFill>
                    <w14:schemeClr w14:val="tx1"/>
                  </w14:solidFill>
                </w14:textFill>
              </w:rPr>
              <w:t>ZR-YJLV</w:t>
            </w:r>
            <w:r>
              <w:rPr>
                <w:color w:val="000000" w:themeColor="text1"/>
                <w:vertAlign w:val="subscript"/>
                <w14:textFill>
                  <w14:solidFill>
                    <w14:schemeClr w14:val="tx1"/>
                  </w14:solidFill>
                </w14:textFill>
              </w:rPr>
              <w:t>22</w:t>
            </w:r>
            <w:r>
              <w:rPr>
                <w:color w:val="000000" w:themeColor="text1"/>
                <w14:textFill>
                  <w14:solidFill>
                    <w14:schemeClr w14:val="tx1"/>
                  </w14:solidFill>
                </w14:textFill>
              </w:rPr>
              <w:t>-26/35-3×500、ZR-YJLV</w:t>
            </w:r>
            <w:r>
              <w:rPr>
                <w:color w:val="000000" w:themeColor="text1"/>
                <w:vertAlign w:val="subscript"/>
                <w14:textFill>
                  <w14:solidFill>
                    <w14:schemeClr w14:val="tx1"/>
                  </w14:solidFill>
                </w14:textFill>
              </w:rPr>
              <w:t>22</w:t>
            </w:r>
            <w:r>
              <w:rPr>
                <w:color w:val="000000" w:themeColor="text1"/>
                <w14:textFill>
                  <w14:solidFill>
                    <w14:schemeClr w14:val="tx1"/>
                  </w14:solidFill>
                </w14:textFill>
              </w:rPr>
              <w:t>-26/35-3×400、ZR-YJLV</w:t>
            </w:r>
            <w:r>
              <w:rPr>
                <w:color w:val="000000" w:themeColor="text1"/>
                <w:vertAlign w:val="subscript"/>
                <w14:textFill>
                  <w14:solidFill>
                    <w14:schemeClr w14:val="tx1"/>
                  </w14:solidFill>
                </w14:textFill>
              </w:rPr>
              <w:t>22</w:t>
            </w:r>
            <w:r>
              <w:rPr>
                <w:color w:val="000000" w:themeColor="text1"/>
                <w14:textFill>
                  <w14:solidFill>
                    <w14:schemeClr w14:val="tx1"/>
                  </w14:solidFill>
                </w14:textFill>
              </w:rPr>
              <w:t>-26/35-3×300、ZR-YJLV</w:t>
            </w:r>
            <w:r>
              <w:rPr>
                <w:color w:val="000000" w:themeColor="text1"/>
                <w:vertAlign w:val="subscript"/>
                <w14:textFill>
                  <w14:solidFill>
                    <w14:schemeClr w14:val="tx1"/>
                  </w14:solidFill>
                </w14:textFill>
              </w:rPr>
              <w:t>22</w:t>
            </w:r>
            <w:r>
              <w:rPr>
                <w:color w:val="000000" w:themeColor="text1"/>
                <w14:textFill>
                  <w14:solidFill>
                    <w14:schemeClr w14:val="tx1"/>
                  </w14:solidFill>
                </w14:textFill>
              </w:rPr>
              <w:t>-26/35-3×240、ZR-YJLV</w:t>
            </w:r>
            <w:r>
              <w:rPr>
                <w:color w:val="000000" w:themeColor="text1"/>
                <w:vertAlign w:val="subscript"/>
                <w14:textFill>
                  <w14:solidFill>
                    <w14:schemeClr w14:val="tx1"/>
                  </w14:solidFill>
                </w14:textFill>
              </w:rPr>
              <w:t>22</w:t>
            </w:r>
            <w:r>
              <w:rPr>
                <w:color w:val="000000" w:themeColor="text1"/>
                <w14:textFill>
                  <w14:solidFill>
                    <w14:schemeClr w14:val="tx1"/>
                  </w14:solidFill>
                </w14:textFill>
              </w:rPr>
              <w:t>-26/35-3×120</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根据风电场风力发电机组布置方式，各集电线路与风力发电机组～箱变组连接方案如下：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1UL线路：连接</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#风机箱变，共</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台风机，汇集</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2UL线路：连接</w:t>
            </w:r>
            <w:r>
              <w:rPr>
                <w:color w:val="000000" w:themeColor="text1"/>
                <w14:textFill>
                  <w14:solidFill>
                    <w14:schemeClr w14:val="tx1"/>
                  </w14:solidFill>
                </w14:textFill>
              </w:rPr>
              <w:t>44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46</w:t>
            </w:r>
            <w:r>
              <w:rPr>
                <w:rFonts w:hint="eastAsia"/>
                <w:color w:val="000000" w:themeColor="text1"/>
                <w14:textFill>
                  <w14:solidFill>
                    <w14:schemeClr w14:val="tx1"/>
                  </w14:solidFill>
                </w14:textFill>
              </w:rPr>
              <w:t>#风机箱变，共</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台风机，汇集</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3UL线路：连接</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风机箱变，共4台风机，汇集</w:t>
            </w:r>
            <w:r>
              <w:rPr>
                <w:color w:val="000000" w:themeColor="text1"/>
                <w14:textFill>
                  <w14:solidFill>
                    <w14:schemeClr w14:val="tx1"/>
                  </w14:solidFill>
                </w14:textFill>
              </w:rPr>
              <w:t>25.6</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4UL线路：连接</w:t>
            </w:r>
            <w:r>
              <w:rPr>
                <w:color w:val="000000" w:themeColor="text1"/>
                <w14:textFill>
                  <w14:solidFill>
                    <w14:schemeClr w14:val="tx1"/>
                  </w14:solidFill>
                </w14:textFill>
              </w:rPr>
              <w:t>47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风机箱变，共4台风机，汇集25.6MW电量；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5UL线路：连接</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58#</w:t>
            </w:r>
            <w:r>
              <w:rPr>
                <w:rFonts w:hint="eastAsia"/>
                <w:color w:val="000000" w:themeColor="text1"/>
                <w14:textFill>
                  <w14:solidFill>
                    <w14:schemeClr w14:val="tx1"/>
                  </w14:solidFill>
                </w14:textFill>
              </w:rPr>
              <w:t>风机箱变，共4台风机，汇集</w:t>
            </w:r>
            <w:r>
              <w:rPr>
                <w:color w:val="000000" w:themeColor="text1"/>
                <w14:textFill>
                  <w14:solidFill>
                    <w14:schemeClr w14:val="tx1"/>
                  </w14:solidFill>
                </w14:textFill>
              </w:rPr>
              <w:t>23.2</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6UL线路：连接</w:t>
            </w:r>
            <w:r>
              <w:rPr>
                <w:color w:val="000000" w:themeColor="text1"/>
                <w14:textFill>
                  <w14:solidFill>
                    <w14:schemeClr w14:val="tx1"/>
                  </w14:solidFill>
                </w14:textFill>
              </w:rPr>
              <w:t>59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63#</w:t>
            </w:r>
            <w:r>
              <w:rPr>
                <w:rFonts w:hint="eastAsia"/>
                <w:color w:val="000000" w:themeColor="text1"/>
                <w14:textFill>
                  <w14:solidFill>
                    <w14:schemeClr w14:val="tx1"/>
                  </w14:solidFill>
                </w14:textFill>
              </w:rPr>
              <w:t>风机箱变，共</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台风机，汇集</w:t>
            </w:r>
            <w:r>
              <w:rPr>
                <w:color w:val="000000" w:themeColor="text1"/>
                <w14:textFill>
                  <w14:solidFill>
                    <w14:schemeClr w14:val="tx1"/>
                  </w14:solidFill>
                </w14:textFill>
              </w:rPr>
              <w:t>23.2</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7UL线路：连接</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68#</w:t>
            </w:r>
            <w:r>
              <w:rPr>
                <w:rFonts w:hint="eastAsia"/>
                <w:color w:val="000000" w:themeColor="text1"/>
                <w14:textFill>
                  <w14:solidFill>
                    <w14:schemeClr w14:val="tx1"/>
                  </w14:solidFill>
                </w14:textFill>
              </w:rPr>
              <w:t>风机箱变，共</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台风机，汇集</w:t>
            </w:r>
            <w:r>
              <w:rPr>
                <w:color w:val="000000" w:themeColor="text1"/>
                <w14:textFill>
                  <w14:solidFill>
                    <w14:schemeClr w14:val="tx1"/>
                  </w14:solidFill>
                </w14:textFill>
              </w:rPr>
              <w:t>25.6</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8UL线路：连接</w:t>
            </w:r>
            <w:r>
              <w:rPr>
                <w:color w:val="000000" w:themeColor="text1"/>
                <w14:textFill>
                  <w14:solidFill>
                    <w14:schemeClr w14:val="tx1"/>
                  </w14:solidFill>
                </w14:textFill>
              </w:rPr>
              <w:t>66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风机箱变，共</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台风机，汇集</w:t>
            </w:r>
            <w:r>
              <w:rPr>
                <w:color w:val="000000" w:themeColor="text1"/>
                <w14:textFill>
                  <w14:solidFill>
                    <w14:schemeClr w14:val="tx1"/>
                  </w14:solidFill>
                </w14:textFill>
              </w:rPr>
              <w:t>25.6</w:t>
            </w:r>
            <w:r>
              <w:rPr>
                <w:rFonts w:hint="eastAsia"/>
                <w:color w:val="000000" w:themeColor="text1"/>
                <w14:textFill>
                  <w14:solidFill>
                    <w14:schemeClr w14:val="tx1"/>
                  </w14:solidFill>
                </w14:textFill>
              </w:rPr>
              <w:t>MW电量。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（3）集电线路铺设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地埋电缆直埋敷设，电缆敷设于电缆沟里，项目电缆长度2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km，电缆沟长度</w:t>
            </w:r>
            <w:r>
              <w:rPr>
                <w:color w:val="000000" w:themeColor="text1"/>
                <w14:textFill>
                  <w14:solidFill>
                    <w14:schemeClr w14:val="tx1"/>
                  </w14:solidFill>
                </w14:textFill>
              </w:rPr>
              <w:t>63420m</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12404m</w:t>
            </w:r>
            <w:r>
              <w:rPr>
                <w:rFonts w:hint="eastAsia"/>
                <w:color w:val="000000" w:themeColor="text1"/>
                <w14:textFill>
                  <w14:solidFill>
                    <w14:schemeClr w14:val="tx1"/>
                  </w14:solidFill>
                </w14:textFill>
              </w:rPr>
              <w:t>沿农村公路铺设，</w:t>
            </w:r>
            <w:r>
              <w:rPr>
                <w:color w:val="000000" w:themeColor="text1"/>
                <w14:textFill>
                  <w14:solidFill>
                    <w14:schemeClr w14:val="tx1"/>
                  </w14:solidFill>
                </w14:textFill>
              </w:rPr>
              <w:t>34312m</w:t>
            </w:r>
            <w:r>
              <w:rPr>
                <w:rFonts w:hint="eastAsia"/>
                <w:color w:val="000000" w:themeColor="text1"/>
                <w14:textFill>
                  <w14:solidFill>
                    <w14:schemeClr w14:val="tx1"/>
                  </w14:solidFill>
                </w14:textFill>
              </w:rPr>
              <w:t>沿防火通道铺设（防火通道建设时一同铺设），</w:t>
            </w:r>
            <w:r>
              <w:rPr>
                <w:color w:val="000000" w:themeColor="text1"/>
                <w14:textFill>
                  <w14:solidFill>
                    <w14:schemeClr w14:val="tx1"/>
                  </w14:solidFill>
                </w14:textFill>
              </w:rPr>
              <w:t>7445m</w:t>
            </w:r>
            <w:r>
              <w:rPr>
                <w:rFonts w:hint="eastAsia"/>
                <w:color w:val="000000" w:themeColor="text1"/>
                <w14:textFill>
                  <w14:solidFill>
                    <w14:schemeClr w14:val="tx1"/>
                  </w14:solidFill>
                </w14:textFill>
              </w:rPr>
              <w:t>沿改扩建道路铺设，</w:t>
            </w:r>
            <w:r>
              <w:rPr>
                <w:color w:val="000000" w:themeColor="text1"/>
                <w14:textFill>
                  <w14:solidFill>
                    <w14:schemeClr w14:val="tx1"/>
                  </w14:solidFill>
                </w14:textFill>
              </w:rPr>
              <w:t>9259m</w:t>
            </w:r>
            <w:r>
              <w:rPr>
                <w:rFonts w:hint="eastAsia"/>
                <w:color w:val="000000" w:themeColor="text1"/>
                <w14:textFill>
                  <w14:solidFill>
                    <w14:schemeClr w14:val="tx1"/>
                  </w14:solidFill>
                </w14:textFill>
              </w:rPr>
              <w:t>沿新建道路铺设，电缆沟截面尺寸1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m，并应沿电缆沟全长的上、下紧邻侧铺以厚度不少于100mm的软土或砂层。沿电缆沟全长应覆盖宽度不小于电缆两侧各50mm的保护板。电缆外皮至地面深度不得小于700mm，当穿越道路及从箱变引出穿越风机施工场地时需穿钢管，电缆埋深应增加至800mm，当穿越行车道及耕地时需穿钢管，电缆埋深应增加至1000mm。直埋敷设的电缆与道路交叉时，应穿于保护管，且保护范围超出路基、街道路面两边以及排水沟边0.5m以上，保护管的内径不应小于电缆外径1.5倍。</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.2.3.3 </w:t>
            </w:r>
            <w:r>
              <w:rPr>
                <w:rFonts w:hint="eastAsia"/>
                <w:color w:val="000000" w:themeColor="text1"/>
                <w14:textFill>
                  <w14:solidFill>
                    <w14:schemeClr w14:val="tx1"/>
                  </w14:solidFill>
                </w14:textFill>
              </w:rPr>
              <w:t>主变压器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项目电力通过3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kV集电线路收集后送至一期2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kV升压站，经2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kV升压站统一送出，本次在一期220kV升压站预留主变位置安装一台容量为190MVA的主变压器，配套安装主变进线柜2面，风机进线柜8面，1套G</w:t>
            </w:r>
            <w:r>
              <w:rPr>
                <w:color w:val="000000" w:themeColor="text1"/>
                <w14:textFill>
                  <w14:solidFill>
                    <w14:schemeClr w14:val="tx1"/>
                  </w14:solidFill>
                </w14:textFill>
              </w:rPr>
              <w:t>IS</w:t>
            </w:r>
            <w:r>
              <w:rPr>
                <w:rFonts w:hint="eastAsia"/>
                <w:color w:val="000000" w:themeColor="text1"/>
                <w14:textFill>
                  <w14:solidFill>
                    <w14:schemeClr w14:val="tx1"/>
                  </w14:solidFill>
                </w14:textFill>
              </w:rPr>
              <w:t>装置，</w:t>
            </w:r>
            <w:r>
              <w:rPr>
                <w:color w:val="000000" w:themeColor="text1"/>
                <w14:textFill>
                  <w14:solidFill>
                    <w14:schemeClr w14:val="tx1"/>
                  </w14:solidFill>
                </w14:textFill>
              </w:rPr>
              <w:t>在35kVII段母线配置1台容量为500kVA的站用变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35kVII段母线配置一台</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25000kvar的动态无功补偿装置。</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主变型号：SF11-190000/220GY1台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主变型式：三相有载调压双绕组风冷变压器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电压等级：220/35kV</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调压方式：有载调压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主变变比：230±8×1.25%/35kV；</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冷却方式：风冷</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.2.3.4 </w:t>
            </w:r>
            <w:r>
              <w:rPr>
                <w:rFonts w:hint="eastAsia"/>
                <w:color w:val="000000" w:themeColor="text1"/>
                <w14:textFill>
                  <w14:solidFill>
                    <w14:schemeClr w14:val="tx1"/>
                  </w14:solidFill>
                </w14:textFill>
              </w:rPr>
              <w:t>送出线路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项目电能由一期2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kV升压站统一送出，由220kV升压站接入500kV铜都变。送出线路已单独办理环境影响评价手续，并于2022年6月21日取得曲靖市生态环境局批复。</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.2.3.5 </w:t>
            </w:r>
            <w:r>
              <w:rPr>
                <w:rFonts w:hint="eastAsia"/>
                <w:color w:val="000000" w:themeColor="text1"/>
                <w14:textFill>
                  <w14:solidFill>
                    <w14:schemeClr w14:val="tx1"/>
                  </w14:solidFill>
                </w14:textFill>
              </w:rPr>
              <w:t>进场道路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曲靖市待补风电场二期项目位于会泽县待补镇、驾车乡、上村乡的山脊上，场址中心距会泽县直线</w:t>
            </w:r>
            <w:r>
              <w:rPr>
                <w:color w:val="000000" w:themeColor="text1"/>
                <w14:textFill>
                  <w14:solidFill>
                    <w14:schemeClr w14:val="tx1"/>
                  </w14:solidFill>
                </w14:textFill>
              </w:rPr>
              <w:t>距离约26</w:t>
            </w:r>
            <w:r>
              <w:rPr>
                <w:rFonts w:hint="eastAsia"/>
                <w:color w:val="000000" w:themeColor="text1"/>
                <w14:textFill>
                  <w14:solidFill>
                    <w14:schemeClr w14:val="tx1"/>
                  </w14:solidFill>
                </w14:textFill>
              </w:rPr>
              <w:t>km，场</w:t>
            </w:r>
            <w:r>
              <w:rPr>
                <w:color w:val="000000" w:themeColor="text1"/>
                <w14:textFill>
                  <w14:solidFill>
                    <w14:schemeClr w14:val="tx1"/>
                  </w14:solidFill>
                </w14:textFill>
              </w:rPr>
              <w:t>址附近有</w:t>
            </w:r>
            <w:r>
              <w:rPr>
                <w:rFonts w:hint="eastAsia"/>
                <w:color w:val="000000" w:themeColor="text1"/>
                <w14:textFill>
                  <w14:solidFill>
                    <w14:schemeClr w14:val="tx1"/>
                  </w14:solidFill>
                </w14:textFill>
              </w:rPr>
              <w:t>待补镇、驾车乡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场址西侧</w:t>
            </w:r>
            <w:r>
              <w:rPr>
                <w:color w:val="000000" w:themeColor="text1"/>
                <w14:textFill>
                  <w14:solidFill>
                    <w14:schemeClr w14:val="tx1"/>
                  </w14:solidFill>
                </w14:textFill>
              </w:rPr>
              <w:t>有</w:t>
            </w:r>
            <w:r>
              <w:rPr>
                <w:rFonts w:hint="eastAsia"/>
                <w:color w:val="000000" w:themeColor="text1"/>
                <w14:textFill>
                  <w14:solidFill>
                    <w14:schemeClr w14:val="tx1"/>
                  </w14:solidFill>
                </w14:textFill>
              </w:rPr>
              <w:t>G85</w:t>
            </w:r>
            <w:r>
              <w:rPr>
                <w:color w:val="000000" w:themeColor="text1"/>
                <w14:textFill>
                  <w14:solidFill>
                    <w14:schemeClr w14:val="tx1"/>
                  </w14:solidFill>
                </w14:textFill>
              </w:rPr>
              <w:t>高速道路，</w:t>
            </w:r>
            <w:r>
              <w:rPr>
                <w:rFonts w:hint="eastAsia"/>
                <w:color w:val="000000" w:themeColor="text1"/>
                <w14:textFill>
                  <w14:solidFill>
                    <w14:schemeClr w14:val="tx1"/>
                  </w14:solidFill>
                </w14:textFill>
              </w:rPr>
              <w:t>嵩待线从</w:t>
            </w:r>
            <w:r>
              <w:rPr>
                <w:color w:val="000000" w:themeColor="text1"/>
                <w14:textFill>
                  <w14:solidFill>
                    <w14:schemeClr w14:val="tx1"/>
                  </w14:solidFill>
                </w14:textFill>
              </w:rPr>
              <w:t>场址中部穿过</w:t>
            </w:r>
            <w:r>
              <w:rPr>
                <w:rFonts w:hint="eastAsia"/>
                <w:color w:val="000000" w:themeColor="text1"/>
                <w14:textFill>
                  <w14:solidFill>
                    <w14:schemeClr w14:val="tx1"/>
                  </w14:solidFill>
                </w14:textFill>
              </w:rPr>
              <w:t>，场址内有较多</w:t>
            </w:r>
            <w:r>
              <w:rPr>
                <w:color w:val="000000" w:themeColor="text1"/>
                <w14:textFill>
                  <w14:solidFill>
                    <w14:schemeClr w14:val="tx1"/>
                  </w14:solidFill>
                </w14:textFill>
              </w:rPr>
              <w:t>简易公路</w:t>
            </w:r>
            <w:r>
              <w:rPr>
                <w:rFonts w:hint="eastAsia"/>
                <w:color w:val="000000" w:themeColor="text1"/>
                <w14:textFill>
                  <w14:solidFill>
                    <w14:schemeClr w14:val="tx1"/>
                  </w14:solidFill>
                </w14:textFill>
              </w:rPr>
              <w:t>、乡村道路分布，本</w:t>
            </w:r>
            <w:r>
              <w:rPr>
                <w:color w:val="000000" w:themeColor="text1"/>
                <w14:textFill>
                  <w14:solidFill>
                    <w14:schemeClr w14:val="tx1"/>
                  </w14:solidFill>
                </w14:textFill>
              </w:rPr>
              <w:t>项目对外交通</w:t>
            </w:r>
            <w:r>
              <w:rPr>
                <w:rFonts w:hint="eastAsia"/>
                <w:color w:val="000000" w:themeColor="text1"/>
                <w14:textFill>
                  <w14:solidFill>
                    <w14:schemeClr w14:val="tx1"/>
                  </w14:solidFill>
                </w14:textFill>
              </w:rPr>
              <w:t>条件</w:t>
            </w:r>
            <w:r>
              <w:rPr>
                <w:color w:val="000000" w:themeColor="text1"/>
                <w14:textFill>
                  <w14:solidFill>
                    <w14:schemeClr w14:val="tx1"/>
                  </w14:solidFill>
                </w14:textFill>
              </w:rPr>
              <w:t>较为便利</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（1）驾车片区：昆明市--待补收费站--通村公路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改扩建农村公路-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新建进场道路</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#风机。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（2）待补片区：昆明市--待补收费站--通村公路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改扩建农村公路-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新建进场道路</w:t>
            </w:r>
            <w:r>
              <w:rPr>
                <w:color w:val="000000" w:themeColor="text1"/>
                <w14:textFill>
                  <w14:solidFill>
                    <w14:schemeClr w14:val="tx1"/>
                  </w14:solidFill>
                </w14:textFill>
              </w:rPr>
              <w:t>—47#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#风机。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（3）待补片区：昆明市--待补收费站--通村公路--森林防火通道-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新建进场道路</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#风机。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拟建项目依托现有农村公路</w:t>
            </w:r>
            <w:r>
              <w:rPr>
                <w:color w:val="000000" w:themeColor="text1"/>
                <w14:textFill>
                  <w14:solidFill>
                    <w14:schemeClr w14:val="tx1"/>
                  </w14:solidFill>
                </w14:textFill>
              </w:rPr>
              <w:t>24.64</w:t>
            </w:r>
            <w:r>
              <w:rPr>
                <w:rFonts w:hint="eastAsia"/>
                <w:color w:val="000000" w:themeColor="text1"/>
                <w14:textFill>
                  <w14:solidFill>
                    <w14:schemeClr w14:val="tx1"/>
                  </w14:solidFill>
                </w14:textFill>
              </w:rPr>
              <w:t>km、森林防火通道</w:t>
            </w:r>
            <w:r>
              <w:rPr>
                <w:color w:val="000000" w:themeColor="text1"/>
                <w14:textFill>
                  <w14:solidFill>
                    <w14:schemeClr w14:val="tx1"/>
                  </w14:solidFill>
                </w14:textFill>
              </w:rPr>
              <w:t>25.4</w:t>
            </w:r>
            <w:r>
              <w:rPr>
                <w:rFonts w:hint="eastAsia"/>
                <w:color w:val="000000" w:themeColor="text1"/>
                <w14:textFill>
                  <w14:solidFill>
                    <w14:schemeClr w14:val="tx1"/>
                  </w14:solidFill>
                </w14:textFill>
              </w:rPr>
              <w:t>km作为进场道路，项目改扩建进场道路总长约</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m，新建进场施工道路总长约</w:t>
            </w:r>
            <w:r>
              <w:rPr>
                <w:color w:val="000000" w:themeColor="text1"/>
                <w14:textFill>
                  <w14:solidFill>
                    <w14:schemeClr w14:val="tx1"/>
                  </w14:solidFill>
                </w14:textFill>
              </w:rPr>
              <w:t>9259</w:t>
            </w:r>
            <w:r>
              <w:rPr>
                <w:rFonts w:hint="eastAsia"/>
                <w:color w:val="000000" w:themeColor="text1"/>
                <w14:textFill>
                  <w14:solidFill>
                    <w14:schemeClr w14:val="tx1"/>
                  </w14:solidFill>
                </w14:textFill>
              </w:rPr>
              <w:t>m。路面宽</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m，路基宽</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m，泥结石路面。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①现有农村公路情况简介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24.64</w:t>
            </w:r>
            <w:r>
              <w:rPr>
                <w:rFonts w:hint="eastAsia"/>
                <w:color w:val="000000" w:themeColor="text1"/>
                <w14:textFill>
                  <w14:solidFill>
                    <w14:schemeClr w14:val="tx1"/>
                  </w14:solidFill>
                </w14:textFill>
              </w:rPr>
              <w:t>km进场道路依托现有农村公路，其中</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km农村公路需要扩建加固，农村公路路面宽度约7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m，满足项目运输需求。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②防火通道</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在本项目建设之前，由会泽县林业和草原局申请立项，建设防火通道46.472km。该防火通道除用作森林防火及当地的农村道路外，还可以直达本项目部分风机平台区域，对本项目提供了较好的对外运输条件。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防火通道整体路基宽约7.0m，路面宽5.0m（有效路面不低于4.5m），设计</w:t>
            </w:r>
            <w:bookmarkStart w:id="71" w:name="_GoBack"/>
            <w:bookmarkEnd w:id="71"/>
            <w:r>
              <w:rPr>
                <w:color w:val="000000" w:themeColor="text1"/>
                <w14:textFill>
                  <w14:solidFill>
                    <w14:schemeClr w14:val="tx1"/>
                  </w14:solidFill>
                </w14:textFill>
              </w:rPr>
              <w:t>时速15km，路面结构类型为泥结石路面。局部弯转地方半径可调整，道路断面及基本情况如下：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路基横断面0.5m（路肩）+5.0m（车行道）+0.5m（路肩）；</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路基设计标高：为路基中心标高；</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路拱坡度：3%；</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路肩横向坡度：3%；</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路基填方边坡坡率采用1:1.5；</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岩石破碎、风化严重及土质路段采用1:1.5~1:1.75。</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防火通道建设单位为会泽县林草局，承包单位为本项目建设单位华电（曲靖）新能源开发有限公司，该项目现已立项，预计于2024年2月底前完成前期工作并开工建设，工期为半年，根据会泽县林草局和本项目建设单位签订的投资共建协议，防火通道弯转半径处按风机进场道路标准进行修建，即弯转半径可达25m，能够满足风机叶片及其他建筑材料的运输要求。另外，防火通道的施工时序也和待补风电场二期项目保持同步，以满足待补风电场二期项目施工要求。防火通道建设完成后，既能加强森林草原防灭火通道建设，进一步提升森林草原火灾应急处置能力和森林病虫害防治、营林生产综合能力，并有效解决该区域林区通行条件及群众出行需求，又能兼顾风电项目实施中运输大件设备的需要，已达到互利共赢的目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25.4</w:t>
            </w:r>
            <w:r>
              <w:rPr>
                <w:rFonts w:hint="eastAsia"/>
                <w:color w:val="000000" w:themeColor="text1"/>
                <w14:textFill>
                  <w14:solidFill>
                    <w14:schemeClr w14:val="tx1"/>
                  </w14:solidFill>
                </w14:textFill>
              </w:rPr>
              <w:t>km进场道路依托防火通道，</w:t>
            </w:r>
            <w:r>
              <w:rPr>
                <w:color w:val="000000" w:themeColor="text1"/>
                <w14:textFill>
                  <w14:solidFill>
                    <w14:schemeClr w14:val="tx1"/>
                  </w14:solidFill>
                </w14:textFill>
              </w:rPr>
              <w:t>34.312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集电线路依托防火通道，防火通道建设时同步铺设电缆。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③新建道路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项目新建场内道路9</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km，场内道路路基宽6.0m，路面宽5.0m，泥结碎石路面。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拟建项目总体布置与新建（扩建加固）农村公路的位置关系详见附图3，具体风机机组依托道路关系见下表：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2.2-4  </w:t>
            </w:r>
            <w:r>
              <w:rPr>
                <w:rFonts w:hint="eastAsia"/>
                <w:color w:val="000000" w:themeColor="text1"/>
                <w14:textFill>
                  <w14:solidFill>
                    <w14:schemeClr w14:val="tx1"/>
                  </w14:solidFill>
                </w14:textFill>
              </w:rPr>
              <w:t>风机机组区进场道路依托关系表</w:t>
            </w:r>
          </w:p>
          <w:tbl>
            <w:tblPr>
              <w:tblStyle w:val="20"/>
              <w:tblW w:w="8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8"/>
              <w:gridCol w:w="961"/>
              <w:gridCol w:w="1038"/>
              <w:gridCol w:w="52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108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1999" w:type="dxa"/>
                  <w:gridSpan w:val="2"/>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道路长度（m）</w:t>
                  </w:r>
                </w:p>
              </w:tc>
              <w:tc>
                <w:tcPr>
                  <w:tcW w:w="5296"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1088" w:type="dxa"/>
                  <w:vMerge w:val="continue"/>
                  <w:vAlign w:val="center"/>
                </w:tcPr>
                <w:p>
                  <w:pPr>
                    <w:pStyle w:val="29"/>
                    <w:rPr>
                      <w:color w:val="000000" w:themeColor="text1"/>
                      <w14:textFill>
                        <w14:solidFill>
                          <w14:schemeClr w14:val="tx1"/>
                        </w14:solidFill>
                      </w14:textFill>
                    </w:rPr>
                  </w:pP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改扩建</w:t>
                  </w:r>
                </w:p>
              </w:tc>
              <w:tc>
                <w:tcPr>
                  <w:tcW w:w="5296"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41#风机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256</w:t>
                  </w:r>
                </w:p>
              </w:tc>
              <w:tc>
                <w:tcPr>
                  <w:tcW w:w="103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190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42#风机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038" w:type="dxa"/>
                  <w:vMerge w:val="continue"/>
                  <w:shd w:val="clear" w:color="auto" w:fill="auto"/>
                  <w:vAlign w:val="center"/>
                </w:tcPr>
                <w:p>
                  <w:pPr>
                    <w:pStyle w:val="29"/>
                    <w:rPr>
                      <w:color w:val="000000" w:themeColor="text1"/>
                      <w14:textFill>
                        <w14:solidFill>
                          <w14:schemeClr w14:val="tx1"/>
                        </w14:solidFill>
                      </w14:textFill>
                    </w:rPr>
                  </w:pP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43#风机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80</w:t>
                  </w:r>
                </w:p>
              </w:tc>
              <w:tc>
                <w:tcPr>
                  <w:tcW w:w="1038" w:type="dxa"/>
                  <w:vMerge w:val="continue"/>
                  <w:shd w:val="clear" w:color="auto" w:fill="auto"/>
                  <w:vAlign w:val="center"/>
                </w:tcPr>
                <w:p>
                  <w:pPr>
                    <w:pStyle w:val="29"/>
                    <w:rPr>
                      <w:color w:val="000000" w:themeColor="text1"/>
                      <w14:textFill>
                        <w14:solidFill>
                          <w14:schemeClr w14:val="tx1"/>
                        </w14:solidFill>
                      </w14:textFill>
                    </w:rPr>
                  </w:pP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44#风机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90</w:t>
                  </w:r>
                </w:p>
              </w:tc>
              <w:tc>
                <w:tcPr>
                  <w:tcW w:w="103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850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45#风机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1038" w:type="dxa"/>
                  <w:vMerge w:val="continue"/>
                  <w:shd w:val="clear" w:color="auto" w:fill="auto"/>
                  <w:vAlign w:val="center"/>
                </w:tcPr>
                <w:p>
                  <w:pPr>
                    <w:pStyle w:val="29"/>
                    <w:rPr>
                      <w:color w:val="000000" w:themeColor="text1"/>
                      <w14:textFill>
                        <w14:solidFill>
                          <w14:schemeClr w14:val="tx1"/>
                        </w14:solidFill>
                      </w14:textFill>
                    </w:rPr>
                  </w:pP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46#风机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10</w:t>
                  </w:r>
                </w:p>
              </w:tc>
              <w:tc>
                <w:tcPr>
                  <w:tcW w:w="1038" w:type="dxa"/>
                  <w:vMerge w:val="continue"/>
                  <w:shd w:val="clear" w:color="auto" w:fill="auto"/>
                  <w:vAlign w:val="center"/>
                </w:tcPr>
                <w:p>
                  <w:pPr>
                    <w:pStyle w:val="29"/>
                    <w:rPr>
                      <w:color w:val="000000" w:themeColor="text1"/>
                      <w14:textFill>
                        <w14:solidFill>
                          <w14:schemeClr w14:val="tx1"/>
                        </w14:solidFill>
                      </w14:textFill>
                    </w:rPr>
                  </w:pP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80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70</w:t>
                  </w:r>
                </w:p>
              </w:tc>
              <w:tc>
                <w:tcPr>
                  <w:tcW w:w="103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49#</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53</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51#风机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60</w:t>
                  </w:r>
                </w:p>
              </w:tc>
              <w:tc>
                <w:tcPr>
                  <w:tcW w:w="103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35</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52#风机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vMerge w:val="continue"/>
                  <w:shd w:val="clear" w:color="auto" w:fill="auto"/>
                  <w:vAlign w:val="center"/>
                </w:tcPr>
                <w:p>
                  <w:pPr>
                    <w:pStyle w:val="29"/>
                    <w:rPr>
                      <w:color w:val="000000" w:themeColor="text1"/>
                      <w14:textFill>
                        <w14:solidFill>
                          <w14:schemeClr w14:val="tx1"/>
                        </w14:solidFill>
                      </w14:textFill>
                    </w:rPr>
                  </w:pP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53#风机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65</w:t>
                  </w:r>
                </w:p>
              </w:tc>
              <w:tc>
                <w:tcPr>
                  <w:tcW w:w="103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950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54#风机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85</w:t>
                  </w:r>
                </w:p>
              </w:tc>
              <w:tc>
                <w:tcPr>
                  <w:tcW w:w="1038" w:type="dxa"/>
                  <w:vMerge w:val="continue"/>
                  <w:shd w:val="clear" w:color="auto" w:fill="auto"/>
                  <w:vAlign w:val="center"/>
                </w:tcPr>
                <w:p>
                  <w:pPr>
                    <w:pStyle w:val="29"/>
                    <w:rPr>
                      <w:color w:val="000000" w:themeColor="text1"/>
                      <w14:textFill>
                        <w14:solidFill>
                          <w14:schemeClr w14:val="tx1"/>
                        </w14:solidFill>
                      </w14:textFill>
                    </w:rPr>
                  </w:pP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扩建加固现有农村公路，新建风机平台支路。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56#</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57#</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58#</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59#风机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60#风机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61#</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62#</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64#风机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65#</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66#</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1100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67#</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80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68#</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69#</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60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依托防火通道，新建风机平台支路。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70#</w:t>
                  </w:r>
                  <w:r>
                    <w:rPr>
                      <w:rFonts w:hint="eastAsia"/>
                      <w:color w:val="000000" w:themeColor="text1"/>
                      <w14:textFill>
                        <w14:solidFill>
                          <w14:schemeClr w14:val="tx1"/>
                        </w14:solidFill>
                      </w14:textFill>
                    </w:rPr>
                    <w:t>风机</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依托防火通道，无需新修支路。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6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259</w:t>
                  </w:r>
                </w:p>
              </w:tc>
              <w:tc>
                <w:tcPr>
                  <w:tcW w:w="103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445</w:t>
                  </w:r>
                </w:p>
              </w:tc>
              <w:tc>
                <w:tcPr>
                  <w:tcW w:w="52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37"/>
              <w:spacing w:before="156" w:after="156"/>
              <w:rPr>
                <w:color w:val="000000" w:themeColor="text1"/>
                <w14:textFill>
                  <w14:solidFill>
                    <w14:schemeClr w14:val="tx1"/>
                  </w14:solidFill>
                </w14:textFill>
              </w:rPr>
            </w:pPr>
            <w:r>
              <w:rPr>
                <w:color w:val="000000" w:themeColor="text1"/>
                <w14:textFill>
                  <w14:solidFill>
                    <w14:schemeClr w14:val="tx1"/>
                  </w14:solidFill>
                </w14:textFill>
              </w:rPr>
              <w:t xml:space="preserve">2.2.3.6 </w:t>
            </w:r>
            <w:r>
              <w:rPr>
                <w:rFonts w:hint="eastAsia"/>
                <w:color w:val="000000" w:themeColor="text1"/>
                <w14:textFill>
                  <w14:solidFill>
                    <w14:schemeClr w14:val="tx1"/>
                  </w14:solidFill>
                </w14:textFill>
              </w:rPr>
              <w:t>渣场及表土堆场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拟建项目土石方开挖主要来源于：场内道路、风机安装平台、电缆沟、风机基础及施工临时设施。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拟建项目场址区地形较为陡峭、凌乱，场内道路、风机安装平台开挖量较大，回填量大，弃渣量相对较少。根据项目水土保持方案，项目弃渣量约</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，由于待补风电场一期工程土建工程已完工且未产生弃渣，批复的</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个弃渣场均未启用，秉持着资源合理利用的原则，将二期工程产生的所有弃渣全部运至一期工程已批的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弃渣场内进行堆存。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根据《云南省曲靖市会泽县待补风电场一期（会泽南）项目环境影响报告表》及其批复，一期工程</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弃渣场位于驾车乡，坐标：</w:t>
            </w:r>
            <w:r>
              <w:rPr>
                <w:color w:val="000000" w:themeColor="text1"/>
                <w14:textFill>
                  <w14:solidFill>
                    <w14:schemeClr w14:val="tx1"/>
                  </w14:solidFill>
                </w14:textFill>
              </w:rPr>
              <w:t>东经103°18′52.90″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北纬26°2′37.53″</w:t>
            </w:r>
            <w:r>
              <w:rPr>
                <w:rFonts w:hint="eastAsia"/>
                <w:color w:val="000000" w:themeColor="text1"/>
                <w14:textFill>
                  <w14:solidFill>
                    <w14:schemeClr w14:val="tx1"/>
                  </w14:solidFill>
                </w14:textFill>
              </w:rPr>
              <w:t>，设计容量为</w:t>
            </w:r>
            <w:r>
              <w:rPr>
                <w:color w:val="000000" w:themeColor="text1"/>
                <w14:textFill>
                  <w14:solidFill>
                    <w14:schemeClr w14:val="tx1"/>
                  </w14:solidFill>
                </w14:textFill>
              </w:rPr>
              <w:t>19.80</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，该弃渣场位于4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风机北侧4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m，占地类型为羊茅草甸，周边分布有亚高山草甸及耕地，渣场周边</w:t>
            </w:r>
            <w:r>
              <w:rPr>
                <w:color w:val="000000" w:themeColor="text1"/>
                <w14:textFill>
                  <w14:solidFill>
                    <w14:schemeClr w14:val="tx1"/>
                  </w14:solidFill>
                </w14:textFill>
              </w:rPr>
              <w:t>700</w:t>
            </w:r>
            <w:r>
              <w:rPr>
                <w:rFonts w:hint="eastAsia"/>
                <w:color w:val="000000" w:themeColor="text1"/>
                <w14:textFill>
                  <w14:solidFill>
                    <w14:schemeClr w14:val="tx1"/>
                  </w14:solidFill>
                </w14:textFill>
              </w:rPr>
              <w:t>m范围内无居民点及河流分布，有农村公路直达，能够满足二期工程所有弃渣堆存要求，二期项目不单独设置弃渣场，渣场特性见下表，照片见图2</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.2-5  </w:t>
            </w:r>
            <w:r>
              <w:rPr>
                <w:rFonts w:hint="eastAsia"/>
                <w:color w:val="000000" w:themeColor="text1"/>
                <w14:textFill>
                  <w14:solidFill>
                    <w14:schemeClr w14:val="tx1"/>
                  </w14:solidFill>
                </w14:textFill>
              </w:rPr>
              <w:t>依托一期渣场特性表</w:t>
            </w:r>
          </w:p>
          <w:tbl>
            <w:tblPr>
              <w:tblStyle w:val="21"/>
              <w:tblW w:w="8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9"/>
              <w:gridCol w:w="1001"/>
              <w:gridCol w:w="1200"/>
              <w:gridCol w:w="2039"/>
              <w:gridCol w:w="582"/>
              <w:gridCol w:w="763"/>
              <w:gridCol w:w="1222"/>
              <w:gridCol w:w="8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1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渣场名称</w:t>
                  </w:r>
                </w:p>
              </w:tc>
              <w:tc>
                <w:tcPr>
                  <w:tcW w:w="10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占地</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面积</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20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容积</w:t>
                  </w:r>
                </w:p>
                <w:p>
                  <w:pPr>
                    <w:pStyle w:val="29"/>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2039" w:type="dxa"/>
                  <w:vAlign w:val="center"/>
                </w:tcPr>
                <w:p>
                  <w:pPr>
                    <w:pStyle w:val="2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位置</w:t>
                  </w:r>
                </w:p>
              </w:tc>
              <w:tc>
                <w:tcPr>
                  <w:tcW w:w="582"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坡比</w:t>
                  </w:r>
                </w:p>
              </w:tc>
              <w:tc>
                <w:tcPr>
                  <w:tcW w:w="763"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渣场</w:t>
                  </w:r>
                </w:p>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类型</w:t>
                  </w:r>
                </w:p>
              </w:tc>
              <w:tc>
                <w:tcPr>
                  <w:tcW w:w="1222"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堆渣高程</w:t>
                  </w:r>
                </w:p>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w:t>
                  </w:r>
                </w:p>
              </w:tc>
              <w:tc>
                <w:tcPr>
                  <w:tcW w:w="857"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堆高</w:t>
                  </w:r>
                </w:p>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1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tc>
              <w:tc>
                <w:tcPr>
                  <w:tcW w:w="1001"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2.4600</w:t>
                  </w:r>
                </w:p>
              </w:tc>
              <w:tc>
                <w:tcPr>
                  <w:tcW w:w="1200" w:type="dxa"/>
                  <w:vAlign w:val="center"/>
                </w:tcPr>
                <w:p>
                  <w:pPr>
                    <w:pStyle w:val="29"/>
                    <w:rPr>
                      <w:rFonts w:cs="Times New Roman"/>
                      <w:color w:val="000000" w:themeColor="text1"/>
                      <w14:textFill>
                        <w14:solidFill>
                          <w14:schemeClr w14:val="tx1"/>
                        </w14:solidFill>
                      </w14:textFill>
                    </w:rPr>
                  </w:pPr>
                  <w:r>
                    <w:rPr>
                      <w:color w:val="000000" w:themeColor="text1"/>
                      <w14:textFill>
                        <w14:solidFill>
                          <w14:schemeClr w14:val="tx1"/>
                        </w14:solidFill>
                      </w14:textFill>
                    </w:rPr>
                    <w:t>19.8</w:t>
                  </w:r>
                </w:p>
              </w:tc>
              <w:tc>
                <w:tcPr>
                  <w:tcW w:w="2039" w:type="dxa"/>
                  <w:vAlign w:val="center"/>
                </w:tcPr>
                <w:p>
                  <w:pPr>
                    <w:pStyle w:val="2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东经103°18′52.90″</w:t>
                  </w:r>
                </w:p>
                <w:p>
                  <w:pPr>
                    <w:pStyle w:val="2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北纬26°2′37.53″</w:t>
                  </w:r>
                </w:p>
              </w:tc>
              <w:tc>
                <w:tcPr>
                  <w:tcW w:w="582"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2</w:t>
                  </w:r>
                </w:p>
              </w:tc>
              <w:tc>
                <w:tcPr>
                  <w:tcW w:w="763"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沟道型</w:t>
                  </w:r>
                </w:p>
              </w:tc>
              <w:tc>
                <w:tcPr>
                  <w:tcW w:w="1222" w:type="dxa"/>
                  <w:vAlign w:val="center"/>
                </w:tcPr>
                <w:p>
                  <w:pPr>
                    <w:pStyle w:val="2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3064~3094</w:t>
                  </w:r>
                </w:p>
              </w:tc>
              <w:tc>
                <w:tcPr>
                  <w:tcW w:w="857" w:type="dxa"/>
                  <w:vAlign w:val="center"/>
                </w:tcPr>
                <w:p>
                  <w:pPr>
                    <w:pStyle w:val="29"/>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0</w:t>
                  </w:r>
                </w:p>
              </w:tc>
            </w:tr>
          </w:tbl>
          <w:p>
            <w:pPr>
              <w:pStyle w:val="29"/>
              <w:rPr>
                <w:color w:val="000000" w:themeColor="text1"/>
                <w14:textFill>
                  <w14:solidFill>
                    <w14:schemeClr w14:val="tx1"/>
                  </w14:solidFill>
                </w14:textFill>
              </w:rPr>
            </w:pPr>
            <w:r>
              <w:rPr>
                <w:rFonts w:eastAsia="仿宋_GB2312"/>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662305</wp:posOffset>
                      </wp:positionH>
                      <wp:positionV relativeFrom="paragraph">
                        <wp:posOffset>474980</wp:posOffset>
                      </wp:positionV>
                      <wp:extent cx="857250" cy="400050"/>
                      <wp:effectExtent l="0" t="0" r="552450" b="57150"/>
                      <wp:wrapNone/>
                      <wp:docPr id="276098504" name="对话气泡: 矩形 5"/>
                      <wp:cNvGraphicFramePr/>
                      <a:graphic xmlns:a="http://schemas.openxmlformats.org/drawingml/2006/main">
                        <a:graphicData uri="http://schemas.microsoft.com/office/word/2010/wordprocessingShape">
                          <wps:wsp>
                            <wps:cNvSpPr/>
                            <wps:spPr>
                              <a:xfrm>
                                <a:off x="0" y="0"/>
                                <a:ext cx="857250" cy="400050"/>
                              </a:xfrm>
                              <a:prstGeom prst="wedgeRectCallout">
                                <a:avLst>
                                  <a:gd name="adj1" fmla="val 105319"/>
                                  <a:gd name="adj2" fmla="val 52476"/>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渣场位置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52.15pt;margin-top:37.4pt;height:31.5pt;width:67.5pt;z-index:251681792;v-text-anchor:middle;mso-width-relative:page;mso-height-relative:page;" filled="f" stroked="t" coordsize="21600,21600" o:gfxdata="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2WdXt9YAAAAKAQAADwAAAAAAAAABACAAAAAiAAAAZHJzL2Rvd25yZXYueG1sUEsBAhQAFAAA&#10;AAgAh07iQHYa9XWcAgAA+wQAAA4AAAAAAAAAAQAgAAAAJQEAAGRycy9lMm9Eb2MueG1sUEsFBgAA&#10;AAAGAAYAWQEAADMGAAAAAA==&#10;" adj="33549,22135">
                      <v:fill on="f" focussize="0,0"/>
                      <v:stroke weight="1pt" color="#FF0000 [3204]" miterlimit="8" joinstyle="miter"/>
                      <v:imagedata o:title=""/>
                      <o:lock v:ext="edit" aspectratio="f"/>
                      <v:textbox>
                        <w:txbxContent>
                          <w:p>
                            <w:pPr>
                              <w:ind w:firstLine="0" w:firstLineChars="0"/>
                              <w:rPr>
                                <w:b/>
                                <w:bCs/>
                                <w:color w:val="FF0000"/>
                              </w:rPr>
                            </w:pPr>
                            <w:r>
                              <w:rPr>
                                <w:rFonts w:hint="eastAsia"/>
                                <w:b/>
                                <w:bCs/>
                                <w:color w:val="FF0000"/>
                              </w:rPr>
                              <w:t>渣场位置</w:t>
                            </w:r>
                          </w:p>
                        </w:txbxContent>
                      </v:textbox>
                    </v:shape>
                  </w:pict>
                </mc:Fallback>
              </mc:AlternateContent>
            </w:r>
            <w:r>
              <w:rPr>
                <w:rFonts w:eastAsia="仿宋_GB2312"/>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1991995</wp:posOffset>
                      </wp:positionH>
                      <wp:positionV relativeFrom="paragraph">
                        <wp:posOffset>778510</wp:posOffset>
                      </wp:positionV>
                      <wp:extent cx="506730" cy="758825"/>
                      <wp:effectExtent l="57150" t="0" r="46355" b="3175"/>
                      <wp:wrapNone/>
                      <wp:docPr id="231581978" name="椭圆 4"/>
                      <wp:cNvGraphicFramePr/>
                      <a:graphic xmlns:a="http://schemas.openxmlformats.org/drawingml/2006/main">
                        <a:graphicData uri="http://schemas.microsoft.com/office/word/2010/wordprocessingShape">
                          <wps:wsp>
                            <wps:cNvSpPr/>
                            <wps:spPr>
                              <a:xfrm rot="19913082">
                                <a:off x="0" y="0"/>
                                <a:ext cx="506641" cy="75890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 o:spid="_x0000_s1026" o:spt="3" type="#_x0000_t3" style="position:absolute;left:0pt;margin-left:156.85pt;margin-top:61.3pt;height:59.75pt;width:39.9pt;rotation:-1842564f;z-index:251680768;v-text-anchor:middle;mso-width-relative:page;mso-height-relative:page;" filled="f" stroked="t" coordsize="21600,21600" o:gfxdata="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5Fc6g2gAAAAsBAAAPAAAAAAAAAAEAIAAAACIAAABkcnMvZG93bnJldi54bWxQSwEC&#10;FAAUAAAACACHTuJA4FrT1mQCAACWBAAADgAAAAAAAAABACAAAAApAQAAZHJzL2Uyb0RvYy54bWxQ&#10;SwUGAAAAAAYABgBZAQAA/wUAAAAA&#10;">
                      <v:fill on="f" focussize="0,0"/>
                      <v:stroke weight="1pt" color="#FF0000 [3204]" miterlimit="8" joinstyle="miter"/>
                      <v:imagedata o:title=""/>
                      <o:lock v:ext="edit" aspectratio="f"/>
                    </v:shape>
                  </w:pict>
                </mc:Fallback>
              </mc:AlternateContent>
            </w:r>
            <w:r>
              <w:rPr>
                <w:rFonts w:eastAsia="仿宋_GB2312"/>
                <w:color w:val="000000" w:themeColor="text1"/>
                <w:sz w:val="24"/>
                <w14:textFill>
                  <w14:solidFill>
                    <w14:schemeClr w14:val="tx1"/>
                  </w14:solidFill>
                </w14:textFill>
              </w:rPr>
              <w:drawing>
                <wp:inline distT="0" distB="0" distL="0" distR="0">
                  <wp:extent cx="5124450" cy="3615690"/>
                  <wp:effectExtent l="0" t="0" r="0" b="3810"/>
                  <wp:docPr id="30262535" name="图片 1" descr="DJI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2535" name="图片 1" descr="DJI_00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45414" cy="3630643"/>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一期渣场照片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（2）表土临时堆场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规划了</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处表土临时堆放点，本着土地资源合理利用的原则，表土临时堆放点均设置于风机平台，不新增占地。</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.2-6  </w:t>
            </w:r>
            <w:r>
              <w:rPr>
                <w:rFonts w:hint="eastAsia"/>
                <w:color w:val="000000" w:themeColor="text1"/>
                <w14:textFill>
                  <w14:solidFill>
                    <w14:schemeClr w14:val="tx1"/>
                  </w14:solidFill>
                </w14:textFill>
              </w:rPr>
              <w:t>表土临时堆场特性表</w:t>
            </w:r>
          </w:p>
          <w:tbl>
            <w:tblPr>
              <w:tblStyle w:val="20"/>
              <w:tblW w:w="8413" w:type="dxa"/>
              <w:tblInd w:w="0" w:type="dxa"/>
              <w:tblLayout w:type="fixed"/>
              <w:tblCellMar>
                <w:top w:w="0" w:type="dxa"/>
                <w:left w:w="108" w:type="dxa"/>
                <w:bottom w:w="0" w:type="dxa"/>
                <w:right w:w="108" w:type="dxa"/>
              </w:tblCellMar>
            </w:tblPr>
            <w:tblGrid>
              <w:gridCol w:w="935"/>
              <w:gridCol w:w="606"/>
              <w:gridCol w:w="1210"/>
              <w:gridCol w:w="454"/>
              <w:gridCol w:w="907"/>
              <w:gridCol w:w="757"/>
              <w:gridCol w:w="1816"/>
              <w:gridCol w:w="907"/>
              <w:gridCol w:w="821"/>
            </w:tblGrid>
            <w:tr>
              <w:tblPrEx>
                <w:tblLayout w:type="fixed"/>
                <w:tblCellMar>
                  <w:top w:w="0" w:type="dxa"/>
                  <w:left w:w="108" w:type="dxa"/>
                  <w:bottom w:w="0" w:type="dxa"/>
                  <w:right w:w="108" w:type="dxa"/>
                </w:tblCellMar>
              </w:tblPrEx>
              <w:trPr>
                <w:trHeight w:val="64" w:hRule="atLeast"/>
                <w:tblHeader/>
              </w:trPr>
              <w:tc>
                <w:tcPr>
                  <w:tcW w:w="935"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表土</w:t>
                  </w:r>
                </w:p>
                <w:p>
                  <w:pPr>
                    <w:pStyle w:val="29"/>
                    <w:rPr>
                      <w:color w:val="000000" w:themeColor="text1"/>
                      <w14:textFill>
                        <w14:solidFill>
                          <w14:schemeClr w14:val="tx1"/>
                        </w14:solidFill>
                      </w14:textFill>
                    </w:rPr>
                  </w:pPr>
                  <w:r>
                    <w:rPr>
                      <w:color w:val="000000" w:themeColor="text1"/>
                      <w14:textFill>
                        <w14:solidFill>
                          <w14:schemeClr w14:val="tx1"/>
                        </w14:solidFill>
                      </w14:textFill>
                    </w:rPr>
                    <w:t>来源</w:t>
                  </w:r>
                </w:p>
              </w:tc>
              <w:tc>
                <w:tcPr>
                  <w:tcW w:w="60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1210" w:type="dxa"/>
                  <w:tcBorders>
                    <w:top w:val="single" w:color="auto" w:sz="12" w:space="0"/>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表土堆存点面积</w:t>
                  </w:r>
                </w:p>
              </w:tc>
              <w:tc>
                <w:tcPr>
                  <w:tcW w:w="454" w:type="dxa"/>
                  <w:tcBorders>
                    <w:top w:val="single" w:color="auto" w:sz="12" w:space="0"/>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堆高</w:t>
                  </w:r>
                </w:p>
              </w:tc>
              <w:tc>
                <w:tcPr>
                  <w:tcW w:w="907" w:type="dxa"/>
                  <w:tcBorders>
                    <w:top w:val="single" w:color="auto" w:sz="12" w:space="0"/>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容量</w:t>
                  </w:r>
                </w:p>
              </w:tc>
              <w:tc>
                <w:tcPr>
                  <w:tcW w:w="75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堆放坡比</w:t>
                  </w:r>
                </w:p>
              </w:tc>
              <w:tc>
                <w:tcPr>
                  <w:tcW w:w="181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1728" w:type="dxa"/>
                  <w:gridSpan w:val="2"/>
                  <w:tcBorders>
                    <w:top w:val="single" w:color="auto" w:sz="12" w:space="0"/>
                    <w:left w:val="nil"/>
                    <w:bottom w:val="single" w:color="auto" w:sz="4" w:space="0"/>
                    <w:right w:val="single" w:color="000000" w:sz="12" w:space="0"/>
                  </w:tcBorders>
                  <w:shd w:val="clear" w:color="auto" w:fill="auto"/>
                  <w:vAlign w:val="center"/>
                </w:tcPr>
                <w:p>
                  <w:pPr>
                    <w:pStyle w:val="29"/>
                    <w:jc w:val="both"/>
                    <w:rPr>
                      <w:color w:val="000000" w:themeColor="text1"/>
                      <w14:textFill>
                        <w14:solidFill>
                          <w14:schemeClr w14:val="tx1"/>
                        </w14:solidFill>
                      </w14:textFill>
                    </w:rPr>
                  </w:pPr>
                  <w:r>
                    <w:rPr>
                      <w:color w:val="000000" w:themeColor="text1"/>
                      <w14:textFill>
                        <w14:solidFill>
                          <w14:schemeClr w14:val="tx1"/>
                        </w14:solidFill>
                      </w14:textFill>
                    </w:rPr>
                    <w:t>堆放量（m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r>
            <w:tr>
              <w:tblPrEx>
                <w:tblLayout w:type="fixed"/>
                <w:tblCellMar>
                  <w:top w:w="0" w:type="dxa"/>
                  <w:left w:w="108" w:type="dxa"/>
                  <w:bottom w:w="0" w:type="dxa"/>
                  <w:right w:w="108" w:type="dxa"/>
                </w:tblCellMar>
              </w:tblPrEx>
              <w:trPr>
                <w:trHeight w:val="300" w:hRule="atLeast"/>
                <w:tblHeader/>
              </w:trPr>
              <w:tc>
                <w:tcPr>
                  <w:tcW w:w="935" w:type="dxa"/>
                  <w:vMerge w:val="continue"/>
                  <w:tcBorders>
                    <w:top w:val="single" w:color="auto" w:sz="12" w:space="0"/>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vMerge w:val="continue"/>
                  <w:tcBorders>
                    <w:top w:val="single" w:color="auto" w:sz="12" w:space="0"/>
                    <w:left w:val="single" w:color="auto" w:sz="4"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m</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757" w:type="dxa"/>
                  <w:vMerge w:val="continue"/>
                  <w:tcBorders>
                    <w:top w:val="single" w:color="auto" w:sz="12" w:space="0"/>
                    <w:left w:val="single" w:color="auto" w:sz="4"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1816" w:type="dxa"/>
                  <w:vMerge w:val="continue"/>
                  <w:tcBorders>
                    <w:top w:val="single" w:color="auto" w:sz="12" w:space="0"/>
                    <w:left w:val="single" w:color="auto" w:sz="4"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自然方</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松方</w:t>
                  </w:r>
                </w:p>
              </w:tc>
            </w:tr>
            <w:tr>
              <w:tblPrEx>
                <w:tblLayout w:type="fixed"/>
                <w:tblCellMar>
                  <w:top w:w="0" w:type="dxa"/>
                  <w:left w:w="108" w:type="dxa"/>
                  <w:bottom w:w="0" w:type="dxa"/>
                  <w:right w:w="108" w:type="dxa"/>
                </w:tblCellMar>
              </w:tblPrEx>
              <w:trPr>
                <w:trHeight w:val="300" w:hRule="atLeast"/>
              </w:trPr>
              <w:tc>
                <w:tcPr>
                  <w:tcW w:w="93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风机机组区剥离</w:t>
                  </w: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580</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1392</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70#风机平台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1080</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1296</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502</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1205</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66#风机平台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1004</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1205</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754</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1810</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65#风机平台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1211</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1453</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785</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1883</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64#风机平台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1021</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1225</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485</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1164</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720</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864</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592</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1421</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62#风机平台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854</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1025</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1038</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2491</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60#风机平台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1762</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2114</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583</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1399</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59#风机平台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729</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874</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539</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1304</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58#风机平台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1083</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1299</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751</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1802</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57#风机平台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1306</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1567</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822</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1973</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56#风机平台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1449</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1739</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499</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1198</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54#风机平台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998</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1198</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718</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1723</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53#风机平台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1434</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1720</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515</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1236</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52#风机平台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1030</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1236</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839</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2014</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51#风机平台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928</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1113</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904</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2170</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49#风机平台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1022</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1227</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554</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1330</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48#风机平台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997</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1196</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970</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2328</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47#风机平台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1488</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1785</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622</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1493</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46#风机平台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938</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1125</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609</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1461</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45#风机平台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875</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1050</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514</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1234</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43#风机平台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436</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524</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594</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1426</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42#风机平台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756</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907</w:t>
                  </w:r>
                </w:p>
              </w:tc>
            </w:tr>
            <w:tr>
              <w:tblPrEx>
                <w:tblLayout w:type="fixed"/>
              </w:tblPrEx>
              <w:trPr>
                <w:trHeight w:val="300" w:hRule="atLeast"/>
              </w:trPr>
              <w:tc>
                <w:tcPr>
                  <w:tcW w:w="935" w:type="dxa"/>
                  <w:vMerge w:val="continue"/>
                  <w:tcBorders>
                    <w:top w:val="nil"/>
                    <w:left w:val="single" w:color="auto" w:sz="12" w:space="0"/>
                    <w:bottom w:val="single" w:color="auto" w:sz="4" w:space="0"/>
                    <w:right w:val="single" w:color="auto" w:sz="4" w:space="0"/>
                  </w:tcBorders>
                  <w:vAlign w:val="center"/>
                </w:tcPr>
                <w:p>
                  <w:pPr>
                    <w:pStyle w:val="29"/>
                    <w:rPr>
                      <w:color w:val="000000" w:themeColor="text1"/>
                      <w14:textFill>
                        <w14:solidFill>
                          <w14:schemeClr w14:val="tx1"/>
                        </w14:solidFill>
                      </w14:textFill>
                    </w:rPr>
                  </w:pPr>
                </w:p>
              </w:tc>
              <w:tc>
                <w:tcPr>
                  <w:tcW w:w="60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w:t>
                  </w:r>
                </w:p>
              </w:tc>
              <w:tc>
                <w:tcPr>
                  <w:tcW w:w="1210"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478</w:t>
                  </w:r>
                </w:p>
              </w:tc>
              <w:tc>
                <w:tcPr>
                  <w:tcW w:w="454"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1147</w:t>
                  </w:r>
                </w:p>
              </w:tc>
              <w:tc>
                <w:tcPr>
                  <w:tcW w:w="75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816"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41#风机平台</w:t>
                  </w:r>
                </w:p>
              </w:tc>
              <w:tc>
                <w:tcPr>
                  <w:tcW w:w="907" w:type="dxa"/>
                  <w:tcBorders>
                    <w:top w:val="nil"/>
                    <w:left w:val="nil"/>
                    <w:bottom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804</w:t>
                  </w:r>
                </w:p>
              </w:tc>
              <w:tc>
                <w:tcPr>
                  <w:tcW w:w="821" w:type="dxa"/>
                  <w:tcBorders>
                    <w:top w:val="nil"/>
                    <w:left w:val="nil"/>
                    <w:bottom w:val="single" w:color="auto" w:sz="4"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964</w:t>
                  </w:r>
                </w:p>
              </w:tc>
            </w:tr>
            <w:tr>
              <w:tblPrEx>
                <w:tblLayout w:type="fixed"/>
              </w:tblPrEx>
              <w:trPr>
                <w:trHeight w:val="300" w:hRule="atLeast"/>
              </w:trPr>
              <w:tc>
                <w:tcPr>
                  <w:tcW w:w="1541"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210" w:type="dxa"/>
                  <w:tcBorders>
                    <w:top w:val="nil"/>
                    <w:left w:val="nil"/>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15247</w:t>
                  </w:r>
                </w:p>
              </w:tc>
              <w:tc>
                <w:tcPr>
                  <w:tcW w:w="454" w:type="dxa"/>
                  <w:tcBorders>
                    <w:top w:val="nil"/>
                    <w:left w:val="nil"/>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907" w:type="dxa"/>
                  <w:tcBorders>
                    <w:top w:val="nil"/>
                    <w:left w:val="nil"/>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36604</w:t>
                  </w:r>
                </w:p>
              </w:tc>
              <w:tc>
                <w:tcPr>
                  <w:tcW w:w="757" w:type="dxa"/>
                  <w:tcBorders>
                    <w:top w:val="nil"/>
                    <w:left w:val="nil"/>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816" w:type="dxa"/>
                  <w:tcBorders>
                    <w:top w:val="nil"/>
                    <w:left w:val="nil"/>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907" w:type="dxa"/>
                  <w:tcBorders>
                    <w:top w:val="nil"/>
                    <w:left w:val="nil"/>
                    <w:bottom w:val="single" w:color="auto" w:sz="12"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23925</w:t>
                  </w:r>
                </w:p>
              </w:tc>
              <w:tc>
                <w:tcPr>
                  <w:tcW w:w="821" w:type="dxa"/>
                  <w:tcBorders>
                    <w:top w:val="nil"/>
                    <w:left w:val="nil"/>
                    <w:bottom w:val="single" w:color="auto" w:sz="12" w:space="0"/>
                    <w:right w:val="single" w:color="auto" w:sz="12"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28706</w:t>
                  </w:r>
                </w:p>
              </w:tc>
            </w:tr>
          </w:tbl>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.2.3.7 </w:t>
            </w:r>
            <w:r>
              <w:rPr>
                <w:rFonts w:hint="eastAsia"/>
                <w:color w:val="000000" w:themeColor="text1"/>
                <w14:textFill>
                  <w14:solidFill>
                    <w14:schemeClr w14:val="tx1"/>
                  </w14:solidFill>
                </w14:textFill>
              </w:rPr>
              <w:t>施工生产生活区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项目不设施工生产生活区，施工人员住宿依托附近民房，项目外购商品混凝土，施工现场及材料堆存依托风机平台，不单独设置堆场及施工场地。</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.2.4 </w:t>
            </w:r>
            <w:r>
              <w:rPr>
                <w:rFonts w:hint="eastAsia"/>
                <w:color w:val="000000" w:themeColor="text1"/>
                <w14:textFill>
                  <w14:solidFill>
                    <w14:schemeClr w14:val="tx1"/>
                  </w14:solidFill>
                </w14:textFill>
              </w:rPr>
              <w:t>公用工程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（1）供水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场址地处山顶，无较好的天然水源地，场址内地表无出露泉水。施工用水采用罐车从场外附近的村庄取水，运输至施工现场的方式供应。</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（2）供电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项目施工用电分散，项目无集中施工点，采用移动式柴油发电机供电。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（3）排水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项目施工期产生的地表径流经沉砂池沉淀后排放，施工人员生活污水经临时旱厕（移动式旱厕）收集后定期清运用作植被恢复肥料，项目运营期无废水产生。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运营期新增主变产生的事故油排入升压站已建事故油池排油系统，箱变产生的事故油通过配套集油池收集后交由资质单位处置。</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.2.5 </w:t>
            </w:r>
            <w:r>
              <w:rPr>
                <w:rFonts w:hint="eastAsia"/>
                <w:color w:val="000000" w:themeColor="text1"/>
                <w14:textFill>
                  <w14:solidFill>
                    <w14:schemeClr w14:val="tx1"/>
                  </w14:solidFill>
                </w14:textFill>
              </w:rPr>
              <w:t>项目占地</w:t>
            </w:r>
          </w:p>
          <w:p>
            <w:pPr>
              <w:ind w:firstLine="480"/>
              <w:rPr>
                <w:color w:val="000000" w:themeColor="text1"/>
                <w14:textFill>
                  <w14:solidFill>
                    <w14:schemeClr w14:val="tx1"/>
                  </w14:solidFill>
                </w14:textFill>
              </w:rPr>
            </w:pPr>
            <w:bookmarkStart w:id="20" w:name="_Hlk147413078"/>
            <w:bookmarkStart w:id="21" w:name="_Hlk144044716"/>
            <w:bookmarkStart w:id="22" w:name="_Hlk95041500"/>
            <w:r>
              <w:rPr>
                <w:rFonts w:hint="eastAsia"/>
                <w:color w:val="000000" w:themeColor="text1"/>
                <w14:textFill>
                  <w14:solidFill>
                    <w14:schemeClr w14:val="tx1"/>
                  </w14:solidFill>
                </w14:textFill>
              </w:rPr>
              <w:t>根据项目主体设计，本工程电缆集电线路依托防火通道及农村道路，防火通道及农村道路建设时一并铺设集电线路，项目集电线路不新增占地，故集电线路不纳入新增占地。经统计，项目总占地面积约为</w:t>
            </w:r>
            <w:r>
              <w:rPr>
                <w:color w:val="000000" w:themeColor="text1"/>
                <w14:textFill>
                  <w14:solidFill>
                    <w14:schemeClr w14:val="tx1"/>
                  </w14:solidFill>
                </w14:textFill>
              </w:rPr>
              <w:t>31.1026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，其中永久占地约</w:t>
            </w:r>
            <w:r>
              <w:rPr>
                <w:color w:val="000000" w:themeColor="text1"/>
                <w14:textFill>
                  <w14:solidFill>
                    <w14:schemeClr w14:val="tx1"/>
                  </w14:solidFill>
                </w14:textFill>
              </w:rPr>
              <w:t>1.1708</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（有林地</w:t>
            </w:r>
            <w:r>
              <w:rPr>
                <w:color w:val="000000" w:themeColor="text1"/>
                <w14:textFill>
                  <w14:solidFill>
                    <w14:schemeClr w14:val="tx1"/>
                  </w14:solidFill>
                </w14:textFill>
              </w:rPr>
              <w:t>0.7756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、草地</w:t>
            </w:r>
            <w:r>
              <w:rPr>
                <w:color w:val="000000" w:themeColor="text1"/>
                <w14:textFill>
                  <w14:solidFill>
                    <w14:schemeClr w14:val="tx1"/>
                  </w14:solidFill>
                </w14:textFill>
              </w:rPr>
              <w:t>0.3176</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、旱地</w:t>
            </w:r>
            <w:r>
              <w:rPr>
                <w:color w:val="000000" w:themeColor="text1"/>
                <w14:textFill>
                  <w14:solidFill>
                    <w14:schemeClr w14:val="tx1"/>
                  </w14:solidFill>
                </w14:textFill>
              </w:rPr>
              <w:t>0.0776</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），临时占地</w:t>
            </w:r>
            <w:r>
              <w:rPr>
                <w:color w:val="000000" w:themeColor="text1"/>
                <w14:textFill>
                  <w14:solidFill>
                    <w14:schemeClr w14:val="tx1"/>
                  </w14:solidFill>
                </w14:textFill>
              </w:rPr>
              <w:t>29.9318</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（有林地</w:t>
            </w:r>
            <w:r>
              <w:rPr>
                <w:color w:val="000000" w:themeColor="text1"/>
                <w14:textFill>
                  <w14:solidFill>
                    <w14:schemeClr w14:val="tx1"/>
                  </w14:solidFill>
                </w14:textFill>
              </w:rPr>
              <w:t>15.2014</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、草地</w:t>
            </w:r>
            <w:r>
              <w:rPr>
                <w:color w:val="000000" w:themeColor="text1"/>
                <w14:textFill>
                  <w14:solidFill>
                    <w14:schemeClr w14:val="tx1"/>
                  </w14:solidFill>
                </w14:textFill>
              </w:rPr>
              <w:t>5.5343</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、旱地</w:t>
            </w:r>
            <w:r>
              <w:rPr>
                <w:color w:val="000000" w:themeColor="text1"/>
                <w14:textFill>
                  <w14:solidFill>
                    <w14:schemeClr w14:val="tx1"/>
                  </w14:solidFill>
                </w14:textFill>
              </w:rPr>
              <w:t>1.0761</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、交通运输用地</w:t>
            </w:r>
            <w:r>
              <w:rPr>
                <w:color w:val="000000" w:themeColor="text1"/>
                <w14:textFill>
                  <w14:solidFill>
                    <w14:schemeClr w14:val="tx1"/>
                  </w14:solidFill>
                </w14:textFill>
              </w:rPr>
              <w:t>8.1200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bookmarkEnd w:id="20"/>
            <w:r>
              <w:rPr>
                <w:rFonts w:hint="eastAsia"/>
                <w:color w:val="000000" w:themeColor="text1"/>
                <w14:textFill>
                  <w14:solidFill>
                    <w14:schemeClr w14:val="tx1"/>
                  </w14:solidFill>
                </w14:textFill>
              </w:rPr>
              <w:t>，项目占地中占用有林地</w:t>
            </w:r>
            <w:r>
              <w:rPr>
                <w:color w:val="000000" w:themeColor="text1"/>
                <w14:textFill>
                  <w14:solidFill>
                    <w14:schemeClr w14:val="tx1"/>
                  </w14:solidFill>
                </w14:textFill>
              </w:rPr>
              <w:t>15.9770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、草地</w:t>
            </w:r>
            <w:r>
              <w:rPr>
                <w:color w:val="000000" w:themeColor="text1"/>
                <w14:textFill>
                  <w14:solidFill>
                    <w14:schemeClr w14:val="tx1"/>
                  </w14:solidFill>
                </w14:textFill>
              </w:rPr>
              <w:t>5.8519</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、旱地</w:t>
            </w:r>
            <w:r>
              <w:rPr>
                <w:color w:val="000000" w:themeColor="text1"/>
                <w14:textFill>
                  <w14:solidFill>
                    <w14:schemeClr w14:val="tx1"/>
                  </w14:solidFill>
                </w14:textFill>
              </w:rPr>
              <w:t>1.1537</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、交通运输用地</w:t>
            </w:r>
            <w:r>
              <w:rPr>
                <w:color w:val="000000" w:themeColor="text1"/>
                <w14:textFill>
                  <w14:solidFill>
                    <w14:schemeClr w14:val="tx1"/>
                  </w14:solidFill>
                </w14:textFill>
              </w:rPr>
              <w:t>8.1200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。项目占地不涉及基本农田。</w:t>
            </w:r>
            <w:bookmarkEnd w:id="21"/>
            <w:r>
              <w:rPr>
                <w:rFonts w:hint="eastAsia"/>
                <w:color w:val="000000" w:themeColor="text1"/>
                <w14:textFill>
                  <w14:solidFill>
                    <w14:schemeClr w14:val="tx1"/>
                  </w14:solidFill>
                </w14:textFill>
              </w:rPr>
              <w:t>占地情况见表</w:t>
            </w:r>
            <w:r>
              <w:rPr>
                <w:color w:val="000000" w:themeColor="text1"/>
                <w14:textFill>
                  <w14:solidFill>
                    <w14:schemeClr w14:val="tx1"/>
                  </w14:solidFill>
                </w14:textFill>
              </w:rPr>
              <w:t>2.2-7</w:t>
            </w:r>
            <w:r>
              <w:rPr>
                <w:rFonts w:hint="eastAsia"/>
                <w:color w:val="000000" w:themeColor="text1"/>
                <w14:textFill>
                  <w14:solidFill>
                    <w14:schemeClr w14:val="tx1"/>
                  </w14:solidFill>
                </w14:textFill>
              </w:rPr>
              <w:t>。</w:t>
            </w:r>
            <w:bookmarkEnd w:id="22"/>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.2-7  </w:t>
            </w:r>
            <w:bookmarkStart w:id="23" w:name="_Hlk95041521"/>
            <w:r>
              <w:rPr>
                <w:rFonts w:hint="eastAsia"/>
                <w:color w:val="000000" w:themeColor="text1"/>
                <w14:textFill>
                  <w14:solidFill>
                    <w14:schemeClr w14:val="tx1"/>
                  </w14:solidFill>
                </w14:textFill>
              </w:rPr>
              <w:t>项目占地情况一览表</w:t>
            </w:r>
            <w:bookmarkEnd w:id="23"/>
          </w:p>
          <w:tbl>
            <w:tblPr>
              <w:tblStyle w:val="20"/>
              <w:tblW w:w="8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1"/>
              <w:gridCol w:w="1819"/>
              <w:gridCol w:w="1237"/>
              <w:gridCol w:w="1108"/>
              <w:gridCol w:w="1098"/>
              <w:gridCol w:w="1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01" w:type="dxa"/>
                  <w:vMerge w:val="restart"/>
                  <w:shd w:val="clear" w:color="auto" w:fill="auto"/>
                  <w:noWrap/>
                  <w:vAlign w:val="center"/>
                </w:tcPr>
                <w:p>
                  <w:pPr>
                    <w:pStyle w:val="29"/>
                    <w:rPr>
                      <w:rFonts w:eastAsia="等线"/>
                      <w:color w:val="000000" w:themeColor="text1"/>
                      <w14:textFill>
                        <w14:solidFill>
                          <w14:schemeClr w14:val="tx1"/>
                        </w14:solidFill>
                      </w14:textFill>
                    </w:rPr>
                  </w:pPr>
                  <w:bookmarkStart w:id="24" w:name="_Hlk147413117"/>
                  <w:r>
                    <w:rPr>
                      <w:rFonts w:hint="eastAsia"/>
                      <w:color w:val="000000" w:themeColor="text1"/>
                      <w14:textFill>
                        <w14:solidFill>
                          <w14:schemeClr w14:val="tx1"/>
                        </w14:solidFill>
                      </w14:textFill>
                    </w:rPr>
                    <w:t>占地性质</w:t>
                  </w:r>
                </w:p>
              </w:tc>
              <w:tc>
                <w:tcPr>
                  <w:tcW w:w="1819" w:type="dxa"/>
                  <w:vMerge w:val="restart"/>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占地项目</w:t>
                  </w:r>
                </w:p>
              </w:tc>
              <w:tc>
                <w:tcPr>
                  <w:tcW w:w="5263" w:type="dxa"/>
                  <w:gridSpan w:val="4"/>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占地类型（</w:t>
                  </w:r>
                  <w:r>
                    <w:rPr>
                      <w:rFonts w:eastAsia="等线"/>
                      <w:color w:val="000000" w:themeColor="text1"/>
                      <w14:textFill>
                        <w14:solidFill>
                          <w14:schemeClr w14:val="tx1"/>
                        </w14:solidFill>
                      </w14:textFill>
                    </w:rPr>
                    <w:t>m</w:t>
                  </w:r>
                  <w:r>
                    <w:rPr>
                      <w:rFonts w:eastAsia="等线"/>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01" w:type="dxa"/>
                  <w:vMerge w:val="continue"/>
                  <w:shd w:val="clear" w:color="auto" w:fill="auto"/>
                  <w:vAlign w:val="center"/>
                </w:tcPr>
                <w:p>
                  <w:pPr>
                    <w:pStyle w:val="29"/>
                    <w:rPr>
                      <w:rFonts w:eastAsia="等线"/>
                      <w:color w:val="000000" w:themeColor="text1"/>
                      <w14:textFill>
                        <w14:solidFill>
                          <w14:schemeClr w14:val="tx1"/>
                        </w14:solidFill>
                      </w14:textFill>
                    </w:rPr>
                  </w:pPr>
                </w:p>
              </w:tc>
              <w:tc>
                <w:tcPr>
                  <w:tcW w:w="1819" w:type="dxa"/>
                  <w:vMerge w:val="continue"/>
                  <w:shd w:val="clear" w:color="auto" w:fill="auto"/>
                  <w:vAlign w:val="center"/>
                </w:tcPr>
                <w:p>
                  <w:pPr>
                    <w:pStyle w:val="29"/>
                    <w:rPr>
                      <w:rFonts w:eastAsia="等线"/>
                      <w:color w:val="000000" w:themeColor="text1"/>
                      <w14:textFill>
                        <w14:solidFill>
                          <w14:schemeClr w14:val="tx1"/>
                        </w14:solidFill>
                      </w14:textFill>
                    </w:rPr>
                  </w:pPr>
                </w:p>
              </w:tc>
              <w:tc>
                <w:tcPr>
                  <w:tcW w:w="1237"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有林地</w:t>
                  </w:r>
                </w:p>
              </w:tc>
              <w:tc>
                <w:tcPr>
                  <w:tcW w:w="1108" w:type="dxa"/>
                  <w:shd w:val="clear" w:color="auto" w:fill="auto"/>
                  <w:noWrap/>
                  <w:vAlign w:val="center"/>
                </w:tcPr>
                <w:p>
                  <w:pPr>
                    <w:pStyle w:val="29"/>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草地</w:t>
                  </w:r>
                </w:p>
              </w:tc>
              <w:tc>
                <w:tcPr>
                  <w:tcW w:w="1098" w:type="dxa"/>
                  <w:shd w:val="clear" w:color="auto" w:fill="auto"/>
                  <w:noWrap/>
                  <w:vAlign w:val="center"/>
                </w:tcPr>
                <w:p>
                  <w:pPr>
                    <w:pStyle w:val="29"/>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旱地</w:t>
                  </w:r>
                </w:p>
              </w:tc>
              <w:tc>
                <w:tcPr>
                  <w:tcW w:w="1820"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交通运输用地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1301" w:type="dxa"/>
                  <w:vMerge w:val="restart"/>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永久占地</w:t>
                  </w:r>
                </w:p>
              </w:tc>
              <w:tc>
                <w:tcPr>
                  <w:tcW w:w="1819"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风机基础</w:t>
                  </w:r>
                </w:p>
              </w:tc>
              <w:tc>
                <w:tcPr>
                  <w:tcW w:w="1237"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6796</w:t>
                  </w:r>
                </w:p>
              </w:tc>
              <w:tc>
                <w:tcPr>
                  <w:tcW w:w="110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2792</w:t>
                  </w:r>
                </w:p>
              </w:tc>
              <w:tc>
                <w:tcPr>
                  <w:tcW w:w="109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680</w:t>
                  </w:r>
                </w:p>
              </w:tc>
              <w:tc>
                <w:tcPr>
                  <w:tcW w:w="182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01" w:type="dxa"/>
                  <w:vMerge w:val="continue"/>
                  <w:tcBorders>
                    <w:bottom w:val="single" w:color="auto" w:sz="4" w:space="0"/>
                  </w:tcBorders>
                  <w:shd w:val="clear" w:color="auto" w:fill="auto"/>
                  <w:vAlign w:val="center"/>
                </w:tcPr>
                <w:p>
                  <w:pPr>
                    <w:pStyle w:val="29"/>
                    <w:rPr>
                      <w:rFonts w:eastAsia="等线"/>
                      <w:color w:val="000000" w:themeColor="text1"/>
                      <w14:textFill>
                        <w14:solidFill>
                          <w14:schemeClr w14:val="tx1"/>
                        </w14:solidFill>
                      </w14:textFill>
                    </w:rPr>
                  </w:pPr>
                </w:p>
              </w:tc>
              <w:tc>
                <w:tcPr>
                  <w:tcW w:w="1819"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箱变</w:t>
                  </w:r>
                </w:p>
              </w:tc>
              <w:tc>
                <w:tcPr>
                  <w:tcW w:w="1237"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960</w:t>
                  </w:r>
                </w:p>
              </w:tc>
              <w:tc>
                <w:tcPr>
                  <w:tcW w:w="110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384</w:t>
                  </w:r>
                </w:p>
              </w:tc>
              <w:tc>
                <w:tcPr>
                  <w:tcW w:w="109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96</w:t>
                  </w:r>
                </w:p>
              </w:tc>
              <w:tc>
                <w:tcPr>
                  <w:tcW w:w="182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01" w:type="dxa"/>
                  <w:vMerge w:val="restart"/>
                  <w:tcBorders>
                    <w:top w:val="single" w:color="auto" w:sz="4" w:space="0"/>
                  </w:tcBorders>
                  <w:shd w:val="clear" w:color="auto" w:fill="auto"/>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临时占地</w:t>
                  </w:r>
                </w:p>
              </w:tc>
              <w:tc>
                <w:tcPr>
                  <w:tcW w:w="1819"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c>
                <w:tcPr>
                  <w:tcW w:w="1237"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95193</w:t>
                  </w:r>
                </w:p>
              </w:tc>
              <w:tc>
                <w:tcPr>
                  <w:tcW w:w="110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36990</w:t>
                  </w:r>
                </w:p>
              </w:tc>
              <w:tc>
                <w:tcPr>
                  <w:tcW w:w="109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5120</w:t>
                  </w:r>
                </w:p>
              </w:tc>
              <w:tc>
                <w:tcPr>
                  <w:tcW w:w="182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81200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01" w:type="dxa"/>
                  <w:vMerge w:val="continue"/>
                  <w:shd w:val="clear" w:color="auto" w:fill="auto"/>
                  <w:noWrap/>
                  <w:vAlign w:val="center"/>
                </w:tcPr>
                <w:p>
                  <w:pPr>
                    <w:pStyle w:val="29"/>
                    <w:rPr>
                      <w:rFonts w:eastAsia="等线"/>
                      <w:color w:val="000000" w:themeColor="text1"/>
                      <w14:textFill>
                        <w14:solidFill>
                          <w14:schemeClr w14:val="tx1"/>
                        </w14:solidFill>
                      </w14:textFill>
                    </w:rPr>
                  </w:pPr>
                </w:p>
              </w:tc>
              <w:tc>
                <w:tcPr>
                  <w:tcW w:w="1819"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风机安装平台</w:t>
                  </w:r>
                </w:p>
              </w:tc>
              <w:tc>
                <w:tcPr>
                  <w:tcW w:w="1237"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56821</w:t>
                  </w:r>
                </w:p>
              </w:tc>
              <w:tc>
                <w:tcPr>
                  <w:tcW w:w="110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18353</w:t>
                  </w:r>
                </w:p>
              </w:tc>
              <w:tc>
                <w:tcPr>
                  <w:tcW w:w="109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5641</w:t>
                  </w:r>
                </w:p>
              </w:tc>
              <w:tc>
                <w:tcPr>
                  <w:tcW w:w="182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120" w:type="dxa"/>
                  <w:gridSpan w:val="2"/>
                  <w:shd w:val="clear" w:color="auto" w:fill="auto"/>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37"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 xml:space="preserve">159770 </w:t>
                  </w:r>
                </w:p>
              </w:tc>
              <w:tc>
                <w:tcPr>
                  <w:tcW w:w="110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58519</w:t>
                  </w:r>
                </w:p>
              </w:tc>
              <w:tc>
                <w:tcPr>
                  <w:tcW w:w="1098"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11537</w:t>
                  </w:r>
                </w:p>
              </w:tc>
              <w:tc>
                <w:tcPr>
                  <w:tcW w:w="182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81200</w:t>
                  </w:r>
                </w:p>
              </w:tc>
            </w:tr>
            <w:bookmarkEnd w:id="24"/>
          </w:tbl>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.2.6 </w:t>
            </w:r>
            <w:r>
              <w:rPr>
                <w:rFonts w:hint="eastAsia"/>
                <w:color w:val="000000" w:themeColor="text1"/>
                <w14:textFill>
                  <w14:solidFill>
                    <w14:schemeClr w14:val="tx1"/>
                  </w14:solidFill>
                </w14:textFill>
              </w:rPr>
              <w:t>依托工程概况</w:t>
            </w:r>
          </w:p>
          <w:p>
            <w:pPr>
              <w:ind w:firstLine="480"/>
              <w:rPr>
                <w:color w:val="000000" w:themeColor="text1"/>
                <w14:textFill>
                  <w14:solidFill>
                    <w14:schemeClr w14:val="tx1"/>
                  </w14:solidFill>
                </w14:textFill>
              </w:rPr>
            </w:pPr>
            <w:bookmarkStart w:id="25" w:name="_Hlk137652744"/>
            <w:r>
              <w:rPr>
                <w:rFonts w:hint="eastAsia"/>
                <w:color w:val="000000" w:themeColor="text1"/>
                <w14:textFill>
                  <w14:solidFill>
                    <w14:schemeClr w14:val="tx1"/>
                  </w14:solidFill>
                </w14:textFill>
              </w:rPr>
              <w:t>（1）升压站及配套危废暂存间、事故油池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本项目不新建升压站，项目电力接入一期已建</w:t>
            </w:r>
            <w:r>
              <w:rPr>
                <w:color w:val="000000" w:themeColor="text1"/>
                <w14:textFill>
                  <w14:solidFill>
                    <w14:schemeClr w14:val="tx1"/>
                  </w14:solidFill>
                </w14:textFill>
              </w:rPr>
              <w:t>220kV</w:t>
            </w:r>
            <w:r>
              <w:rPr>
                <w:rFonts w:hint="eastAsia"/>
                <w:color w:val="000000" w:themeColor="text1"/>
                <w14:textFill>
                  <w14:solidFill>
                    <w14:schemeClr w14:val="tx1"/>
                  </w14:solidFill>
                </w14:textFill>
              </w:rPr>
              <w:t>升压站，由2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kV升压站统一送出。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kV升压站位于驾车乡，坐标东经</w:t>
            </w:r>
            <w:r>
              <w:rPr>
                <w:color w:val="000000" w:themeColor="text1"/>
                <w14:textFill>
                  <w14:solidFill>
                    <w14:schemeClr w14:val="tx1"/>
                  </w14:solidFill>
                </w14:textFill>
              </w:rPr>
              <w:t>103°21′45.810″，北纬26°3′46.050″</w:t>
            </w:r>
            <w:r>
              <w:rPr>
                <w:rFonts w:hint="eastAsia"/>
                <w:color w:val="000000" w:themeColor="text1"/>
                <w14:textFill>
                  <w14:solidFill>
                    <w14:schemeClr w14:val="tx1"/>
                  </w14:solidFill>
                </w14:textFill>
              </w:rPr>
              <w:t>。</w:t>
            </w:r>
            <w:bookmarkEnd w:id="25"/>
            <w:r>
              <w:rPr>
                <w:rFonts w:hint="eastAsia"/>
                <w:color w:val="000000" w:themeColor="text1"/>
                <w14:textFill>
                  <w14:solidFill>
                    <w14:schemeClr w14:val="tx1"/>
                  </w14:solidFill>
                </w14:textFill>
              </w:rPr>
              <w:t>升压站已建设1台1</w:t>
            </w:r>
            <w:r>
              <w:rPr>
                <w:color w:val="000000" w:themeColor="text1"/>
                <w14:textFill>
                  <w14:solidFill>
                    <w14:schemeClr w14:val="tx1"/>
                  </w14:solidFill>
                </w14:textFill>
              </w:rPr>
              <w:t>90MVA</w:t>
            </w:r>
            <w:r>
              <w:rPr>
                <w:rFonts w:hint="eastAsia"/>
                <w:color w:val="000000" w:themeColor="text1"/>
                <w14:textFill>
                  <w14:solidFill>
                    <w14:schemeClr w14:val="tx1"/>
                  </w14:solidFill>
                </w14:textFill>
              </w:rPr>
              <w:t>的主变，1个主变进线间隔，1个1</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kV进线间隔，1套G</w:t>
            </w:r>
            <w:r>
              <w:rPr>
                <w:color w:val="000000" w:themeColor="text1"/>
                <w14:textFill>
                  <w14:solidFill>
                    <w14:schemeClr w14:val="tx1"/>
                  </w14:solidFill>
                </w14:textFill>
              </w:rPr>
              <w:t>IS</w:t>
            </w:r>
            <w:r>
              <w:rPr>
                <w:rFonts w:hint="eastAsia"/>
                <w:color w:val="000000" w:themeColor="text1"/>
                <w14:textFill>
                  <w14:solidFill>
                    <w14:schemeClr w14:val="tx1"/>
                  </w14:solidFill>
                </w14:textFill>
              </w:rPr>
              <w:t>装置，35kVI段母线，</w:t>
            </w:r>
            <w:r>
              <w:rPr>
                <w:color w:val="000000" w:themeColor="text1"/>
                <w14:textFill>
                  <w14:solidFill>
                    <w14:schemeClr w14:val="tx1"/>
                  </w14:solidFill>
                </w14:textFill>
              </w:rPr>
              <w:t>35kV</w:t>
            </w:r>
            <w:r>
              <w:rPr>
                <w:rFonts w:hint="eastAsia"/>
                <w:color w:val="000000" w:themeColor="text1"/>
                <w14:textFill>
                  <w14:solidFill>
                    <w14:schemeClr w14:val="tx1"/>
                  </w14:solidFill>
                </w14:textFill>
              </w:rPr>
              <w:t>I</w:t>
            </w:r>
            <w:r>
              <w:rPr>
                <w:color w:val="000000" w:themeColor="text1"/>
                <w14:textFill>
                  <w14:solidFill>
                    <w14:schemeClr w14:val="tx1"/>
                  </w14:solidFill>
                </w14:textFill>
              </w:rPr>
              <w:t>段母线配置一台</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25000kvar的动态无功补偿装置</w:t>
            </w:r>
            <w:r>
              <w:rPr>
                <w:rFonts w:hint="eastAsia"/>
                <w:color w:val="000000" w:themeColor="text1"/>
                <w14:textFill>
                  <w14:solidFill>
                    <w14:schemeClr w14:val="tx1"/>
                  </w14:solidFill>
                </w14:textFill>
              </w:rPr>
              <w:t>，预留1台主变安装位置，站内布置有综合楼、配电楼及辅助用房，综合楼为二层框架结构建筑物，一层设门厅、办公室、会议室、工具备品备件间、公共卫生间、楼梯间、厨房、餐厅；二层设洗衣房、资料室、活动室及宿舍。配电楼为一层框架结构建筑物，楼内布置35kV配电室、中控室、保护屏室、蓄电池室，建筑物出入口开在建筑两端山墙。辅助用房地下布置消防水池和泵房。地上为一层框架结构建筑物，设置备品备件间、危废暂存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本项目运营期产生的危废收集后依托一期2</w:t>
            </w:r>
            <w:r>
              <w:rPr>
                <w:color w:val="000000" w:themeColor="text1"/>
                <w14:textFill>
                  <w14:solidFill>
                    <w14:schemeClr w14:val="tx1"/>
                  </w14:solidFill>
                </w14:textFill>
              </w:rPr>
              <w:t>20kV</w:t>
            </w:r>
            <w:r>
              <w:rPr>
                <w:rFonts w:hint="eastAsia"/>
                <w:color w:val="000000" w:themeColor="text1"/>
                <w14:textFill>
                  <w14:solidFill>
                    <w14:schemeClr w14:val="tx1"/>
                  </w14:solidFill>
                </w14:textFill>
              </w:rPr>
              <w:t>升压站危废暂存设施暂存，一期设置一间</w:t>
            </w:r>
            <w:r>
              <w:rPr>
                <w:color w:val="000000" w:themeColor="text1"/>
                <w14:textFill>
                  <w14:solidFill>
                    <w14:schemeClr w14:val="tx1"/>
                  </w14:solidFill>
                </w14:textFill>
              </w:rPr>
              <w:t>49.5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危废暂存间。危废暂存间严格按照《危险废物贮存污染控制标准》（GB18597-2023）要求进行了建设，防渗结构采用P6抗渗混凝土+2mm人工防渗涂料进行防渗处理，渗透系数≤10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项目依托的一期</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0kV升压站现状已设容积为</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的事故油池，能够容纳变压器事故时单台主变的全部油量，升压站单台主变最大油重</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t，变压器油密度约895kg/m³，事故油体积为</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。升压站事故油池容积能够容纳主变事故时单台主变的全部油量，满足《火力发电厂与变电站设计防火标准》（GB50229-2019）中事故油池设置要求，本项目不新设置事故油池，事故状态下，泄露的废油进入已设</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事故油池收集，及时委托有危废处置资质的单位及时清运处置。升压站事故油池采取相应的“三防”措施，事故油池容积满足要求，项目依托一期2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kV升压站建设的主变事故油池可行。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项目弃渣量约</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，由于待补风电场一期工程土建工程已完工且未产生弃渣，批复的</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个弃渣场均未启用，秉持着资源合理利用的原则，将二期工程产生的所有弃渣全部运至一期工程已批的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弃渣场内进行堆存。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根据《云南省曲靖市会泽县待补风电场一期（会泽南）项目环境影响报告表》及其批复，一期工程</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弃渣场位于驾车乡，坐标：</w:t>
            </w:r>
            <w:r>
              <w:rPr>
                <w:color w:val="000000" w:themeColor="text1"/>
                <w14:textFill>
                  <w14:solidFill>
                    <w14:schemeClr w14:val="tx1"/>
                  </w14:solidFill>
                </w14:textFill>
              </w:rPr>
              <w:t>东经103°18′52.90″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北纬26°2′37.53″</w:t>
            </w:r>
            <w:r>
              <w:rPr>
                <w:rFonts w:hint="eastAsia"/>
                <w:color w:val="000000" w:themeColor="text1"/>
                <w14:textFill>
                  <w14:solidFill>
                    <w14:schemeClr w14:val="tx1"/>
                  </w14:solidFill>
                </w14:textFill>
              </w:rPr>
              <w:t>，设计容量为</w:t>
            </w:r>
            <w:r>
              <w:rPr>
                <w:color w:val="000000" w:themeColor="text1"/>
                <w14:textFill>
                  <w14:solidFill>
                    <w14:schemeClr w14:val="tx1"/>
                  </w14:solidFill>
                </w14:textFill>
              </w:rPr>
              <w:t>19.80</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，该弃渣场位于4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风机北侧4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m，有农村公路直达，能够满足二期工程所有弃渣堆存要求，二期项目不单独设置弃渣场。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（3）防火通道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在本项目建设之前，由会泽县林业和草原局申请立项，建设防火通道46.472km，</w:t>
            </w:r>
            <w:r>
              <w:rPr>
                <w:color w:val="000000" w:themeColor="text1"/>
                <w14:textFill>
                  <w14:solidFill>
                    <w14:schemeClr w14:val="tx1"/>
                  </w14:solidFill>
                </w14:textFill>
              </w:rPr>
              <w:t>该防火通道除用作森林防火及当地的农村道路外，还可以直达本项目部分风机平台区域，对本项目提供了较好的对外运输条件。</w:t>
            </w:r>
            <w:r>
              <w:rPr>
                <w:rFonts w:hint="eastAsia"/>
                <w:color w:val="000000" w:themeColor="text1"/>
                <w14:textFill>
                  <w14:solidFill>
                    <w14:schemeClr w14:val="tx1"/>
                  </w14:solidFill>
                </w14:textFill>
              </w:rPr>
              <w:t>项目运输道路及集电线路依托该部分防火通道，该部分防火通道路基宽度约7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m，路面宽度约5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m，能够满足项目运输需求，本工程</w:t>
            </w:r>
            <w:r>
              <w:rPr>
                <w:color w:val="000000" w:themeColor="text1"/>
                <w14:textFill>
                  <w14:solidFill>
                    <w14:schemeClr w14:val="tx1"/>
                  </w14:solidFill>
                </w14:textFill>
              </w:rPr>
              <w:t>25.4</w:t>
            </w:r>
            <w:r>
              <w:rPr>
                <w:rFonts w:hint="eastAsia"/>
                <w:color w:val="000000" w:themeColor="text1"/>
                <w14:textFill>
                  <w14:solidFill>
                    <w14:schemeClr w14:val="tx1"/>
                  </w14:solidFill>
                </w14:textFill>
              </w:rPr>
              <w:t>km进场道路依托防火通道，</w:t>
            </w:r>
            <w:r>
              <w:rPr>
                <w:color w:val="000000" w:themeColor="text1"/>
                <w14:textFill>
                  <w14:solidFill>
                    <w14:schemeClr w14:val="tx1"/>
                  </w14:solidFill>
                </w14:textFill>
              </w:rPr>
              <w:t>34.312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集电线路依托防火通道，防火通道建设时同步铺设电缆。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防火通道</w:t>
            </w:r>
            <w:r>
              <w:rPr>
                <w:color w:val="000000" w:themeColor="text1"/>
                <w14:textFill>
                  <w14:solidFill>
                    <w14:schemeClr w14:val="tx1"/>
                  </w14:solidFill>
                </w14:textFill>
              </w:rPr>
              <w:t>现已立项，预计于2024年2月底前完成前期工作并开工建设，工期为半年，根据会泽县林草局和本项目建设单位签订的投资共建协议，防火通道弯转半径处按风机进场道路标准进行修建，即弯转半径可达25m，能够满足风机叶片及其他建筑材料的运输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）农村道路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24.64</w:t>
            </w:r>
            <w:r>
              <w:rPr>
                <w:rFonts w:hint="eastAsia"/>
                <w:color w:val="000000" w:themeColor="text1"/>
                <w14:textFill>
                  <w14:solidFill>
                    <w14:schemeClr w14:val="tx1"/>
                  </w14:solidFill>
                </w14:textFill>
              </w:rPr>
              <w:t>km进场道路依托现有农村公路，其中</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km农村公路需要扩建加固，农村公路路面宽度约7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m，最小转弯半径＞2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m，满足运输需求。</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.2.7 </w:t>
            </w:r>
            <w:r>
              <w:rPr>
                <w:rFonts w:hint="eastAsia"/>
                <w:color w:val="000000" w:themeColor="text1"/>
                <w14:textFill>
                  <w14:solidFill>
                    <w14:schemeClr w14:val="tx1"/>
                  </w14:solidFill>
                </w14:textFill>
              </w:rPr>
              <w:t>劳动定员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施工期：本项目施工期间施工高峰人数为</w:t>
            </w:r>
            <w:r>
              <w:rPr>
                <w:color w:val="000000" w:themeColor="text1"/>
                <w14:textFill>
                  <w14:solidFill>
                    <w14:schemeClr w14:val="tx1"/>
                  </w14:solidFill>
                </w14:textFill>
              </w:rPr>
              <w:t>160</w:t>
            </w:r>
            <w:r>
              <w:rPr>
                <w:rFonts w:hint="eastAsia"/>
                <w:color w:val="000000" w:themeColor="text1"/>
                <w14:textFill>
                  <w14:solidFill>
                    <w14:schemeClr w14:val="tx1"/>
                  </w14:solidFill>
                </w14:textFill>
              </w:rPr>
              <w:t>人，平均人数约1</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人。施工工人为当地村民或租用当地民房人员，食宿均依托村民民房。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运营期：运行管理人员主要负责风力发电场区及升压站的日常管理及维护工作，项目运营期风电场运维人员管理依托2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kV升压站现有工作人员，劳动定员为10人，含升压站管理人员、风电场检修和运维人员，2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0kV升压站按照有人值班设置（需24小时值守），值班人员约2~3人（3班/d，每班8小时）。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总平面及现场布置</w:t>
            </w:r>
          </w:p>
        </w:tc>
        <w:tc>
          <w:tcPr>
            <w:tcW w:w="8629" w:type="dxa"/>
          </w:tcPr>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总平面布置</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风机布置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拟建项目避让敏感因素后，共布置机位</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个。机位布置情况见表2</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及图2.3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56505" cy="4346575"/>
                  <wp:effectExtent l="19050" t="19050" r="1079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9620" cy="4349344"/>
                          </a:xfrm>
                          <a:prstGeom prst="rect">
                            <a:avLst/>
                          </a:prstGeom>
                          <a:noFill/>
                          <a:ln>
                            <a:solidFill>
                              <a:schemeClr val="tx1"/>
                            </a:solid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风机平面布置图</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风机布置情况一览表</w:t>
            </w:r>
          </w:p>
          <w:tbl>
            <w:tblPr>
              <w:tblStyle w:val="20"/>
              <w:tblW w:w="8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7"/>
              <w:gridCol w:w="2973"/>
              <w:gridCol w:w="2755"/>
              <w:gridCol w:w="13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vMerge w:val="restart"/>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728" w:type="dxa"/>
                  <w:gridSpan w:val="2"/>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r>
                    <w:rPr>
                      <w:color w:val="000000" w:themeColor="text1"/>
                      <w14:textFill>
                        <w14:solidFill>
                          <w14:schemeClr w14:val="tx1"/>
                        </w14:solidFill>
                      </w14:textFill>
                    </w:rPr>
                    <w:t>点坐标</w:t>
                  </w:r>
                </w:p>
              </w:tc>
              <w:tc>
                <w:tcPr>
                  <w:tcW w:w="132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海拔高度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vMerge w:val="continue"/>
                  <w:vAlign w:val="center"/>
                </w:tcPr>
                <w:p>
                  <w:pPr>
                    <w:pStyle w:val="29"/>
                    <w:rPr>
                      <w:color w:val="000000" w:themeColor="text1"/>
                      <w14:textFill>
                        <w14:solidFill>
                          <w14:schemeClr w14:val="tx1"/>
                        </w14:solidFill>
                      </w14:textFill>
                    </w:rPr>
                  </w:pPr>
                </w:p>
              </w:tc>
              <w:tc>
                <w:tcPr>
                  <w:tcW w:w="2973"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X（m）</w:t>
                  </w:r>
                </w:p>
              </w:tc>
              <w:tc>
                <w:tcPr>
                  <w:tcW w:w="2755"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Y（m）</w:t>
                  </w:r>
                </w:p>
              </w:tc>
              <w:tc>
                <w:tcPr>
                  <w:tcW w:w="1328" w:type="dxa"/>
                  <w:shd w:val="clear" w:color="auto" w:fill="auto"/>
                  <w:noWrap/>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34630174.001</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2880760.000</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3222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34630710.698</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2881396.397</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3209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34631191.098</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2881398.098</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3162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4</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34631243.502</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2882234.600</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3155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34632374.298</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2882397.004</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6</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34632649.401</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2882177.305</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7</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34643251.656</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2887745.941</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8</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34643111.908</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2888031.007</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9</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34642977.255</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2888311.798</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34642410.987</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2888182.681</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34642440.393</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2888651.599</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2</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34642270.434</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2888950.285</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34641186.500</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2888782.444</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34640614.557</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2889103.413</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34640147.900</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2889287.900</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34640174.420</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2889914.381</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34641344.703</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2890841.605</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2782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8</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34640907.110</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2891011.562</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9</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34644681.936</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2891869.720</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2679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34644329.269</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2892230.151</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2687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1</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34643951.374</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2892614.881</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2682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34640501.002</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2893965.106</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34641069.809</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2894082.628</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4</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34643067.748</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2895376.946</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34643753.515</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2895907.428</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6</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34644787.642</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2896821.842</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7</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34646962.500</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2897485.800</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8</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34647395.100</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2897441.900</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34647619.212</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2896889.113</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2939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327"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p>
              </w:tc>
              <w:tc>
                <w:tcPr>
                  <w:tcW w:w="2973"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34647877.579</w:t>
                  </w:r>
                </w:p>
              </w:tc>
              <w:tc>
                <w:tcPr>
                  <w:tcW w:w="2755"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2895954.961</w:t>
                  </w:r>
                </w:p>
              </w:tc>
              <w:tc>
                <w:tcPr>
                  <w:tcW w:w="1328" w:type="dxa"/>
                  <w:shd w:val="clear" w:color="auto" w:fill="auto"/>
                  <w:noWrap/>
                  <w:vAlign w:val="bottom"/>
                </w:tcPr>
                <w:p>
                  <w:pPr>
                    <w:pStyle w:val="29"/>
                    <w:rPr>
                      <w:color w:val="000000" w:themeColor="text1"/>
                      <w14:textFill>
                        <w14:solidFill>
                          <w14:schemeClr w14:val="tx1"/>
                        </w14:solidFill>
                      </w14:textFill>
                    </w:rPr>
                  </w:pPr>
                  <w:r>
                    <w:rPr>
                      <w:color w:val="000000" w:themeColor="text1"/>
                      <w14:textFill>
                        <w14:solidFill>
                          <w14:schemeClr w14:val="tx1"/>
                        </w14:solidFill>
                      </w14:textFill>
                    </w:rPr>
                    <w:t>2829</w:t>
                  </w:r>
                </w:p>
              </w:tc>
            </w:tr>
          </w:tbl>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集电线路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拟建项目电力接入一期2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kV升压站，共有</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台风机经</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回3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kV电缆集电线路接入一期220kV升压站，35kV电缆集电线路总长度约</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km，电缆沟长度</w:t>
            </w:r>
            <w:r>
              <w:rPr>
                <w:color w:val="000000" w:themeColor="text1"/>
                <w14:textFill>
                  <w14:solidFill>
                    <w14:schemeClr w14:val="tx1"/>
                  </w14:solidFill>
                </w14:textFill>
              </w:rPr>
              <w:t>63.42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，集电线路沿新建道路、改扩建道路、乡村道路及防火通道铺设。</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.3.3 220</w:t>
            </w:r>
            <w:r>
              <w:rPr>
                <w:rFonts w:hint="eastAsia"/>
                <w:color w:val="000000" w:themeColor="text1"/>
                <w14:textFill>
                  <w14:solidFill>
                    <w14:schemeClr w14:val="tx1"/>
                  </w14:solidFill>
                </w14:textFill>
              </w:rPr>
              <w:t>kV升压站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kV升压站主变规模：</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MVA+</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0MVA主变压器。升压站总占地面积1</w:t>
            </w:r>
            <w:r>
              <w:rPr>
                <w:color w:val="000000" w:themeColor="text1"/>
                <w14:textFill>
                  <w14:solidFill>
                    <w14:schemeClr w14:val="tx1"/>
                  </w14:solidFill>
                </w14:textFill>
              </w:rPr>
              <w:t>5570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，站区围墙内总占地面积为12000m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长120m，宽100m，升压站四周采用高度为2.2m的砖砌围墙，大门采用6m宽的电动伸缩大门。升压站进口道路路宽为6m，其余道路宽4m。道路均为混凝土路面，可车行到达各建筑物及设备，道路净空高度大于4m，转弯半径为9m，满足消防通道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升压站内布置有综合楼及辅助用房，综合楼为二层框架结构建筑物。一层设门厅、办公室、会议室、工具备品备件间、公共卫生间、楼梯间、厨房、餐厅；二层设洗衣房、资料室、活动室及宿舍。辅助用房地下布置消防水池和泵房。地上为一层框架结构建筑物，设置备品备件间、危废暂存间。</w:t>
            </w:r>
          </w:p>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3171190</wp:posOffset>
                      </wp:positionH>
                      <wp:positionV relativeFrom="paragraph">
                        <wp:posOffset>944245</wp:posOffset>
                      </wp:positionV>
                      <wp:extent cx="862965" cy="387350"/>
                      <wp:effectExtent l="0" t="0" r="13335" b="736600"/>
                      <wp:wrapNone/>
                      <wp:docPr id="111697104" name="对话气泡: 矩形 5"/>
                      <wp:cNvGraphicFramePr/>
                      <a:graphic xmlns:a="http://schemas.openxmlformats.org/drawingml/2006/main">
                        <a:graphicData uri="http://schemas.microsoft.com/office/word/2010/wordprocessingShape">
                          <wps:wsp>
                            <wps:cNvSpPr/>
                            <wps:spPr>
                              <a:xfrm>
                                <a:off x="0" y="0"/>
                                <a:ext cx="862965" cy="387350"/>
                              </a:xfrm>
                              <a:prstGeom prst="wedgeRectCallout">
                                <a:avLst>
                                  <a:gd name="adj1" fmla="val 5528"/>
                                  <a:gd name="adj2" fmla="val 228690"/>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事故油池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249.7pt;margin-top:74.35pt;height:30.5pt;width:67.95pt;z-index:251679744;v-text-anchor:middle;mso-width-relative:page;mso-height-relative:page;" filled="f" stroked="t" coordsize="21600,21600" o:gfxdata="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NetFR2wAAAAsBAAAPAAAAAAAAAAEAIAAAACIAAABkcnMvZG93bnJldi54bWxQSwEC&#10;FAAUAAAACACHTuJA+BDMopwCAAD6BAAADgAAAAAAAAABACAAAAAqAQAAZHJzL2Uyb0RvYy54bWxQ&#10;SwUGAAAAAAYABgBZAQAAOAYAAAAA&#10;" adj="11994,60197">
                      <v:fill on="f" focussize="0,0"/>
                      <v:stroke weight="1pt" color="#FF0000 [3204]" miterlimit="8" joinstyle="miter"/>
                      <v:imagedata o:title=""/>
                      <o:lock v:ext="edit" aspectratio="f"/>
                      <v:textbox>
                        <w:txbxContent>
                          <w:p>
                            <w:pPr>
                              <w:ind w:firstLine="0" w:firstLineChars="0"/>
                              <w:rPr>
                                <w:b/>
                                <w:bCs/>
                                <w:color w:val="FF0000"/>
                              </w:rPr>
                            </w:pPr>
                            <w:r>
                              <w:rPr>
                                <w:rFonts w:hint="eastAsia"/>
                                <w:b/>
                                <w:bCs/>
                                <w:color w:val="FF0000"/>
                              </w:rPr>
                              <w:t>事故油池</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91440</wp:posOffset>
                      </wp:positionH>
                      <wp:positionV relativeFrom="paragraph">
                        <wp:posOffset>3022600</wp:posOffset>
                      </wp:positionV>
                      <wp:extent cx="1477645" cy="387350"/>
                      <wp:effectExtent l="0" t="114300" r="979805" b="12700"/>
                      <wp:wrapNone/>
                      <wp:docPr id="1022497270" name="对话气泡: 矩形 5"/>
                      <wp:cNvGraphicFramePr/>
                      <a:graphic xmlns:a="http://schemas.openxmlformats.org/drawingml/2006/main">
                        <a:graphicData uri="http://schemas.microsoft.com/office/word/2010/wordprocessingShape">
                          <wps:wsp>
                            <wps:cNvSpPr/>
                            <wps:spPr>
                              <a:xfrm>
                                <a:off x="0" y="0"/>
                                <a:ext cx="1477645" cy="387350"/>
                              </a:xfrm>
                              <a:prstGeom prst="wedgeRectCallout">
                                <a:avLst>
                                  <a:gd name="adj1" fmla="val 110357"/>
                                  <a:gd name="adj2" fmla="val -73474"/>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二期预留主变位置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7.2pt;margin-top:238pt;height:30.5pt;width:116.35pt;z-index:251677696;v-text-anchor:middle;mso-width-relative:page;mso-height-relative:page;" filled="f" stroked="t" coordsize="21600,21600" o:gfxdata="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ltSPrYAAAACgEAAA8AAAAAAAAAAQAgAAAAIgAAAGRycy9kb3ducmV2LnhtbFBL&#10;AQIUABQAAAAIAIdO4kAbRw2goQIAAP4EAAAOAAAAAAAAAAEAIAAAACcBAABkcnMvZTJvRG9jLnht&#10;bFBLBQYAAAAABgAGAFkBAAA6BgAAAAA=&#10;" adj="34637,-5070">
                      <v:fill on="f" focussize="0,0"/>
                      <v:stroke weight="1pt" color="#FF0000 [3204]" miterlimit="8" joinstyle="miter"/>
                      <v:imagedata o:title=""/>
                      <o:lock v:ext="edit" aspectratio="f"/>
                      <v:textbox>
                        <w:txbxContent>
                          <w:p>
                            <w:pPr>
                              <w:ind w:firstLine="0" w:firstLineChars="0"/>
                              <w:rPr>
                                <w:b/>
                                <w:bCs/>
                                <w:color w:val="FF0000"/>
                              </w:rPr>
                            </w:pPr>
                            <w:r>
                              <w:rPr>
                                <w:rFonts w:hint="eastAsia"/>
                                <w:b/>
                                <w:bCs/>
                                <w:color w:val="FF0000"/>
                              </w:rPr>
                              <w:t>二期预留主变位置</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4070985</wp:posOffset>
                      </wp:positionH>
                      <wp:positionV relativeFrom="paragraph">
                        <wp:posOffset>1673860</wp:posOffset>
                      </wp:positionV>
                      <wp:extent cx="972820" cy="387350"/>
                      <wp:effectExtent l="0" t="0" r="17780" b="679450"/>
                      <wp:wrapNone/>
                      <wp:docPr id="48225490" name="对话气泡: 矩形 5"/>
                      <wp:cNvGraphicFramePr/>
                      <a:graphic xmlns:a="http://schemas.openxmlformats.org/drawingml/2006/main">
                        <a:graphicData uri="http://schemas.microsoft.com/office/word/2010/wordprocessingShape">
                          <wps:wsp>
                            <wps:cNvSpPr/>
                            <wps:spPr>
                              <a:xfrm>
                                <a:off x="0" y="0"/>
                                <a:ext cx="972820" cy="387350"/>
                              </a:xfrm>
                              <a:prstGeom prst="wedgeRectCallout">
                                <a:avLst>
                                  <a:gd name="adj1" fmla="val -39568"/>
                                  <a:gd name="adj2" fmla="val 211694"/>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危废暂存间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320.55pt;margin-top:131.8pt;height:30.5pt;width:76.6pt;z-index:251678720;v-text-anchor:middle;mso-width-relative:page;mso-height-relative:page;" filled="f" stroked="t" coordsize="21600,21600" o:gfxdata="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RcJtf2AAAAAsBAAAPAAAAAAAAAAEAIAAAACIAAABkcnMvZG93bnJldi54bWxQSwEC&#10;FAAUAAAACACHTuJAFwUsjp8CAAD7BAAADgAAAAAAAAABACAAAAAnAQAAZHJzL2Uyb0RvYy54bWxQ&#10;SwUGAAAAAAYABgBZAQAAOAYAAAAA&#10;" adj="2253,56526">
                      <v:fill on="f" focussize="0,0"/>
                      <v:stroke weight="1pt" color="#FF0000 [3204]" miterlimit="8" joinstyle="miter"/>
                      <v:imagedata o:title=""/>
                      <o:lock v:ext="edit" aspectratio="f"/>
                      <v:textbox>
                        <w:txbxContent>
                          <w:p>
                            <w:pPr>
                              <w:ind w:firstLine="0" w:firstLineChars="0"/>
                              <w:rPr>
                                <w:b/>
                                <w:bCs/>
                                <w:color w:val="FF0000"/>
                              </w:rPr>
                            </w:pPr>
                            <w:r>
                              <w:rPr>
                                <w:rFonts w:hint="eastAsia"/>
                                <w:b/>
                                <w:bCs/>
                                <w:color w:val="FF0000"/>
                              </w:rPr>
                              <w:t>危废暂存间</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2465705</wp:posOffset>
                      </wp:positionH>
                      <wp:positionV relativeFrom="paragraph">
                        <wp:posOffset>2632075</wp:posOffset>
                      </wp:positionV>
                      <wp:extent cx="474980" cy="409575"/>
                      <wp:effectExtent l="95250" t="133350" r="96520" b="124460"/>
                      <wp:wrapNone/>
                      <wp:docPr id="1004349804" name="矩形 4"/>
                      <wp:cNvGraphicFramePr/>
                      <a:graphic xmlns:a="http://schemas.openxmlformats.org/drawingml/2006/main">
                        <a:graphicData uri="http://schemas.microsoft.com/office/word/2010/wordprocessingShape">
                          <wps:wsp>
                            <wps:cNvSpPr/>
                            <wps:spPr>
                              <a:xfrm rot="2628547">
                                <a:off x="0" y="0"/>
                                <a:ext cx="475261" cy="40928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94.15pt;margin-top:207.25pt;height:32.25pt;width:37.4pt;rotation:2871074f;z-index:251674624;v-text-anchor:middle;mso-width-relative:page;mso-height-relative:page;" filled="f" stroked="t" coordsize="21600,21600" o:gfxdata="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jRw8dsAAAALAQAADwAAAAAAAAABACAAAAAiAAAAZHJzL2Rvd25yZXYueG1sUEsBAhQA&#10;FAAAAAgAh07iQIFQHiFhAgAAkwQAAA4AAAAAAAAAAQAgAAAAKgEAAGRycy9lMm9Eb2MueG1sUEsF&#10;BgAAAAAGAAYAWQEAAP0FAAAAAA==&#10;">
                      <v:fill on="f" focussize="0,0"/>
                      <v:stroke weight="1pt" color="#FF0000 [32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3985260</wp:posOffset>
                      </wp:positionH>
                      <wp:positionV relativeFrom="paragraph">
                        <wp:posOffset>2658745</wp:posOffset>
                      </wp:positionV>
                      <wp:extent cx="146685" cy="230505"/>
                      <wp:effectExtent l="76200" t="38100" r="24765" b="36195"/>
                      <wp:wrapNone/>
                      <wp:docPr id="170019277" name="矩形 4"/>
                      <wp:cNvGraphicFramePr/>
                      <a:graphic xmlns:a="http://schemas.openxmlformats.org/drawingml/2006/main">
                        <a:graphicData uri="http://schemas.microsoft.com/office/word/2010/wordprocessingShape">
                          <wps:wsp>
                            <wps:cNvSpPr/>
                            <wps:spPr>
                              <a:xfrm rot="2628547">
                                <a:off x="0" y="0"/>
                                <a:ext cx="146952" cy="23066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13.8pt;margin-top:209.35pt;height:18.15pt;width:11.55pt;rotation:2871074f;z-index:251676672;v-text-anchor:middle;mso-width-relative:page;mso-height-relative:page;" filled="f" stroked="t" coordsize="21600,21600" o:gfxdata="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BIT42gAAAAsBAAAPAAAAAAAAAAEAIAAAACIAAABkcnMvZG93bnJldi54bWxQSwECFAAUAAAA&#10;CACHTuJAFmXuwF4CAACSBAAADgAAAAAAAAABACAAAAApAQAAZHJzL2Uyb0RvYy54bWxQSwUGAAAA&#10;AAYABgBZAQAA+QUAAAAA&#10;">
                      <v:fill on="f" focussize="0,0"/>
                      <v:stroke weight="1pt" color="#FF0000 [32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3516630</wp:posOffset>
                      </wp:positionH>
                      <wp:positionV relativeFrom="paragraph">
                        <wp:posOffset>2124710</wp:posOffset>
                      </wp:positionV>
                      <wp:extent cx="305435" cy="212725"/>
                      <wp:effectExtent l="57150" t="95250" r="37465" b="92075"/>
                      <wp:wrapNone/>
                      <wp:docPr id="1465746685" name="矩形 4"/>
                      <wp:cNvGraphicFramePr/>
                      <a:graphic xmlns:a="http://schemas.openxmlformats.org/drawingml/2006/main">
                        <a:graphicData uri="http://schemas.microsoft.com/office/word/2010/wordprocessingShape">
                          <wps:wsp>
                            <wps:cNvSpPr/>
                            <wps:spPr>
                              <a:xfrm rot="2628547">
                                <a:off x="0" y="0"/>
                                <a:ext cx="305450" cy="21290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276.9pt;margin-top:167.3pt;height:16.75pt;width:24.05pt;rotation:2871074f;z-index:251675648;v-text-anchor:middle;mso-width-relative:page;mso-height-relative:page;" filled="f" stroked="t" coordsize="21600,21600" o:gfxdata="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z3o92wAAAAsBAAAPAAAAAAAAAAEAIAAAACIAAABkcnMvZG93bnJldi54bWxQSwECFAAU&#10;AAAACACHTuJA0Ta3iGACAACTBAAADgAAAAAAAAABACAAAAAqAQAAZHJzL2Uyb0RvYy54bWxQSwUG&#10;AAAAAAYABgBZAQAA/AUAAAAA&#10;">
                      <v:fill on="f" focussize="0,0"/>
                      <v:stroke weight="1pt" color="#FF0000 [3204]" miterlimit="8" joinstyle="miter"/>
                      <v:imagedata o:title=""/>
                      <o:lock v:ext="edit" aspectratio="f"/>
                    </v:rect>
                  </w:pict>
                </mc:Fallback>
              </mc:AlternateContent>
            </w:r>
            <w:r>
              <w:rPr>
                <w:color w:val="000000" w:themeColor="text1"/>
                <w14:textFill>
                  <w14:solidFill>
                    <w14:schemeClr w14:val="tx1"/>
                  </w14:solidFill>
                </w14:textFill>
              </w:rPr>
              <w:drawing>
                <wp:inline distT="0" distB="0" distL="0" distR="0">
                  <wp:extent cx="5120640" cy="5067935"/>
                  <wp:effectExtent l="19050" t="19050" r="22860" b="18415"/>
                  <wp:docPr id="11452371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37166"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6105" cy="5093736"/>
                          </a:xfrm>
                          <a:prstGeom prst="rect">
                            <a:avLst/>
                          </a:prstGeom>
                          <a:noFill/>
                          <a:ln>
                            <a:solidFill>
                              <a:schemeClr val="tx1"/>
                            </a:solid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施工方案</w:t>
            </w:r>
          </w:p>
        </w:tc>
        <w:tc>
          <w:tcPr>
            <w:tcW w:w="8629" w:type="dxa"/>
          </w:tcPr>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施工方案</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.4.1 </w:t>
            </w:r>
            <w:r>
              <w:rPr>
                <w:rFonts w:hint="eastAsia"/>
                <w:color w:val="000000" w:themeColor="text1"/>
                <w14:textFill>
                  <w14:solidFill>
                    <w14:schemeClr w14:val="tx1"/>
                  </w14:solidFill>
                </w14:textFill>
              </w:rPr>
              <w:t>施工交通运输</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.4.1.1 </w:t>
            </w:r>
            <w:r>
              <w:rPr>
                <w:rFonts w:hint="eastAsia"/>
                <w:color w:val="000000" w:themeColor="text1"/>
                <w14:textFill>
                  <w14:solidFill>
                    <w14:schemeClr w14:val="tx1"/>
                  </w14:solidFill>
                </w14:textFill>
              </w:rPr>
              <w:t>运输道路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曲靖市待补风电场二期项目位于会泽县待补镇、驾车乡、上村乡的山脊上，场址中心距会泽县直线</w:t>
            </w:r>
            <w:r>
              <w:rPr>
                <w:color w:val="000000" w:themeColor="text1"/>
                <w14:textFill>
                  <w14:solidFill>
                    <w14:schemeClr w14:val="tx1"/>
                  </w14:solidFill>
                </w14:textFill>
              </w:rPr>
              <w:t>距离约26</w:t>
            </w:r>
            <w:r>
              <w:rPr>
                <w:rFonts w:hint="eastAsia"/>
                <w:color w:val="000000" w:themeColor="text1"/>
                <w14:textFill>
                  <w14:solidFill>
                    <w14:schemeClr w14:val="tx1"/>
                  </w14:solidFill>
                </w14:textFill>
              </w:rPr>
              <w:t>km，场</w:t>
            </w:r>
            <w:r>
              <w:rPr>
                <w:color w:val="000000" w:themeColor="text1"/>
                <w14:textFill>
                  <w14:solidFill>
                    <w14:schemeClr w14:val="tx1"/>
                  </w14:solidFill>
                </w14:textFill>
              </w:rPr>
              <w:t>址附近有雨碌乡。</w:t>
            </w:r>
            <w:r>
              <w:rPr>
                <w:rFonts w:hint="eastAsia"/>
                <w:color w:val="000000" w:themeColor="text1"/>
                <w14:textFill>
                  <w14:solidFill>
                    <w14:schemeClr w14:val="tx1"/>
                  </w14:solidFill>
                </w14:textFill>
              </w:rPr>
              <w:t>场址西侧</w:t>
            </w:r>
            <w:r>
              <w:rPr>
                <w:color w:val="000000" w:themeColor="text1"/>
                <w14:textFill>
                  <w14:solidFill>
                    <w14:schemeClr w14:val="tx1"/>
                  </w14:solidFill>
                </w14:textFill>
              </w:rPr>
              <w:t>有</w:t>
            </w:r>
            <w:r>
              <w:rPr>
                <w:rFonts w:hint="eastAsia"/>
                <w:color w:val="000000" w:themeColor="text1"/>
                <w14:textFill>
                  <w14:solidFill>
                    <w14:schemeClr w14:val="tx1"/>
                  </w14:solidFill>
                </w14:textFill>
              </w:rPr>
              <w:t>G85</w:t>
            </w:r>
            <w:r>
              <w:rPr>
                <w:color w:val="000000" w:themeColor="text1"/>
                <w14:textFill>
                  <w14:solidFill>
                    <w14:schemeClr w14:val="tx1"/>
                  </w14:solidFill>
                </w14:textFill>
              </w:rPr>
              <w:t>高速道路，</w:t>
            </w:r>
            <w:r>
              <w:rPr>
                <w:rFonts w:hint="eastAsia"/>
                <w:color w:val="000000" w:themeColor="text1"/>
                <w14:textFill>
                  <w14:solidFill>
                    <w14:schemeClr w14:val="tx1"/>
                  </w14:solidFill>
                </w14:textFill>
              </w:rPr>
              <w:t>嵩待线从</w:t>
            </w:r>
            <w:r>
              <w:rPr>
                <w:color w:val="000000" w:themeColor="text1"/>
                <w14:textFill>
                  <w14:solidFill>
                    <w14:schemeClr w14:val="tx1"/>
                  </w14:solidFill>
                </w14:textFill>
              </w:rPr>
              <w:t>场址</w:t>
            </w:r>
            <w:r>
              <w:rPr>
                <w:rFonts w:hint="eastAsia"/>
                <w:color w:val="000000" w:themeColor="text1"/>
                <w14:textFill>
                  <w14:solidFill>
                    <w14:schemeClr w14:val="tx1"/>
                  </w14:solidFill>
                </w14:textFill>
              </w:rPr>
              <w:t>西</w:t>
            </w:r>
            <w:r>
              <w:rPr>
                <w:color w:val="000000" w:themeColor="text1"/>
                <w14:textFill>
                  <w14:solidFill>
                    <w14:schemeClr w14:val="tx1"/>
                  </w14:solidFill>
                </w14:textFill>
              </w:rPr>
              <w:t>侧和中部穿过</w:t>
            </w:r>
            <w:r>
              <w:rPr>
                <w:rFonts w:hint="eastAsia"/>
                <w:color w:val="000000" w:themeColor="text1"/>
                <w14:textFill>
                  <w14:solidFill>
                    <w14:schemeClr w14:val="tx1"/>
                  </w14:solidFill>
                </w14:textFill>
              </w:rPr>
              <w:t>，场址内有较多</w:t>
            </w:r>
            <w:r>
              <w:rPr>
                <w:color w:val="000000" w:themeColor="text1"/>
                <w14:textFill>
                  <w14:solidFill>
                    <w14:schemeClr w14:val="tx1"/>
                  </w14:solidFill>
                </w14:textFill>
              </w:rPr>
              <w:t>简易公路</w:t>
            </w:r>
            <w:r>
              <w:rPr>
                <w:rFonts w:hint="eastAsia"/>
                <w:color w:val="000000" w:themeColor="text1"/>
                <w14:textFill>
                  <w14:solidFill>
                    <w14:schemeClr w14:val="tx1"/>
                  </w14:solidFill>
                </w14:textFill>
              </w:rPr>
              <w:t>、乡村道路分布，本</w:t>
            </w:r>
            <w:r>
              <w:rPr>
                <w:color w:val="000000" w:themeColor="text1"/>
                <w14:textFill>
                  <w14:solidFill>
                    <w14:schemeClr w14:val="tx1"/>
                  </w14:solidFill>
                </w14:textFill>
              </w:rPr>
              <w:t>项目对外交通</w:t>
            </w:r>
            <w:r>
              <w:rPr>
                <w:rFonts w:hint="eastAsia"/>
                <w:color w:val="000000" w:themeColor="text1"/>
                <w14:textFill>
                  <w14:solidFill>
                    <w14:schemeClr w14:val="tx1"/>
                  </w14:solidFill>
                </w14:textFill>
              </w:rPr>
              <w:t>条件</w:t>
            </w:r>
            <w:r>
              <w:rPr>
                <w:color w:val="000000" w:themeColor="text1"/>
                <w14:textFill>
                  <w14:solidFill>
                    <w14:schemeClr w14:val="tx1"/>
                  </w14:solidFill>
                </w14:textFill>
              </w:rPr>
              <w:t>较为便利</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（1）驾车片区：昆明市--待补收费站--通村公路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改扩建农村公路-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新建进场道路</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#风机。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（2）待补片区：昆明市--待补收费站--通村公路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改扩建农村公路-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新建进场道路</w:t>
            </w:r>
            <w:r>
              <w:rPr>
                <w:color w:val="000000" w:themeColor="text1"/>
                <w14:textFill>
                  <w14:solidFill>
                    <w14:schemeClr w14:val="tx1"/>
                  </w14:solidFill>
                </w14:textFill>
              </w:rPr>
              <w:t>—47#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#风机。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（3）待补片区：昆明市--待补收费站--通村公路--森林防火通道-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新建进场道路</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#风机。</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.4.1.2 </w:t>
            </w:r>
            <w:r>
              <w:rPr>
                <w:rFonts w:hint="eastAsia"/>
                <w:color w:val="000000" w:themeColor="text1"/>
                <w14:textFill>
                  <w14:solidFill>
                    <w14:schemeClr w14:val="tx1"/>
                  </w14:solidFill>
                </w14:textFill>
              </w:rPr>
              <w:t>大件运输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（1）运输重量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拟建项目重大件主要为风力发电机组组件及塔筒等，根据项目初选的机电设备，其重大件见表2.4-1。</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表2.4-1  项目风电机组大件运输一览表</w:t>
            </w:r>
          </w:p>
          <w:tbl>
            <w:tblPr>
              <w:tblStyle w:val="21"/>
              <w:tblW w:w="8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0"/>
              <w:gridCol w:w="3598"/>
              <w:gridCol w:w="681"/>
              <w:gridCol w:w="34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 w:hRule="atLeast"/>
              </w:trPr>
              <w:tc>
                <w:tcPr>
                  <w:tcW w:w="680"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59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68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件数</w:t>
                  </w:r>
                </w:p>
              </w:tc>
              <w:tc>
                <w:tcPr>
                  <w:tcW w:w="342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单件重量（t）（5</w:t>
                  </w:r>
                  <w:r>
                    <w:rPr>
                      <w:color w:val="000000" w:themeColor="text1"/>
                      <w14:textFill>
                        <w14:solidFill>
                          <w14:schemeClr w14:val="tx1"/>
                        </w14:solidFill>
                      </w14:textFill>
                    </w:rPr>
                    <w:t>.5MW/6.7MW</w:t>
                  </w: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80"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59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风电机组（含发电机、转轮系统）</w:t>
                  </w:r>
                </w:p>
              </w:tc>
              <w:tc>
                <w:tcPr>
                  <w:tcW w:w="68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w:t>
                  </w:r>
                </w:p>
              </w:tc>
              <w:tc>
                <w:tcPr>
                  <w:tcW w:w="3424"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250t/260t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80"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59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塔架</w:t>
                  </w:r>
                </w:p>
              </w:tc>
              <w:tc>
                <w:tcPr>
                  <w:tcW w:w="681"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3424"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290.55t/316.30t</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（2）运输车辆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①常规运输车辆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机舱及轮毂运输：采用发动机功率在460马力以上的单桥牵引车头和双桥运输平板车厢。平板车厢无特殊要求，以设备装车后总体不超限为准。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叶片运输：使用发动机功率在400马力以上双桥牵引车头配改装平板车厢，车身总长达40m以上。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塔筒运输：根据具体设计，塔筒的尺寸和重量都有较大的不同。40t以上的塔筒采用发动机功率在400马力以上的牵引车头和重型运输平板车厢。牵引车头与车厢之间使用特制钢架硬性连接。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②特种运输车辆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特种运输车辆指经过特殊改装的双向式自行平板特殊车辆，采用此特殊车辆用于运输叶片，运输过程中可以将叶片进行上下举升、左右旋转，通过举升装置举升后，可有效降低叶片的空间扫空范围，通过左右旋转，进</w:t>
            </w:r>
            <w:r>
              <w:rPr>
                <w:rFonts w:hint="eastAsia"/>
                <w:color w:val="000000" w:themeColor="text1"/>
                <w:lang w:eastAsia="zh-CN"/>
                <w14:textFill>
                  <w14:solidFill>
                    <w14:schemeClr w14:val="tx1"/>
                  </w14:solidFill>
                </w14:textFill>
              </w:rPr>
              <w:t>一</w:t>
            </w:r>
            <w:r>
              <w:rPr>
                <w:rFonts w:hint="eastAsia"/>
                <w:color w:val="000000" w:themeColor="text1"/>
                <w14:textFill>
                  <w14:solidFill>
                    <w14:schemeClr w14:val="tx1"/>
                  </w14:solidFill>
                </w14:textFill>
              </w:rPr>
              <w:t>步提高避开障碍的能力。采用特种运输车辆进行叶片运输，可降低对运输道路的要求，从而减少道路改扩建、降低新建道路投资。</w:t>
            </w:r>
          </w:p>
          <w:p>
            <w:pPr>
              <w:ind w:firstLine="480"/>
              <w:rPr>
                <w:color w:val="000000" w:themeColor="text1"/>
                <w14:textFill>
                  <w14:solidFill>
                    <w14:schemeClr w14:val="tx1"/>
                  </w14:solidFill>
                </w14:textFill>
              </w:rPr>
            </w:pP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施工生产生活区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（1）施工营地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本工程施工分散，工期较短，且工程区距离待补镇或驾车乡较近，交通方便，不考虑在现场设单独施工营地、承包商营地等。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（2）材料堆场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根据设计资料，主体工程考虑到运输和风机分布情况，配置设备材料临时堆放场，主要作为小型部件如钢材、板材及其他建筑材料的场地，本项目主要利用风机平台作为设备材料临时堆放场，均不新增占地。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（3）表土堆场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满足施工临时占地植被恢复需求，在施工准备期间，对施工扰动范围内的表土进行收集和加以保护，以作施工结束后植被恢复用土。为做好表土的临时堆存，依据就近堆置的原则，表土临时堆存点均设置于风机平台，不新增占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项目弃渣场依托一期工程已批复的1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弃渣场，项目不另设弃渣场。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（5）砂石料场及混凝土拌合系统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项目使用商品混凝土，不设砂石料场及混凝土拌合系统。</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.4.3 </w:t>
            </w:r>
            <w:r>
              <w:rPr>
                <w:rFonts w:hint="eastAsia"/>
                <w:color w:val="000000" w:themeColor="text1"/>
                <w14:textFill>
                  <w14:solidFill>
                    <w14:schemeClr w14:val="tx1"/>
                  </w14:solidFill>
                </w14:textFill>
              </w:rPr>
              <w:t>施工条件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）施工用电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项目施工用电分散，项目无集中施工点，采用移动式柴油发电机供电。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）施工用水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场址地处山顶，无较好的天然水源地，场址内地表无出露泉水。施工用水采用罐车从场外附近的村庄取水，运输至施工现场的方式供应。</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.4.4 </w:t>
            </w:r>
            <w:r>
              <w:rPr>
                <w:rFonts w:hint="eastAsia"/>
                <w:color w:val="000000" w:themeColor="text1"/>
                <w14:textFill>
                  <w14:solidFill>
                    <w14:schemeClr w14:val="tx1"/>
                  </w14:solidFill>
                </w14:textFill>
              </w:rPr>
              <w:t>施工工艺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首先要修建施工道路、平整场地、安装平台施工，然后施工工程主体部分——风电机组施工、箱变施工、输电线路施工等，各箱变出线接入35kV母线送至升压站。项目施工过程中会产生施工扬尘、噪声和弃渣等，项目施工工艺流程及产污节点示意图见图2.4-1，运营期工艺流程及产污节点图见图2.4-2。</w:t>
            </w:r>
          </w:p>
          <w:p>
            <w:pPr>
              <w:pStyle w:val="29"/>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108pt;width:405.75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r:id="rId19">
                  <o:LockedField>false</o:LockedField>
                </o:OLEObject>
              </w:object>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图2.4-1  项目施工工艺流程及产污节点图</w:t>
            </w:r>
          </w:p>
          <w:p>
            <w:pPr>
              <w:pStyle w:val="29"/>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57.75pt;width:345.75pt;" o:ole="t" filled="f" o:preferrelative="t" stroked="f" coordsize="21600,21600">
                  <v:path/>
                  <v:fill on="f" focussize="0,0"/>
                  <v:stroke on="f" joinstyle="miter"/>
                  <v:imagedata r:id="rId22" o:title=""/>
                  <o:lock v:ext="edit" aspectratio="t"/>
                  <w10:wrap type="none"/>
                  <w10:anchorlock/>
                </v:shape>
                <o:OLEObject Type="Embed" ProgID="Visio.Drawing.15" ShapeID="_x0000_i1026" DrawAspect="Content" ObjectID="_1468075726" r:id="rId21">
                  <o:LockedField>false</o:LockedField>
                </o:OLEObject>
              </w:object>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运营期工艺流程及产污节点图</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2.4.4.1 风电机组基础施工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顺序：定位放线→基础机械开挖→人工清理修正→基槽验收→垫层混凝土浇筑及定位钢板预埋→放线→预应力锚栓组合件安装→基础钢筋绑扎→预埋管、件安装→支模→基础混凝土浇筑→高强二次灌浆→拆模→验收→土方回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（1）基础开挖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土方采用机械开挖为主，人工开挖为辅，从上至下分层进行。石方采用小药量爆破，开挖方式按常规进行。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（2）垫层混凝土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基坑开挖到位并验收合格后及时进行基础垫层混凝土浇筑，以形成对基坑的保护，浇筑前，应清除杂物、浮渣、平整仓面、夯实、找平，然后进行混凝土浇筑。同时，须根据设计图纸要求预埋定位钢板。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（3）预应力锚栓组合件安装</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预应力锚栓组合件安装施工工序：预埋件埋设→下锚板安装和固定→预应力锚栓安装→上锚板安装→锚栓组合件整体找正→锚栓组合件固定。</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（4）基础混凝土浇筑及高强二次灌浆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①混凝土采用商品混凝土、罐车运输、泵车入仓、插入式振捣器振捣的浇筑施工方式。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②混凝土浇筑时不允许出现施工缝，主体砼要求一次浇筑完成。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③要保证大体积混凝土基础的整体性。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防止破坏锚栓组合件安装精度；防止混凝土污染锚栓和上锚板上平面；下锚板上方和上锚板下方混凝土应加强振捣，每层振捣厚度不大于300mm，上下锚板处锚栓每个间隔都振捣；筒内地面网片钢筋留人孔，以便下人振捣下锚板下方混凝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⑤钢筋在浇筑前必须清理干净，以保证混凝土和钢筋的粘结力。</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⑥混凝土浇筑时采取措施确保自下而上分层浇筑，浇筑时应控制混凝土均匀上升，避免混凝土由于上升高度不一致对螺栓支撑架产生侧压力。</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⑦为保证锚栓组合件最终的安装结果准确无误，混凝土浇筑中用测量仪器加强监测，以使上锚板平整度精度不变。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⑧施工时分层浇筑、分层振捣，必须保证上下层混凝土在初凝之前结合良好，不致形成施工缝。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⑨混凝土施工前要了解掌握天气情况，降雨时不宜进行混凝土浇筑，尽量避免冬期施工。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⑩主体混凝土浇筑三天以上方可进行高强二次灌浆施工；灌浆料的选材、施工、养护应严格按设计说明和《水泥基灌浆材料应用技术规范GB/T50448-2015》执行。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（5）混凝土养护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①基础混凝土浇筑完成，应及时进行覆盖，模板拆除后要及时对立模处进行回填以加强保温保湿养护。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②混凝土浇筑完成后，应进行洒水保湿、覆盖、保温养护，保持混凝土表面湿润，养护用水要求与拌合用水要求相同。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③应保持灌浆材料处于湿润状态，养护时间不得少于7天，养护措施应根据产品要求的方法执行。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④混凝土养护时间大于14天。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⑤混凝土养护时间大于21天后，才允许安装上部塔筒；混凝土应达到100%设计强度后，才允许进行风机机组吊装。</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（6）土方回填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基础施工完毕，在混凝土强度达到设计要求并经隐蔽工程验收之后，及时进行土方回填。土方回填采用汽车运输、人工分层回填、机械夯实的方式。另外，基坑回填前必须先清除基坑底的杂物。</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2.4.4.2 风电机组的安装</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风电机组轮毂安装高度为</w:t>
            </w:r>
            <w:r>
              <w:rPr>
                <w:color w:val="000000" w:themeColor="text1"/>
                <w14:textFill>
                  <w14:solidFill>
                    <w14:schemeClr w14:val="tx1"/>
                  </w14:solidFill>
                </w14:textFill>
              </w:rPr>
              <w:t>115</w:t>
            </w:r>
            <w:r>
              <w:rPr>
                <w:rFonts w:hint="eastAsia"/>
                <w:color w:val="000000" w:themeColor="text1"/>
                <w14:textFill>
                  <w14:solidFill>
                    <w14:schemeClr w14:val="tx1"/>
                  </w14:solidFill>
                </w14:textFill>
              </w:rPr>
              <w:t>m，总共需安装2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台单机容量为</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MW和1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台单机容量为5</w:t>
            </w:r>
            <w:r>
              <w:rPr>
                <w:color w:val="000000" w:themeColor="text1"/>
                <w14:textFill>
                  <w14:solidFill>
                    <w14:schemeClr w14:val="tx1"/>
                  </w14:solidFill>
                </w14:textFill>
              </w:rPr>
              <w:t>.5MW</w:t>
            </w:r>
            <w:r>
              <w:rPr>
                <w:rFonts w:hint="eastAsia"/>
                <w:color w:val="000000" w:themeColor="text1"/>
                <w14:textFill>
                  <w14:solidFill>
                    <w14:schemeClr w14:val="tx1"/>
                  </w14:solidFill>
                </w14:textFill>
              </w:rPr>
              <w:t>的风机。每个机位所需安装的主要部件包括：机舱、风轮（包括轮毂及叶片）、塔架。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根据现场的地形、场内道路规划条件、安装部件重量及起吊高度等要求，配置2套吊装设备，每套吊装设备为主吊1台，辅吊2台。主吊选用</w:t>
            </w:r>
            <w:r>
              <w:rPr>
                <w:color w:val="000000" w:themeColor="text1"/>
                <w14:textFill>
                  <w14:solidFill>
                    <w14:schemeClr w14:val="tx1"/>
                  </w14:solidFill>
                </w14:textFill>
              </w:rPr>
              <w:t>1100</w:t>
            </w:r>
            <w:r>
              <w:rPr>
                <w:rFonts w:hint="eastAsia"/>
                <w:color w:val="000000" w:themeColor="text1"/>
                <w14:textFill>
                  <w14:solidFill>
                    <w14:schemeClr w14:val="tx1"/>
                  </w14:solidFill>
                </w14:textFill>
              </w:rPr>
              <w:t>吨履带吊，辅吊选用300吨汽车吊。</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2.4.4.3 箱式变压站的安装</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拟建项目采用风力发电机与箱式变电站组合的“一机一变”的单元接线方式，共需安装箱式变压站</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个。箱式变压器在现场进行吊装，由汽车吊一次吊装到位，进出线做好防水措施。具体安装要求和方法参照相关安装规范以及生产厂家提供的相关安装技术要求和方法。</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2.4.4.4 集电线路施工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拟建项目35kV集电线路采用直埋电缆形式。所有控制电缆和电力电缆的施工，按设计要求和相关规范进行。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埋电缆敷设于电缆沟内，电缆沟截面尺寸1.2m×1.2m，沿新建道路、改扩建道路、乡村道路及防火通道并排敷设。直埋电缆施工顺序为先挖沟，在电缆及光缆上下表面100mm厚度敷设软沙加以保护，然后回填土，回填土要夯实，电缆壕沟做防水帽，高度不小于300mm。回填土不得为带有垃圾、带有腐蚀性及带有尖硬物体的土壤。</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2.4.4.5 升压站施工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本次在一期2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kV升压站预留主变位置安装1台主变压器，主变压器安装前编制变压器具体细致的作业指导书，并进行技术交底，准备好施工所用机械和材料等。安装过程中要严格按照规范、规程以及作业指导书进行施工。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变压器的就位：采用汽车吊一次就位。安装时要合理安排工序，提高工作效率，以减少暴露时间。安装中要注意密封，器身检查时必须严格按规范及厂家指导书要求进行。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变压器安装时要认真检查附件的完好性。避免不必要的返工，套管吊装时应采取有效措施，防止瓷套和引线损伤。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绝缘油处理是变压器安装中的一个重要环节，绝缘油过滤的好坏直接影响变压器、高抗的最终运行质量，必须加以重视。在安装过程中要注意管道、冷却装置、油枕的清洁和整个管路的密封。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变压器试验合格后，并做好套管的封堵，要求防火、屏蔽、密封且在单个套管穿墙处不能有磁闭合回路。</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2.4.4.6 风机安装平台施工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安装平台多数地处山顶，为降低工程造价，减少挡护工程量，平台开挖后的边坡以自然稳定为主。平台挖方区岩性主要为夹砂岩、页岩，挖方边坡坡比采用1:1，填方边坡坡比采用1:</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；同时，当开挖遇地质条件较好的岩石边坡时，可根据现场实际情况和相关规程规范，适当放小开挖边坡坡比。</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平台施工前应清理开挖项目区域内的树根、杂草、垃圾及监理人指明的其</w:t>
            </w:r>
            <w:r>
              <w:rPr>
                <w:rFonts w:hint="eastAsia"/>
                <w:color w:val="000000" w:themeColor="text1"/>
                <w:lang w:eastAsia="zh-CN"/>
                <w14:textFill>
                  <w14:solidFill>
                    <w14:schemeClr w14:val="tx1"/>
                  </w14:solidFill>
                </w14:textFill>
              </w:rPr>
              <w:t>他</w:t>
            </w:r>
            <w:r>
              <w:rPr>
                <w:rFonts w:hint="eastAsia"/>
                <w:color w:val="000000" w:themeColor="text1"/>
                <w14:textFill>
                  <w14:solidFill>
                    <w14:schemeClr w14:val="tx1"/>
                  </w14:solidFill>
                </w14:textFill>
              </w:rPr>
              <w:t>碍物。同时应注意保护清理区域附近天然植被，不得造成清理区域附近的环境破坏。严格按照设计边坡坡率进行开挖，开挖后的边坡岩土（石）表面应干净、粗糙，保证不受扰动。所有松散岩土（石）均应予以清除，清除的岩土后期用于回填。</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2.4.4.7 道路施工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道路施工工艺为：测量放线→路基开挖及回填→场地平整→泥结碎石路面→回填及夯实。</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道路路基：土方采用机械开挖为主，人工开挖为辅，从上至下分层进行。自上而下逐层开挖，推土机集渣，开挖渣料采用挖掘机挖装自卸汽车出渣。开挖渣料除用于部分路基回填外，多余部分做弃渣处理。填方区域地形陡峻部位采用浆砌石挡墙护脚，挡墙浆砌石采用人工砌筑。路基场地平整采用70kW推土机推平，将高处土方就近推至低处，使场地平整。推土机推平后，辅以人工整平，使路基达到设计要求的平整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道路路面：拟建项目改扩建进场道路总长约</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m，新建进场施工道路总长约9.2km。路面宽</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m，路基宽</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m，泥结石路面。道路布置尽量沿场地相对平缓的地带进行，以保证路基挖填高度相对较小，填方路基拟采用自然放坡，局部高填路段设置少量路肩挡墙；挖方路基拟采用自然放坡，局部采取边坡支护措施。由于场地地质情况较为复杂，路基形式需要根据地质工作提供的详细勘测资料予以确定。</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.4.5 </w:t>
            </w:r>
            <w:r>
              <w:rPr>
                <w:rFonts w:hint="eastAsia"/>
                <w:color w:val="000000" w:themeColor="text1"/>
                <w14:textFill>
                  <w14:solidFill>
                    <w14:schemeClr w14:val="tx1"/>
                  </w14:solidFill>
                </w14:textFill>
              </w:rPr>
              <w:t>施工进度安排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据本项目的工程特点和施工条件，为提高投资效益，对项目的实施作出初步规划。工程建设总工期为18个月，即1.5年，其中，施工准备期为3个月，施工期为15个月，即项目施工周期为202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月至2025年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月。具体工程进度见下表。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工程建设进度安排表</w:t>
            </w:r>
          </w:p>
          <w:tbl>
            <w:tblPr>
              <w:tblStyle w:val="20"/>
              <w:tblW w:w="838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91"/>
              <w:gridCol w:w="2228"/>
              <w:gridCol w:w="1043"/>
              <w:gridCol w:w="1175"/>
              <w:gridCol w:w="1175"/>
              <w:gridCol w:w="1175"/>
              <w:gridCol w:w="7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228"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进度</w:t>
                  </w:r>
                </w:p>
                <w:p>
                  <w:pPr>
                    <w:pStyle w:val="29"/>
                    <w:rPr>
                      <w:color w:val="000000" w:themeColor="text1"/>
                      <w14:textFill>
                        <w14:solidFill>
                          <w14:schemeClr w14:val="tx1"/>
                        </w14:solidFill>
                      </w14:textFill>
                    </w:rPr>
                  </w:pPr>
                  <w:r>
                    <w:rPr>
                      <w:color w:val="000000" w:themeColor="text1"/>
                      <w14:textFill>
                        <w14:solidFill>
                          <w14:schemeClr w14:val="tx1"/>
                        </w14:solidFill>
                      </w14:textFill>
                    </w:rPr>
                    <w:t>阶段</w:t>
                  </w:r>
                </w:p>
              </w:tc>
              <w:tc>
                <w:tcPr>
                  <w:tcW w:w="3393" w:type="dxa"/>
                  <w:gridSpan w:val="3"/>
                  <w:tcBorders>
                    <w:left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2024年</w:t>
                  </w:r>
                </w:p>
              </w:tc>
              <w:tc>
                <w:tcPr>
                  <w:tcW w:w="1971" w:type="dxa"/>
                  <w:gridSpan w:val="2"/>
                  <w:tcBorders>
                    <w:lef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2025年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791" w:type="dxa"/>
                  <w:vMerge w:val="continue"/>
                  <w:shd w:val="clear" w:color="auto" w:fill="auto"/>
                  <w:vAlign w:val="center"/>
                </w:tcPr>
                <w:p>
                  <w:pPr>
                    <w:pStyle w:val="29"/>
                    <w:rPr>
                      <w:color w:val="000000" w:themeColor="text1"/>
                      <w14:textFill>
                        <w14:solidFill>
                          <w14:schemeClr w14:val="tx1"/>
                        </w14:solidFill>
                      </w14:textFill>
                    </w:rPr>
                  </w:pPr>
                </w:p>
              </w:tc>
              <w:tc>
                <w:tcPr>
                  <w:tcW w:w="2228" w:type="dxa"/>
                  <w:vMerge w:val="continue"/>
                  <w:shd w:val="clear" w:color="auto" w:fill="auto"/>
                  <w:vAlign w:val="center"/>
                </w:tcPr>
                <w:p>
                  <w:pPr>
                    <w:pStyle w:val="29"/>
                    <w:rPr>
                      <w:color w:val="000000" w:themeColor="text1"/>
                      <w14:textFill>
                        <w14:solidFill>
                          <w14:schemeClr w14:val="tx1"/>
                        </w14:solidFill>
                      </w14:textFill>
                    </w:rPr>
                  </w:pPr>
                </w:p>
              </w:tc>
              <w:tc>
                <w:tcPr>
                  <w:tcW w:w="1043" w:type="dxa"/>
                  <w:tcBorders>
                    <w:left w:val="single" w:color="auto" w:sz="4" w:space="0"/>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1~3月</w:t>
                  </w: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4~8月</w:t>
                  </w:r>
                </w:p>
              </w:tc>
              <w:tc>
                <w:tcPr>
                  <w:tcW w:w="1175" w:type="dxa"/>
                  <w:tcBorders>
                    <w:right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9~12月</w:t>
                  </w:r>
                </w:p>
              </w:tc>
              <w:tc>
                <w:tcPr>
                  <w:tcW w:w="1175" w:type="dxa"/>
                  <w:tcBorders>
                    <w:left w:val="single" w:color="auto" w:sz="4" w:space="0"/>
                    <w:right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1~3月</w:t>
                  </w:r>
                </w:p>
              </w:tc>
              <w:tc>
                <w:tcPr>
                  <w:tcW w:w="796" w:type="dxa"/>
                  <w:tcBorders>
                    <w:left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4~6月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施工准备期</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25400</wp:posOffset>
                            </wp:positionH>
                            <wp:positionV relativeFrom="paragraph">
                              <wp:posOffset>120015</wp:posOffset>
                            </wp:positionV>
                            <wp:extent cx="502285" cy="0"/>
                            <wp:effectExtent l="15875" t="15240" r="15240" b="13335"/>
                            <wp:wrapNone/>
                            <wp:docPr id="24" name="直接箭头连接符 24"/>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2pt;margin-top:9.45pt;height:0pt;width:39.55pt;z-index:251663360;mso-width-relative:page;mso-height-relative:page;" filled="f" stroked="t" coordsize="21600,21600" o:gfxdata="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1CcP0QAAAAYBAAAPAAAAAAAAAAEAIAAA&#10;ACIAAABkcnMvZG93bnJldi54bWxQSwECFAAUAAAACACHTuJAHEyyEtoBAAByAwAADgAAAAAAAAAB&#10;ACAAAAAgAQAAZHJzL2Uyb0RvYy54bWxQSwUGAAAAAAYABgBZAQAAbAUAAAAA&#10;">
                            <v:fill on="f" focussize="0,0"/>
                            <v:stroke weight="1.5pt" color="#000000" joinstyle="round"/>
                            <v:imagedata o:title=""/>
                            <o:lock v:ext="edit" aspectratio="f"/>
                          </v:shape>
                        </w:pict>
                      </mc:Fallback>
                    </mc:AlternateContent>
                  </w: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场内道路施工</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szCs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428625</wp:posOffset>
                            </wp:positionH>
                            <wp:positionV relativeFrom="paragraph">
                              <wp:posOffset>96520</wp:posOffset>
                            </wp:positionV>
                            <wp:extent cx="1236345" cy="0"/>
                            <wp:effectExtent l="9525" t="10795" r="11430" b="17780"/>
                            <wp:wrapNone/>
                            <wp:docPr id="23" name="直接箭头连接符 23"/>
                            <wp:cNvGraphicFramePr/>
                            <a:graphic xmlns:a="http://schemas.openxmlformats.org/drawingml/2006/main">
                              <a:graphicData uri="http://schemas.microsoft.com/office/word/2010/wordprocessingShape">
                                <wps:wsp>
                                  <wps:cNvCnPr>
                                    <a:cxnSpLocks noChangeShapeType="1"/>
                                  </wps:cNvCnPr>
                                  <wps:spPr bwMode="auto">
                                    <a:xfrm>
                                      <a:off x="0" y="0"/>
                                      <a:ext cx="123634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33.75pt;margin-top:7.6pt;height:0pt;width:97.35pt;z-index:251664384;mso-width-relative:page;mso-height-relative:page;" filled="f" stroked="t" coordsize="21600,21600" o:gfxdata="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lLHn0gAAAAgBAAAPAAAAAAAAAAEA&#10;IAAAACIAAABkcnMvZG93bnJldi54bWxQSwECFAAUAAAACACHTuJAmfR0ZtwBAABzAwAADgAAAAAA&#10;AAABACAAAAAhAQAAZHJzL2Uyb0RvYy54bWxQSwUGAAAAAAYABgBZAQAAbwUAAAAA&#10;">
                            <v:fill on="f" focussize="0,0"/>
                            <v:stroke weight="1.5pt" color="#000000" joinstyle="round"/>
                            <v:imagedata o:title=""/>
                            <o:lock v:ext="edit" aspectratio="f"/>
                          </v:shape>
                        </w:pict>
                      </mc:Fallback>
                    </mc:AlternateContent>
                  </w: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风机机组</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742315</wp:posOffset>
                            </wp:positionH>
                            <wp:positionV relativeFrom="paragraph">
                              <wp:posOffset>117475</wp:posOffset>
                            </wp:positionV>
                            <wp:extent cx="1672590" cy="0"/>
                            <wp:effectExtent l="18415" t="12700" r="13970" b="15875"/>
                            <wp:wrapNone/>
                            <wp:docPr id="22" name="直接箭头连接符 22"/>
                            <wp:cNvGraphicFramePr/>
                            <a:graphic xmlns:a="http://schemas.openxmlformats.org/drawingml/2006/main">
                              <a:graphicData uri="http://schemas.microsoft.com/office/word/2010/wordprocessingShape">
                                <wps:wsp>
                                  <wps:cNvCnPr>
                                    <a:cxnSpLocks noChangeShapeType="1"/>
                                  </wps:cNvCnPr>
                                  <wps:spPr bwMode="auto">
                                    <a:xfrm>
                                      <a:off x="0" y="0"/>
                                      <a:ext cx="1672590"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58.45pt;margin-top:9.25pt;height:0pt;width:131.7pt;z-index:251665408;mso-width-relative:page;mso-height-relative:page;" filled="f" stroked="t" coordsize="21600,21600" o:gfxdata="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6euP/0wAAAAkBAAAPAAAAAAAAAAEA&#10;IAAAACIAAABkcnMvZG93bnJldi54bWxQSwECFAAUAAAACACHTuJAEGs7YdsBAABzAwAADgAAAAAA&#10;AAABACAAAAAiAQAAZHJzL2Uyb0RvYy54bWxQSwUGAAAAAAYABgBZAQAAbwUAAAAA&#10;">
                            <v:fill on="f" focussize="0,0"/>
                            <v:stroke weight="1.5pt" color="#000000" joinstyle="round"/>
                            <v:imagedata o:title=""/>
                            <o:lock v:ext="edit" aspectratio="f"/>
                          </v:shape>
                        </w:pict>
                      </mc:Fallback>
                    </mc:AlternateContent>
                  </w: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3.1</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基础施工</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669925</wp:posOffset>
                            </wp:positionH>
                            <wp:positionV relativeFrom="paragraph">
                              <wp:posOffset>119380</wp:posOffset>
                            </wp:positionV>
                            <wp:extent cx="2263775" cy="0"/>
                            <wp:effectExtent l="12700" t="14605" r="9525" b="13970"/>
                            <wp:wrapNone/>
                            <wp:docPr id="20" name="直接箭头连接符 20"/>
                            <wp:cNvGraphicFramePr/>
                            <a:graphic xmlns:a="http://schemas.openxmlformats.org/drawingml/2006/main">
                              <a:graphicData uri="http://schemas.microsoft.com/office/word/2010/wordprocessingShape">
                                <wps:wsp>
                                  <wps:cNvCnPr>
                                    <a:cxnSpLocks noChangeShapeType="1"/>
                                  </wps:cNvCnPr>
                                  <wps:spPr bwMode="auto">
                                    <a:xfrm>
                                      <a:off x="0" y="0"/>
                                      <a:ext cx="226377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52.75pt;margin-top:9.4pt;height:0pt;width:178.25pt;z-index:251666432;mso-width-relative:page;mso-height-relative:page;" filled="f" stroked="t" coordsize="21600,21600" o:gfxdata="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fbpN0wAAAAkBAAAPAAAAAAAAAAEA&#10;IAAAACIAAABkcnMvZG93bnJldi54bWxQSwECFAAUAAAACACHTuJAljaxqdsBAABzAwAADgAAAAAA&#10;AAABACAAAAAiAQAAZHJzL2Uyb0RvYy54bWxQSwUGAAAAAAYABgBZAQAAbwUAAAAA&#10;">
                            <v:fill on="f" focussize="0,0"/>
                            <v:stroke weight="1.5pt" color="#000000" joinstyle="round"/>
                            <v:imagedata o:title=""/>
                            <o:lock v:ext="edit" aspectratio="f"/>
                          </v:shape>
                        </w:pict>
                      </mc:Fallback>
                    </mc:AlternateContent>
                  </w: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3.2</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主要设备运输</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88265</wp:posOffset>
                            </wp:positionV>
                            <wp:extent cx="260985" cy="0"/>
                            <wp:effectExtent l="16510" t="12065" r="17780" b="16510"/>
                            <wp:wrapNone/>
                            <wp:docPr id="19" name="直接箭头连接符 19"/>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11.05pt;margin-top:6.95pt;height:0pt;width:20.55pt;z-index:251667456;mso-width-relative:page;mso-height-relative:page;" filled="f" stroked="t" coordsize="21600,21600" o:gfxdata="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hABELRAAAABwEAAA8AAAAAAAAAAQAgAAAA&#10;IgAAAGRycy9kb3ducmV2LnhtbFBLAQIUABQAAAAIAIdO4kB00kK92QEAAHIDAAAOAAAAAAAAAAEA&#10;IAAAACABAABkcnMvZTJvRG9jLnhtbFBLBQYAAAAABgAGAFkBAABrBQAAAAA=&#10;">
                            <v:fill on="f" focussize="0,0"/>
                            <v:stroke weight="1.5pt" color="#000000" joinstyle="round"/>
                            <v:imagedata o:title=""/>
                            <o:lock v:ext="edit" aspectratio="f"/>
                          </v:shape>
                        </w:pict>
                      </mc:Fallback>
                    </mc:AlternateContent>
                  </w: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3.3</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风机机组安装及试运行</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172720</wp:posOffset>
                            </wp:positionH>
                            <wp:positionV relativeFrom="paragraph">
                              <wp:posOffset>99060</wp:posOffset>
                            </wp:positionV>
                            <wp:extent cx="1013460" cy="0"/>
                            <wp:effectExtent l="10795" t="13335" r="13970" b="15240"/>
                            <wp:wrapNone/>
                            <wp:docPr id="18" name="直接箭头连接符 18"/>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13.6pt;margin-top:7.8pt;height:0pt;width:79.8pt;z-index:251668480;mso-width-relative:page;mso-height-relative:page;" filled="f" stroked="t" coordsize="21600,21600" o:gfxdata="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JFem0gAAAAgBAAAPAAAAAAAAAAEAIAAA&#10;ACIAAABkcnMvZG93bnJldi54bWxQSwECFAAUAAAACACHTuJA3rSo9tkBAABzAwAADgAAAAAAAAAB&#10;ACAAAAAhAQAAZHJzL2Uyb0RvYy54bWxQSwUGAAAAAAYABgBZAQAAbAUAAAAA&#10;">
                            <v:fill on="f" focussize="0,0"/>
                            <v:stroke weight="1.5pt" color="#000000" joinstyle="round"/>
                            <v:imagedata o:title=""/>
                            <o:lock v:ext="edit" aspectratio="f"/>
                          </v:shape>
                        </w:pict>
                      </mc:Fallback>
                    </mc:AlternateContent>
                  </w: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集电线路</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751840</wp:posOffset>
                            </wp:positionH>
                            <wp:positionV relativeFrom="paragraph">
                              <wp:posOffset>107315</wp:posOffset>
                            </wp:positionV>
                            <wp:extent cx="1034415" cy="635"/>
                            <wp:effectExtent l="18415" t="12065" r="13970" b="15875"/>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a:off x="0" y="0"/>
                                      <a:ext cx="1034415" cy="63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59.2pt;margin-top:8.45pt;height:0.05pt;width:81.45pt;z-index:251669504;mso-width-relative:page;mso-height-relative:page;" filled="f" stroked="t" coordsize="21600,21600" o:gfxdata="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UTf8vUAAAACQEAAA8AAAAAAAAA&#10;AQAgAAAAIgAAAGRycy9kb3ducmV2LnhtbFBLAQIUABQAAAAIAIdO4kB0o1kL3AEAAHMDAAAOAAAA&#10;AAAAAAEAIAAAACMBAABkcnMvZTJvRG9jLnhtbFBLBQYAAAAABgAGAFkBAABxBQAAAAA=&#10;">
                            <v:fill on="f" focussize="0,0"/>
                            <v:stroke weight="1.5pt" color="#000000" joinstyle="round"/>
                            <v:imagedata o:title=""/>
                            <o:lock v:ext="edit" aspectratio="f"/>
                          </v:shape>
                        </w:pict>
                      </mc:Fallback>
                    </mc:AlternateContent>
                  </w: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6</w:t>
                  </w:r>
                </w:p>
              </w:tc>
              <w:tc>
                <w:tcPr>
                  <w:tcW w:w="2228" w:type="dxa"/>
                  <w:shd w:val="clear" w:color="auto" w:fill="auto"/>
                  <w:vAlign w:val="center"/>
                </w:tcPr>
                <w:p>
                  <w:pPr>
                    <w:pStyle w:val="29"/>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弃渣运输</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474980</wp:posOffset>
                            </wp:positionH>
                            <wp:positionV relativeFrom="paragraph">
                              <wp:posOffset>83820</wp:posOffset>
                            </wp:positionV>
                            <wp:extent cx="2707005" cy="0"/>
                            <wp:effectExtent l="0" t="0" r="0" b="0"/>
                            <wp:wrapNone/>
                            <wp:docPr id="1217872411" name="直接连接符 1"/>
                            <wp:cNvGraphicFramePr/>
                            <a:graphic xmlns:a="http://schemas.openxmlformats.org/drawingml/2006/main">
                              <a:graphicData uri="http://schemas.microsoft.com/office/word/2010/wordprocessingShape">
                                <wps:wsp>
                                  <wps:cNvCnPr/>
                                  <wps:spPr>
                                    <a:xfrm>
                                      <a:off x="0" y="0"/>
                                      <a:ext cx="27070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37.4pt;margin-top:6.6pt;height:0pt;width:213.15pt;z-index:251671552;mso-width-relative:page;mso-height-relative:page;" filled="f" stroked="t" coordsize="21600,21600" o:gfxdata="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dSWyNgAAAAIAQAADwAAAAAAAAABACAAAAAiAAAA&#10;ZHJzL2Rvd25yZXYueG1sUEsBAhQAFAAAAAgAh07iQEuLtWXOAQAAbQMAAA4AAAAAAAAAAQAgAAAA&#10;JwEAAGRycy9lMm9Eb2MueG1sUEsFBgAAAAAGAAYAWQEAAGcFAAAAAA==&#10;">
                            <v:fill on="f" focussize="0,0"/>
                            <v:stroke weight="1.5pt" color="#000000 [3213]" miterlimit="8" joinstyle="miter"/>
                            <v:imagedata o:title=""/>
                            <o:lock v:ext="edit" aspectratio="f"/>
                          </v:line>
                        </w:pict>
                      </mc:Fallback>
                    </mc:AlternateContent>
                  </w: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791" w:type="dxa"/>
                  <w:shd w:val="clear" w:color="auto" w:fill="auto"/>
                  <w:vAlign w:val="center"/>
                </w:tcPr>
                <w:p>
                  <w:pPr>
                    <w:pStyle w:val="29"/>
                    <w:rPr>
                      <w:color w:val="000000" w:themeColor="text1"/>
                      <w:kern w:val="0"/>
                      <w14:textFill>
                        <w14:solidFill>
                          <w14:schemeClr w14:val="tx1"/>
                        </w14:solidFill>
                      </w14:textFill>
                    </w:rPr>
                  </w:pPr>
                  <w:r>
                    <w:rPr>
                      <w:color w:val="000000" w:themeColor="text1"/>
                      <w:kern w:val="0"/>
                      <w14:textFill>
                        <w14:solidFill>
                          <w14:schemeClr w14:val="tx1"/>
                        </w14:solidFill>
                      </w14:textFill>
                    </w:rPr>
                    <w:t>7</w:t>
                  </w:r>
                </w:p>
              </w:tc>
              <w:tc>
                <w:tcPr>
                  <w:tcW w:w="2228" w:type="dxa"/>
                  <w:shd w:val="clear" w:color="auto" w:fill="auto"/>
                  <w:vAlign w:val="center"/>
                </w:tcPr>
                <w:p>
                  <w:pPr>
                    <w:pStyle w:val="29"/>
                    <w:rPr>
                      <w:color w:val="000000" w:themeColor="text1"/>
                      <w:kern w:val="0"/>
                      <w14:textFill>
                        <w14:solidFill>
                          <w14:schemeClr w14:val="tx1"/>
                        </w14:solidFill>
                      </w14:textFill>
                    </w:rPr>
                  </w:pPr>
                  <w:r>
                    <w:rPr>
                      <w:color w:val="000000" w:themeColor="text1"/>
                      <w14:textFill>
                        <w14:solidFill>
                          <w14:schemeClr w14:val="tx1"/>
                        </w14:solidFill>
                      </w14:textFill>
                    </w:rPr>
                    <w:t>收尾及竣工验收</w:t>
                  </w:r>
                </w:p>
              </w:tc>
              <w:tc>
                <w:tcPr>
                  <w:tcW w:w="1043" w:type="dxa"/>
                  <w:tcBorders>
                    <w:righ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tcBorders>
                    <w:left w:val="single" w:color="auto" w:sz="4" w:space="0"/>
                  </w:tcBorders>
                  <w:shd w:val="clear" w:color="auto" w:fill="auto"/>
                  <w:vAlign w:val="center"/>
                </w:tcPr>
                <w:p>
                  <w:pPr>
                    <w:pStyle w:val="29"/>
                    <w:rPr>
                      <w:color w:val="000000" w:themeColor="text1"/>
                      <w14:textFill>
                        <w14:solidFill>
                          <w14:schemeClr w14:val="tx1"/>
                        </w14:solidFill>
                      </w14:textFill>
                    </w:rPr>
                  </w:pPr>
                </w:p>
              </w:tc>
              <w:tc>
                <w:tcPr>
                  <w:tcW w:w="1175" w:type="dxa"/>
                  <w:vAlign w:val="center"/>
                </w:tcPr>
                <w:p>
                  <w:pPr>
                    <w:pStyle w:val="29"/>
                    <w:rPr>
                      <w:color w:val="000000" w:themeColor="text1"/>
                      <w14:textFill>
                        <w14:solidFill>
                          <w14:schemeClr w14:val="tx1"/>
                        </w14:solidFill>
                      </w14:textFill>
                    </w:rPr>
                  </w:pPr>
                </w:p>
              </w:tc>
              <w:tc>
                <w:tcPr>
                  <w:tcW w:w="1175" w:type="dxa"/>
                  <w:tcBorders>
                    <w:right w:val="single" w:color="auto" w:sz="4" w:space="0"/>
                  </w:tcBorders>
                  <w:vAlign w:val="center"/>
                </w:tcPr>
                <w:p>
                  <w:pPr>
                    <w:pStyle w:val="29"/>
                    <w:rPr>
                      <w:color w:val="000000" w:themeColor="text1"/>
                      <w14:textFill>
                        <w14:solidFill>
                          <w14:schemeClr w14:val="tx1"/>
                        </w14:solidFill>
                      </w14:textFill>
                    </w:rPr>
                  </w:pPr>
                </w:p>
              </w:tc>
              <w:tc>
                <w:tcPr>
                  <w:tcW w:w="796" w:type="dxa"/>
                  <w:tcBorders>
                    <w:left w:val="single" w:color="auto" w:sz="4" w:space="0"/>
                  </w:tcBorders>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250825</wp:posOffset>
                            </wp:positionH>
                            <wp:positionV relativeFrom="paragraph">
                              <wp:posOffset>66675</wp:posOffset>
                            </wp:positionV>
                            <wp:extent cx="259715" cy="0"/>
                            <wp:effectExtent l="12700" t="9525" r="13335" b="9525"/>
                            <wp:wrapNone/>
                            <wp:docPr id="1"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19.75pt;margin-top:5.25pt;height:0pt;width:20.45pt;z-index:251670528;mso-width-relative:page;mso-height-relative:page;" filled="f" stroked="t" coordsize="21600,21600" o:gfxdata="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GjgTrSAAAABwEAAA8AAAAAAAAAAQAgAAAA&#10;IgAAAGRycy9kb3ducmV2LnhtbFBLAQIUABQAAAAIAIdO4kBzhKQf2AEAAHADAAAOAAAAAAAAAAEA&#10;IAAAACEBAABkcnMvZTJvRG9jLnhtbFBLBQYAAAAABgAGAFkBAABrBQAAAAA=&#10;">
                            <v:fill on="f" focussize="0,0"/>
                            <v:stroke weight="1.5pt" color="#000000" joinstyle="round"/>
                            <v:imagedata o:title=""/>
                            <o:lock v:ext="edit" aspectratio="f"/>
                          </v:shape>
                        </w:pict>
                      </mc:Fallback>
                    </mc:AlternateContent>
                  </w:r>
                </w:p>
              </w:tc>
            </w:tr>
          </w:tbl>
          <w:p>
            <w:pPr>
              <w:pStyle w:val="35"/>
              <w:spacing w:before="156" w:after="156"/>
              <w:rPr>
                <w:color w:val="000000" w:themeColor="text1"/>
                <w14:textFill>
                  <w14:solidFill>
                    <w14:schemeClr w14:val="tx1"/>
                  </w14:solidFill>
                </w14:textFill>
              </w:rPr>
            </w:pP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.4.6 </w:t>
            </w:r>
            <w:r>
              <w:rPr>
                <w:rFonts w:hint="eastAsia"/>
                <w:color w:val="000000" w:themeColor="text1"/>
                <w14:textFill>
                  <w14:solidFill>
                    <w14:schemeClr w14:val="tx1"/>
                  </w14:solidFill>
                </w14:textFill>
              </w:rPr>
              <w:t>土石方平衡及渣场规划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（1）土石方平衡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根据工程水土保持方案，本工程建设期间共产生土石方开挖</w:t>
            </w:r>
            <w:r>
              <w:rPr>
                <w:color w:val="000000" w:themeColor="text1"/>
                <w14:textFill>
                  <w14:solidFill>
                    <w14:schemeClr w14:val="tx1"/>
                  </w14:solidFill>
                </w14:textFill>
              </w:rPr>
              <w:t>44.66</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（其中表土剥离5.</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，场平开挖</w:t>
            </w:r>
            <w:r>
              <w:rPr>
                <w:color w:val="000000" w:themeColor="text1"/>
                <w14:textFill>
                  <w14:solidFill>
                    <w14:schemeClr w14:val="tx1"/>
                  </w14:solidFill>
                </w14:textFill>
              </w:rPr>
              <w:t>14.76</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，基础开挖</w:t>
            </w:r>
            <w:r>
              <w:rPr>
                <w:color w:val="000000" w:themeColor="text1"/>
                <w14:textFill>
                  <w14:solidFill>
                    <w14:schemeClr w14:val="tx1"/>
                  </w14:solidFill>
                </w14:textFill>
              </w:rPr>
              <w:t>24.62</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）；回填</w:t>
            </w:r>
            <w:r>
              <w:rPr>
                <w:color w:val="000000" w:themeColor="text1"/>
                <w14:textFill>
                  <w14:solidFill>
                    <w14:schemeClr w14:val="tx1"/>
                  </w14:solidFill>
                </w14:textFill>
              </w:rPr>
              <w:t>30.94</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（其中表土回覆</w:t>
            </w:r>
            <w:r>
              <w:rPr>
                <w:color w:val="000000" w:themeColor="text1"/>
                <w14:textFill>
                  <w14:solidFill>
                    <w14:schemeClr w14:val="tx1"/>
                  </w14:solidFill>
                </w14:textFill>
              </w:rPr>
              <w:t>5.28</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，场平回填</w:t>
            </w:r>
            <w:r>
              <w:rPr>
                <w:color w:val="000000" w:themeColor="text1"/>
                <w14:textFill>
                  <w14:solidFill>
                    <w14:schemeClr w14:val="tx1"/>
                  </w14:solidFill>
                </w14:textFill>
              </w:rPr>
              <w:t>6.18</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，基础回填</w:t>
            </w:r>
            <w:r>
              <w:rPr>
                <w:color w:val="000000" w:themeColor="text1"/>
                <w14:textFill>
                  <w14:solidFill>
                    <w14:schemeClr w14:val="tx1"/>
                  </w14:solidFill>
                </w14:textFill>
              </w:rPr>
              <w:t>19.48</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），内部表土调运</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，内部其他土石方调运1.45万m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，产生余方（弃方）</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，该弃渣处置到待补风电场一期工程的1#弃渣场内。土石方平衡表见表2</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（2）渣场规划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由于本项目周边基本农田及生态红线区域较多，无法选取弃渣场。该弃渣处置到待补风电场一期工程的1#弃渣场内堆存。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其他</w:t>
            </w:r>
          </w:p>
        </w:tc>
        <w:tc>
          <w:tcPr>
            <w:tcW w:w="8629" w:type="dxa"/>
          </w:tcPr>
          <w:p>
            <w:pPr>
              <w:pStyle w:val="34"/>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其他</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风电机组布置方案比选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（1）202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月曲靖市待补风电场二期项目装机规模为</w:t>
            </w:r>
            <w:r>
              <w:rPr>
                <w:color w:val="000000" w:themeColor="text1"/>
                <w14:textFill>
                  <w14:solidFill>
                    <w14:schemeClr w14:val="tx1"/>
                  </w14:solidFill>
                </w14:textFill>
              </w:rPr>
              <w:t>182</w:t>
            </w:r>
            <w:r>
              <w:rPr>
                <w:rFonts w:hint="eastAsia"/>
                <w:color w:val="000000" w:themeColor="text1"/>
                <w14:textFill>
                  <w14:solidFill>
                    <w14:schemeClr w14:val="tx1"/>
                  </w14:solidFill>
                </w14:textFill>
              </w:rPr>
              <w:t>MW，最初设计安装</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台单机容量为</w:t>
            </w:r>
            <w:r>
              <w:rPr>
                <w:color w:val="000000" w:themeColor="text1"/>
                <w14:textFill>
                  <w14:solidFill>
                    <w14:schemeClr w14:val="tx1"/>
                  </w14:solidFill>
                </w14:textFill>
              </w:rPr>
              <w:t>5200</w:t>
            </w:r>
            <w:r>
              <w:rPr>
                <w:rFonts w:hint="eastAsia"/>
                <w:color w:val="000000" w:themeColor="text1"/>
                <w14:textFill>
                  <w14:solidFill>
                    <w14:schemeClr w14:val="tx1"/>
                  </w14:solidFill>
                </w14:textFill>
              </w:rPr>
              <w:t>kW、1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台单机容量为3</w:t>
            </w:r>
            <w:r>
              <w:rPr>
                <w:color w:val="000000" w:themeColor="text1"/>
                <w14:textFill>
                  <w14:solidFill>
                    <w14:schemeClr w14:val="tx1"/>
                  </w14:solidFill>
                </w14:textFill>
              </w:rPr>
              <w:t>300</w:t>
            </w:r>
            <w:r>
              <w:rPr>
                <w:rFonts w:hint="eastAsia"/>
                <w:color w:val="000000" w:themeColor="text1"/>
                <w14:textFill>
                  <w14:solidFill>
                    <w14:schemeClr w14:val="tx1"/>
                  </w14:solidFill>
                </w14:textFill>
              </w:rPr>
              <w:t>kW和1台单机容量4</w:t>
            </w:r>
            <w:r>
              <w:rPr>
                <w:color w:val="000000" w:themeColor="text1"/>
                <w14:textFill>
                  <w14:solidFill>
                    <w14:schemeClr w14:val="tx1"/>
                  </w14:solidFill>
                </w14:textFill>
              </w:rPr>
              <w:t>400</w:t>
            </w:r>
            <w:r>
              <w:rPr>
                <w:rFonts w:hint="eastAsia"/>
                <w:color w:val="000000" w:themeColor="text1"/>
                <w14:textFill>
                  <w14:solidFill>
                    <w14:schemeClr w14:val="tx1"/>
                  </w14:solidFill>
                </w14:textFill>
              </w:rPr>
              <w:t>kW的风电机组。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月通过现场踏勘论证，从场内风能资源分布情况、与敏感区位置关系、生态环境质量现状、与居民点位置关系、</w:t>
            </w:r>
            <w:r>
              <w:rPr>
                <w:color w:val="000000" w:themeColor="text1"/>
                <w14:textFill>
                  <w14:solidFill>
                    <w14:schemeClr w14:val="tx1"/>
                  </w14:solidFill>
                </w14:textFill>
              </w:rPr>
              <w:t>减少占地等</w:t>
            </w:r>
            <w:r>
              <w:rPr>
                <w:rFonts w:hint="eastAsia"/>
                <w:color w:val="000000" w:themeColor="text1"/>
                <w14:textFill>
                  <w14:solidFill>
                    <w14:schemeClr w14:val="tx1"/>
                  </w14:solidFill>
                </w14:textFill>
              </w:rPr>
              <w:t>几大要素进行分析，最终确定可安装的总装机台数仅</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台，包括</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台单机容量</w:t>
            </w:r>
            <w:r>
              <w:rPr>
                <w:color w:val="000000" w:themeColor="text1"/>
                <w14:textFill>
                  <w14:solidFill>
                    <w14:schemeClr w14:val="tx1"/>
                  </w14:solidFill>
                </w14:textFill>
              </w:rPr>
              <w:t>670</w:t>
            </w:r>
            <w:r>
              <w:rPr>
                <w:rFonts w:hint="eastAsia"/>
                <w:color w:val="000000" w:themeColor="text1"/>
                <w14:textFill>
                  <w14:solidFill>
                    <w14:schemeClr w14:val="tx1"/>
                  </w14:solidFill>
                </w14:textFill>
              </w:rPr>
              <w:t>0kW的风电机组和1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台单机容量5</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kW的风电机组。</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62880" cy="8380095"/>
                  <wp:effectExtent l="0" t="0" r="0" b="1905"/>
                  <wp:docPr id="2020232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2996"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89312" cy="8422111"/>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避让前</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台风机布置</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94935" cy="4851400"/>
                  <wp:effectExtent l="0" t="0" r="5715" b="6350"/>
                  <wp:docPr id="1421951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51328"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01136" cy="4857099"/>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避让后</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安装</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台风机方案经现场踏勘、生态红线核查、敏感区核查可知，此方案不涉及生态红线、不占用敏感区、不涉及</w:t>
            </w:r>
            <w:r>
              <w:rPr>
                <w:color w:val="000000" w:themeColor="text1"/>
                <w14:textFill>
                  <w14:solidFill>
                    <w14:schemeClr w14:val="tx1"/>
                  </w14:solidFill>
                </w14:textFill>
              </w:rPr>
              <w:t>黑颈鹤活动范围、</w:t>
            </w:r>
            <w:r>
              <w:rPr>
                <w:rFonts w:hint="eastAsia"/>
                <w:color w:val="000000" w:themeColor="text1"/>
                <w14:textFill>
                  <w14:solidFill>
                    <w14:schemeClr w14:val="tx1"/>
                  </w14:solidFill>
                </w14:textFill>
              </w:rPr>
              <w:t>风机机位500m范围内无居民点。此方案为最优方案。</w:t>
            </w:r>
          </w:p>
        </w:tc>
      </w:tr>
    </w:tbl>
    <w:p>
      <w:pPr>
        <w:ind w:firstLine="720"/>
        <w:rPr>
          <w:rFonts w:ascii="楷体_GB2312" w:eastAsia="楷体_GB2312"/>
          <w:color w:val="000000" w:themeColor="text1"/>
          <w:sz w:val="36"/>
          <w:szCs w:val="36"/>
          <w14:textFill>
            <w14:solidFill>
              <w14:schemeClr w14:val="tx1"/>
            </w14:solidFill>
          </w14:textFill>
        </w:rPr>
        <w:sectPr>
          <w:pgSz w:w="11906" w:h="16838"/>
          <w:pgMar w:top="1440" w:right="1531" w:bottom="1440" w:left="1531" w:header="851" w:footer="1077" w:gutter="0"/>
          <w:cols w:space="425" w:num="1"/>
          <w:docGrid w:type="lines" w:linePitch="312" w:charSpace="0"/>
        </w:sectPr>
      </w:pPr>
    </w:p>
    <w:p>
      <w:pPr>
        <w:pStyle w:val="28"/>
        <w:spacing w:before="163"/>
        <w:rPr>
          <w:color w:val="000000" w:themeColor="text1"/>
          <w:vertAlign w:val="superscript"/>
          <w14:textFill>
            <w14:solidFill>
              <w14:schemeClr w14:val="tx1"/>
            </w14:solidFill>
          </w14:textFill>
        </w:rPr>
      </w:pPr>
      <w:r>
        <w:rPr>
          <w:rFonts w:hint="eastAsia"/>
          <w:bCs/>
          <w:color w:val="000000" w:themeColor="text1"/>
          <w14:textFill>
            <w14:solidFill>
              <w14:schemeClr w14:val="tx1"/>
            </w14:solidFill>
          </w14:textFill>
        </w:rPr>
        <w:t>表2</w:t>
      </w:r>
      <w:r>
        <w:rPr>
          <w:bCs/>
          <w:color w:val="000000" w:themeColor="text1"/>
          <w14:textFill>
            <w14:solidFill>
              <w14:schemeClr w14:val="tx1"/>
            </w14:solidFill>
          </w14:textFill>
        </w:rPr>
        <w:t>.4-3  工程土石方平衡及流向表   单位：万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bl>
      <w:tblPr>
        <w:tblStyle w:val="20"/>
        <w:tblW w:w="14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2"/>
        <w:gridCol w:w="709"/>
        <w:gridCol w:w="955"/>
        <w:gridCol w:w="831"/>
        <w:gridCol w:w="819"/>
        <w:gridCol w:w="833"/>
        <w:gridCol w:w="839"/>
        <w:gridCol w:w="797"/>
        <w:gridCol w:w="970"/>
        <w:gridCol w:w="734"/>
        <w:gridCol w:w="703"/>
        <w:gridCol w:w="595"/>
        <w:gridCol w:w="805"/>
        <w:gridCol w:w="802"/>
        <w:gridCol w:w="649"/>
        <w:gridCol w:w="964"/>
        <w:gridCol w:w="465"/>
        <w:gridCol w:w="700"/>
        <w:gridCol w:w="5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序号</w:t>
            </w:r>
          </w:p>
        </w:tc>
        <w:tc>
          <w:tcPr>
            <w:tcW w:w="1664" w:type="dxa"/>
            <w:gridSpan w:val="2"/>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项目区</w:t>
            </w:r>
          </w:p>
        </w:tc>
        <w:tc>
          <w:tcPr>
            <w:tcW w:w="3322" w:type="dxa"/>
            <w:gridSpan w:val="4"/>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开挖</w:t>
            </w:r>
          </w:p>
        </w:tc>
        <w:tc>
          <w:tcPr>
            <w:tcW w:w="3204" w:type="dxa"/>
            <w:gridSpan w:val="4"/>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回填利用</w:t>
            </w:r>
          </w:p>
        </w:tc>
        <w:tc>
          <w:tcPr>
            <w:tcW w:w="1400" w:type="dxa"/>
            <w:gridSpan w:val="2"/>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调入</w:t>
            </w:r>
          </w:p>
        </w:tc>
        <w:tc>
          <w:tcPr>
            <w:tcW w:w="1451" w:type="dxa"/>
            <w:gridSpan w:val="2"/>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调出</w:t>
            </w:r>
          </w:p>
        </w:tc>
        <w:tc>
          <w:tcPr>
            <w:tcW w:w="1429" w:type="dxa"/>
            <w:gridSpan w:val="2"/>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外借</w:t>
            </w:r>
          </w:p>
        </w:tc>
        <w:tc>
          <w:tcPr>
            <w:tcW w:w="1242" w:type="dxa"/>
            <w:gridSpan w:val="2"/>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b/>
                <w:bCs/>
                <w:color w:val="000000" w:themeColor="text1"/>
                <w:sz w:val="18"/>
                <w:szCs w:val="18"/>
                <w14:textFill>
                  <w14:solidFill>
                    <w14:schemeClr w14:val="tx1"/>
                  </w14:solidFill>
                </w14:textFill>
              </w:rPr>
            </w:pPr>
          </w:p>
        </w:tc>
        <w:tc>
          <w:tcPr>
            <w:tcW w:w="1664" w:type="dxa"/>
            <w:gridSpan w:val="2"/>
            <w:vMerge w:val="continue"/>
            <w:vAlign w:val="center"/>
          </w:tcPr>
          <w:p>
            <w:pPr>
              <w:pStyle w:val="29"/>
              <w:rPr>
                <w:b/>
                <w:bCs/>
                <w:color w:val="000000" w:themeColor="text1"/>
                <w:sz w:val="18"/>
                <w:szCs w:val="18"/>
                <w14:textFill>
                  <w14:solidFill>
                    <w14:schemeClr w14:val="tx1"/>
                  </w14:solidFill>
                </w14:textFill>
              </w:rPr>
            </w:pPr>
          </w:p>
        </w:tc>
        <w:tc>
          <w:tcPr>
            <w:tcW w:w="3322" w:type="dxa"/>
            <w:gridSpan w:val="4"/>
            <w:vMerge w:val="continue"/>
            <w:vAlign w:val="center"/>
          </w:tcPr>
          <w:p>
            <w:pPr>
              <w:pStyle w:val="29"/>
              <w:rPr>
                <w:b/>
                <w:bCs/>
                <w:color w:val="000000" w:themeColor="text1"/>
                <w:sz w:val="18"/>
                <w:szCs w:val="18"/>
                <w14:textFill>
                  <w14:solidFill>
                    <w14:schemeClr w14:val="tx1"/>
                  </w14:solidFill>
                </w14:textFill>
              </w:rPr>
            </w:pPr>
          </w:p>
        </w:tc>
        <w:tc>
          <w:tcPr>
            <w:tcW w:w="3204" w:type="dxa"/>
            <w:gridSpan w:val="4"/>
            <w:vMerge w:val="continue"/>
            <w:vAlign w:val="center"/>
          </w:tcPr>
          <w:p>
            <w:pPr>
              <w:pStyle w:val="29"/>
              <w:rPr>
                <w:b/>
                <w:bCs/>
                <w:color w:val="000000" w:themeColor="text1"/>
                <w:sz w:val="18"/>
                <w:szCs w:val="18"/>
                <w14:textFill>
                  <w14:solidFill>
                    <w14:schemeClr w14:val="tx1"/>
                  </w14:solidFill>
                </w14:textFill>
              </w:rPr>
            </w:pPr>
          </w:p>
        </w:tc>
        <w:tc>
          <w:tcPr>
            <w:tcW w:w="1400" w:type="dxa"/>
            <w:gridSpan w:val="2"/>
            <w:vMerge w:val="continue"/>
            <w:vAlign w:val="center"/>
          </w:tcPr>
          <w:p>
            <w:pPr>
              <w:pStyle w:val="29"/>
              <w:rPr>
                <w:b/>
                <w:bCs/>
                <w:color w:val="000000" w:themeColor="text1"/>
                <w:sz w:val="18"/>
                <w:szCs w:val="18"/>
                <w14:textFill>
                  <w14:solidFill>
                    <w14:schemeClr w14:val="tx1"/>
                  </w14:solidFill>
                </w14:textFill>
              </w:rPr>
            </w:pPr>
          </w:p>
        </w:tc>
        <w:tc>
          <w:tcPr>
            <w:tcW w:w="1451" w:type="dxa"/>
            <w:gridSpan w:val="2"/>
            <w:vMerge w:val="continue"/>
            <w:vAlign w:val="center"/>
          </w:tcPr>
          <w:p>
            <w:pPr>
              <w:pStyle w:val="29"/>
              <w:rPr>
                <w:b/>
                <w:bCs/>
                <w:color w:val="000000" w:themeColor="text1"/>
                <w:sz w:val="18"/>
                <w:szCs w:val="18"/>
                <w14:textFill>
                  <w14:solidFill>
                    <w14:schemeClr w14:val="tx1"/>
                  </w14:solidFill>
                </w14:textFill>
              </w:rPr>
            </w:pPr>
          </w:p>
        </w:tc>
        <w:tc>
          <w:tcPr>
            <w:tcW w:w="1429" w:type="dxa"/>
            <w:gridSpan w:val="2"/>
            <w:vMerge w:val="continue"/>
            <w:vAlign w:val="center"/>
          </w:tcPr>
          <w:p>
            <w:pPr>
              <w:pStyle w:val="29"/>
              <w:rPr>
                <w:b/>
                <w:bCs/>
                <w:color w:val="000000" w:themeColor="text1"/>
                <w:sz w:val="18"/>
                <w:szCs w:val="18"/>
                <w14:textFill>
                  <w14:solidFill>
                    <w14:schemeClr w14:val="tx1"/>
                  </w14:solidFill>
                </w14:textFill>
              </w:rPr>
            </w:pPr>
          </w:p>
        </w:tc>
        <w:tc>
          <w:tcPr>
            <w:tcW w:w="1242" w:type="dxa"/>
            <w:gridSpan w:val="2"/>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永久弃方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b/>
                <w:bCs/>
                <w:color w:val="000000" w:themeColor="text1"/>
                <w:sz w:val="18"/>
                <w:szCs w:val="18"/>
                <w14:textFill>
                  <w14:solidFill>
                    <w14:schemeClr w14:val="tx1"/>
                  </w14:solidFill>
                </w14:textFill>
              </w:rPr>
            </w:pPr>
          </w:p>
        </w:tc>
        <w:tc>
          <w:tcPr>
            <w:tcW w:w="1664" w:type="dxa"/>
            <w:gridSpan w:val="2"/>
            <w:vMerge w:val="continue"/>
            <w:vAlign w:val="center"/>
          </w:tcPr>
          <w:p>
            <w:pPr>
              <w:pStyle w:val="29"/>
              <w:rPr>
                <w:b/>
                <w:bCs/>
                <w:color w:val="000000" w:themeColor="text1"/>
                <w:sz w:val="18"/>
                <w:szCs w:val="18"/>
                <w14:textFill>
                  <w14:solidFill>
                    <w14:schemeClr w14:val="tx1"/>
                  </w14:solidFill>
                </w14:textFill>
              </w:rPr>
            </w:pPr>
          </w:p>
        </w:tc>
        <w:tc>
          <w:tcPr>
            <w:tcW w:w="831"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表土</w:t>
            </w:r>
          </w:p>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剥离</w:t>
            </w:r>
          </w:p>
        </w:tc>
        <w:tc>
          <w:tcPr>
            <w:tcW w:w="81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场平</w:t>
            </w:r>
          </w:p>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开挖</w:t>
            </w:r>
          </w:p>
        </w:tc>
        <w:tc>
          <w:tcPr>
            <w:tcW w:w="83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基础</w:t>
            </w:r>
          </w:p>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开挖</w:t>
            </w:r>
          </w:p>
        </w:tc>
        <w:tc>
          <w:tcPr>
            <w:tcW w:w="83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小计</w:t>
            </w:r>
          </w:p>
        </w:tc>
        <w:tc>
          <w:tcPr>
            <w:tcW w:w="797"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回覆</w:t>
            </w:r>
          </w:p>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表土</w:t>
            </w:r>
          </w:p>
        </w:tc>
        <w:tc>
          <w:tcPr>
            <w:tcW w:w="97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场平</w:t>
            </w:r>
          </w:p>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回填</w:t>
            </w:r>
          </w:p>
        </w:tc>
        <w:tc>
          <w:tcPr>
            <w:tcW w:w="73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基础</w:t>
            </w:r>
          </w:p>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回填</w:t>
            </w:r>
          </w:p>
        </w:tc>
        <w:tc>
          <w:tcPr>
            <w:tcW w:w="70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小计</w:t>
            </w:r>
          </w:p>
        </w:tc>
        <w:tc>
          <w:tcPr>
            <w:tcW w:w="59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数量</w:t>
            </w:r>
          </w:p>
        </w:tc>
        <w:tc>
          <w:tcPr>
            <w:tcW w:w="80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来源</w:t>
            </w:r>
          </w:p>
        </w:tc>
        <w:tc>
          <w:tcPr>
            <w:tcW w:w="80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数量</w:t>
            </w:r>
          </w:p>
        </w:tc>
        <w:tc>
          <w:tcPr>
            <w:tcW w:w="64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去向</w:t>
            </w:r>
          </w:p>
        </w:tc>
        <w:tc>
          <w:tcPr>
            <w:tcW w:w="96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数量</w:t>
            </w:r>
          </w:p>
        </w:tc>
        <w:tc>
          <w:tcPr>
            <w:tcW w:w="46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来源</w:t>
            </w:r>
          </w:p>
        </w:tc>
        <w:tc>
          <w:tcPr>
            <w:tcW w:w="70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数量</w:t>
            </w:r>
          </w:p>
        </w:tc>
        <w:tc>
          <w:tcPr>
            <w:tcW w:w="54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709"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风机机组区</w:t>
            </w:r>
          </w:p>
        </w:tc>
        <w:tc>
          <w:tcPr>
            <w:tcW w:w="95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风机基础</w:t>
            </w:r>
          </w:p>
        </w:tc>
        <w:tc>
          <w:tcPr>
            <w:tcW w:w="831"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0.25</w:t>
            </w:r>
          </w:p>
        </w:tc>
        <w:tc>
          <w:tcPr>
            <w:tcW w:w="81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3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5.07</w:t>
            </w:r>
          </w:p>
        </w:tc>
        <w:tc>
          <w:tcPr>
            <w:tcW w:w="83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5.32</w:t>
            </w:r>
          </w:p>
        </w:tc>
        <w:tc>
          <w:tcPr>
            <w:tcW w:w="797"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97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734"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3.69</w:t>
            </w:r>
          </w:p>
        </w:tc>
        <w:tc>
          <w:tcPr>
            <w:tcW w:w="70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3.69</w:t>
            </w:r>
          </w:p>
        </w:tc>
        <w:tc>
          <w:tcPr>
            <w:tcW w:w="59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0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802"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1.38</w:t>
            </w:r>
          </w:p>
        </w:tc>
        <w:tc>
          <w:tcPr>
            <w:tcW w:w="649"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安装平台回填</w:t>
            </w:r>
          </w:p>
        </w:tc>
        <w:tc>
          <w:tcPr>
            <w:tcW w:w="964" w:type="dxa"/>
            <w:vAlign w:val="center"/>
          </w:tcPr>
          <w:p>
            <w:pPr>
              <w:pStyle w:val="29"/>
              <w:rPr>
                <w:color w:val="000000" w:themeColor="text1"/>
                <w:sz w:val="18"/>
                <w:szCs w:val="18"/>
                <w14:textFill>
                  <w14:solidFill>
                    <w14:schemeClr w14:val="tx1"/>
                  </w14:solidFill>
                </w14:textFill>
              </w:rPr>
            </w:pPr>
          </w:p>
        </w:tc>
        <w:tc>
          <w:tcPr>
            <w:tcW w:w="465"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0.25</w:t>
            </w:r>
          </w:p>
        </w:tc>
        <w:tc>
          <w:tcPr>
            <w:tcW w:w="542"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一期1#弃渣场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color w:val="000000" w:themeColor="text1"/>
                <w:sz w:val="18"/>
                <w:szCs w:val="18"/>
                <w14:textFill>
                  <w14:solidFill>
                    <w14:schemeClr w14:val="tx1"/>
                  </w14:solidFill>
                </w14:textFill>
              </w:rPr>
            </w:pPr>
          </w:p>
        </w:tc>
        <w:tc>
          <w:tcPr>
            <w:tcW w:w="709" w:type="dxa"/>
            <w:vMerge w:val="continue"/>
            <w:vAlign w:val="center"/>
          </w:tcPr>
          <w:p>
            <w:pPr>
              <w:pStyle w:val="29"/>
              <w:rPr>
                <w:color w:val="000000" w:themeColor="text1"/>
                <w:sz w:val="18"/>
                <w:szCs w:val="18"/>
                <w14:textFill>
                  <w14:solidFill>
                    <w14:schemeClr w14:val="tx1"/>
                  </w14:solidFill>
                </w14:textFill>
              </w:rPr>
            </w:pPr>
          </w:p>
        </w:tc>
        <w:tc>
          <w:tcPr>
            <w:tcW w:w="95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箱变基础</w:t>
            </w:r>
          </w:p>
        </w:tc>
        <w:tc>
          <w:tcPr>
            <w:tcW w:w="831"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w:t>
            </w:r>
          </w:p>
        </w:tc>
        <w:tc>
          <w:tcPr>
            <w:tcW w:w="81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3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0.08</w:t>
            </w:r>
          </w:p>
        </w:tc>
        <w:tc>
          <w:tcPr>
            <w:tcW w:w="83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0.09</w:t>
            </w:r>
          </w:p>
        </w:tc>
        <w:tc>
          <w:tcPr>
            <w:tcW w:w="797"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97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734"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w:t>
            </w:r>
          </w:p>
        </w:tc>
        <w:tc>
          <w:tcPr>
            <w:tcW w:w="70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w:t>
            </w:r>
          </w:p>
        </w:tc>
        <w:tc>
          <w:tcPr>
            <w:tcW w:w="59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0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802"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0.07</w:t>
            </w:r>
          </w:p>
        </w:tc>
        <w:tc>
          <w:tcPr>
            <w:tcW w:w="649" w:type="dxa"/>
            <w:vMerge w:val="continue"/>
            <w:vAlign w:val="center"/>
          </w:tcPr>
          <w:p>
            <w:pPr>
              <w:pStyle w:val="29"/>
              <w:rPr>
                <w:color w:val="000000" w:themeColor="text1"/>
                <w:sz w:val="18"/>
                <w:szCs w:val="18"/>
                <w14:textFill>
                  <w14:solidFill>
                    <w14:schemeClr w14:val="tx1"/>
                  </w14:solidFill>
                </w14:textFill>
              </w:rPr>
            </w:pPr>
          </w:p>
        </w:tc>
        <w:tc>
          <w:tcPr>
            <w:tcW w:w="964" w:type="dxa"/>
            <w:vAlign w:val="center"/>
          </w:tcPr>
          <w:p>
            <w:pPr>
              <w:pStyle w:val="29"/>
              <w:rPr>
                <w:color w:val="000000" w:themeColor="text1"/>
                <w:sz w:val="18"/>
                <w:szCs w:val="18"/>
                <w14:textFill>
                  <w14:solidFill>
                    <w14:schemeClr w14:val="tx1"/>
                  </w14:solidFill>
                </w14:textFill>
              </w:rPr>
            </w:pPr>
          </w:p>
        </w:tc>
        <w:tc>
          <w:tcPr>
            <w:tcW w:w="465" w:type="dxa"/>
            <w:vMerge w:val="continue"/>
            <w:vAlign w:val="center"/>
          </w:tcPr>
          <w:p>
            <w:pPr>
              <w:pStyle w:val="29"/>
              <w:rPr>
                <w:color w:val="000000" w:themeColor="text1"/>
                <w:sz w:val="18"/>
                <w:szCs w:val="18"/>
                <w14:textFill>
                  <w14:solidFill>
                    <w14:schemeClr w14:val="tx1"/>
                  </w14:solidFill>
                </w14:textFill>
              </w:rPr>
            </w:pPr>
          </w:p>
        </w:tc>
        <w:tc>
          <w:tcPr>
            <w:tcW w:w="70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w:t>
            </w:r>
          </w:p>
        </w:tc>
        <w:tc>
          <w:tcPr>
            <w:tcW w:w="542" w:type="dxa"/>
            <w:vMerge w:val="continue"/>
            <w:vAlign w:val="center"/>
          </w:tcPr>
          <w:p>
            <w:pPr>
              <w:pStyle w:val="29"/>
              <w:rPr>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color w:val="000000" w:themeColor="text1"/>
                <w:sz w:val="18"/>
                <w:szCs w:val="18"/>
                <w14:textFill>
                  <w14:solidFill>
                    <w14:schemeClr w14:val="tx1"/>
                  </w14:solidFill>
                </w14:textFill>
              </w:rPr>
            </w:pPr>
          </w:p>
        </w:tc>
        <w:tc>
          <w:tcPr>
            <w:tcW w:w="709" w:type="dxa"/>
            <w:vMerge w:val="continue"/>
            <w:vAlign w:val="center"/>
          </w:tcPr>
          <w:p>
            <w:pPr>
              <w:pStyle w:val="29"/>
              <w:rPr>
                <w:color w:val="000000" w:themeColor="text1"/>
                <w:sz w:val="18"/>
                <w:szCs w:val="18"/>
                <w14:textFill>
                  <w14:solidFill>
                    <w14:schemeClr w14:val="tx1"/>
                  </w14:solidFill>
                </w14:textFill>
              </w:rPr>
            </w:pPr>
          </w:p>
        </w:tc>
        <w:tc>
          <w:tcPr>
            <w:tcW w:w="95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安装平台</w:t>
            </w:r>
          </w:p>
        </w:tc>
        <w:tc>
          <w:tcPr>
            <w:tcW w:w="831"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1.84</w:t>
            </w:r>
          </w:p>
        </w:tc>
        <w:tc>
          <w:tcPr>
            <w:tcW w:w="81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14.76</w:t>
            </w:r>
          </w:p>
        </w:tc>
        <w:tc>
          <w:tcPr>
            <w:tcW w:w="83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3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16.60</w:t>
            </w:r>
          </w:p>
        </w:tc>
        <w:tc>
          <w:tcPr>
            <w:tcW w:w="797"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2.92</w:t>
            </w:r>
          </w:p>
        </w:tc>
        <w:tc>
          <w:tcPr>
            <w:tcW w:w="97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6.18</w:t>
            </w:r>
          </w:p>
        </w:tc>
        <w:tc>
          <w:tcPr>
            <w:tcW w:w="734"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70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9.10</w:t>
            </w:r>
          </w:p>
        </w:tc>
        <w:tc>
          <w:tcPr>
            <w:tcW w:w="59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2.27</w:t>
            </w:r>
          </w:p>
        </w:tc>
        <w:tc>
          <w:tcPr>
            <w:tcW w:w="805" w:type="dxa"/>
            <w:vAlign w:val="center"/>
          </w:tcPr>
          <w:p>
            <w:pPr>
              <w:pStyle w:val="29"/>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风机箱变基础、场内道路区</w:t>
            </w:r>
          </w:p>
        </w:tc>
        <w:tc>
          <w:tcPr>
            <w:tcW w:w="802"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64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64" w:type="dxa"/>
            <w:vAlign w:val="center"/>
          </w:tcPr>
          <w:p>
            <w:pPr>
              <w:pStyle w:val="29"/>
              <w:rPr>
                <w:color w:val="000000" w:themeColor="text1"/>
                <w:sz w:val="18"/>
                <w:szCs w:val="18"/>
                <w14:textFill>
                  <w14:solidFill>
                    <w14:schemeClr w14:val="tx1"/>
                  </w14:solidFill>
                </w14:textFill>
              </w:rPr>
            </w:pPr>
          </w:p>
        </w:tc>
        <w:tc>
          <w:tcPr>
            <w:tcW w:w="465" w:type="dxa"/>
            <w:vMerge w:val="continue"/>
            <w:vAlign w:val="center"/>
          </w:tcPr>
          <w:p>
            <w:pPr>
              <w:pStyle w:val="29"/>
              <w:rPr>
                <w:color w:val="000000" w:themeColor="text1"/>
                <w:sz w:val="18"/>
                <w:szCs w:val="18"/>
                <w14:textFill>
                  <w14:solidFill>
                    <w14:schemeClr w14:val="tx1"/>
                  </w14:solidFill>
                </w14:textFill>
              </w:rPr>
            </w:pPr>
          </w:p>
        </w:tc>
        <w:tc>
          <w:tcPr>
            <w:tcW w:w="70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9.77</w:t>
            </w:r>
          </w:p>
        </w:tc>
        <w:tc>
          <w:tcPr>
            <w:tcW w:w="542" w:type="dxa"/>
            <w:vMerge w:val="continue"/>
            <w:vAlign w:val="center"/>
          </w:tcPr>
          <w:p>
            <w:pPr>
              <w:pStyle w:val="29"/>
              <w:rPr>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color w:val="000000" w:themeColor="text1"/>
                <w:sz w:val="18"/>
                <w:szCs w:val="18"/>
                <w14:textFill>
                  <w14:solidFill>
                    <w14:schemeClr w14:val="tx1"/>
                  </w14:solidFill>
                </w14:textFill>
              </w:rPr>
            </w:pPr>
          </w:p>
        </w:tc>
        <w:tc>
          <w:tcPr>
            <w:tcW w:w="709" w:type="dxa"/>
            <w:vMerge w:val="continue"/>
            <w:vAlign w:val="center"/>
          </w:tcPr>
          <w:p>
            <w:pPr>
              <w:pStyle w:val="29"/>
              <w:rPr>
                <w:color w:val="000000" w:themeColor="text1"/>
                <w:sz w:val="18"/>
                <w:szCs w:val="18"/>
                <w14:textFill>
                  <w14:solidFill>
                    <w14:schemeClr w14:val="tx1"/>
                  </w14:solidFill>
                </w14:textFill>
              </w:rPr>
            </w:pPr>
          </w:p>
        </w:tc>
        <w:tc>
          <w:tcPr>
            <w:tcW w:w="95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小计</w:t>
            </w:r>
          </w:p>
        </w:tc>
        <w:tc>
          <w:tcPr>
            <w:tcW w:w="831"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2.10</w:t>
            </w:r>
          </w:p>
        </w:tc>
        <w:tc>
          <w:tcPr>
            <w:tcW w:w="81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14.76</w:t>
            </w:r>
          </w:p>
        </w:tc>
        <w:tc>
          <w:tcPr>
            <w:tcW w:w="83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5.15</w:t>
            </w:r>
          </w:p>
        </w:tc>
        <w:tc>
          <w:tcPr>
            <w:tcW w:w="83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22.01</w:t>
            </w:r>
          </w:p>
        </w:tc>
        <w:tc>
          <w:tcPr>
            <w:tcW w:w="797"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2.92</w:t>
            </w:r>
          </w:p>
        </w:tc>
        <w:tc>
          <w:tcPr>
            <w:tcW w:w="97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6.18</w:t>
            </w:r>
          </w:p>
        </w:tc>
        <w:tc>
          <w:tcPr>
            <w:tcW w:w="73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3.70</w:t>
            </w:r>
          </w:p>
        </w:tc>
        <w:tc>
          <w:tcPr>
            <w:tcW w:w="70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12.80</w:t>
            </w:r>
          </w:p>
        </w:tc>
        <w:tc>
          <w:tcPr>
            <w:tcW w:w="59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2.27</w:t>
            </w:r>
          </w:p>
        </w:tc>
        <w:tc>
          <w:tcPr>
            <w:tcW w:w="805" w:type="dxa"/>
            <w:vAlign w:val="center"/>
          </w:tcPr>
          <w:p>
            <w:pPr>
              <w:pStyle w:val="29"/>
              <w:rPr>
                <w:color w:val="000000" w:themeColor="text1"/>
                <w:sz w:val="18"/>
                <w:szCs w:val="18"/>
                <w14:textFill>
                  <w14:solidFill>
                    <w14:schemeClr w14:val="tx1"/>
                  </w14:solidFill>
                </w14:textFill>
              </w:rPr>
            </w:pPr>
          </w:p>
        </w:tc>
        <w:tc>
          <w:tcPr>
            <w:tcW w:w="80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1.45</w:t>
            </w:r>
          </w:p>
        </w:tc>
        <w:tc>
          <w:tcPr>
            <w:tcW w:w="649" w:type="dxa"/>
            <w:vAlign w:val="center"/>
          </w:tcPr>
          <w:p>
            <w:pPr>
              <w:pStyle w:val="29"/>
              <w:rPr>
                <w:color w:val="000000" w:themeColor="text1"/>
                <w:sz w:val="18"/>
                <w:szCs w:val="18"/>
                <w14:textFill>
                  <w14:solidFill>
                    <w14:schemeClr w14:val="tx1"/>
                  </w14:solidFill>
                </w14:textFill>
              </w:rPr>
            </w:pPr>
          </w:p>
        </w:tc>
        <w:tc>
          <w:tcPr>
            <w:tcW w:w="96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465" w:type="dxa"/>
            <w:vMerge w:val="continue"/>
            <w:vAlign w:val="center"/>
          </w:tcPr>
          <w:p>
            <w:pPr>
              <w:pStyle w:val="29"/>
              <w:rPr>
                <w:color w:val="000000" w:themeColor="text1"/>
                <w:sz w:val="18"/>
                <w:szCs w:val="18"/>
                <w14:textFill>
                  <w14:solidFill>
                    <w14:schemeClr w14:val="tx1"/>
                  </w14:solidFill>
                </w14:textFill>
              </w:rPr>
            </w:pPr>
          </w:p>
        </w:tc>
        <w:tc>
          <w:tcPr>
            <w:tcW w:w="70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10.03</w:t>
            </w:r>
          </w:p>
        </w:tc>
        <w:tc>
          <w:tcPr>
            <w:tcW w:w="542" w:type="dxa"/>
            <w:vMerge w:val="continue"/>
            <w:vAlign w:val="center"/>
          </w:tcPr>
          <w:p>
            <w:pPr>
              <w:pStyle w:val="29"/>
              <w:rPr>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664" w:type="dxa"/>
            <w:gridSpan w:val="2"/>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集电线路区</w:t>
            </w:r>
          </w:p>
        </w:tc>
        <w:tc>
          <w:tcPr>
            <w:tcW w:w="831"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1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3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6.99</w:t>
            </w:r>
          </w:p>
        </w:tc>
        <w:tc>
          <w:tcPr>
            <w:tcW w:w="83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6.99</w:t>
            </w:r>
          </w:p>
        </w:tc>
        <w:tc>
          <w:tcPr>
            <w:tcW w:w="797"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97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73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6.99</w:t>
            </w:r>
          </w:p>
        </w:tc>
        <w:tc>
          <w:tcPr>
            <w:tcW w:w="70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6.99</w:t>
            </w:r>
          </w:p>
        </w:tc>
        <w:tc>
          <w:tcPr>
            <w:tcW w:w="59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0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c>
          <w:tcPr>
            <w:tcW w:w="80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64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c>
          <w:tcPr>
            <w:tcW w:w="96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46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542"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709"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道路工程区</w:t>
            </w:r>
          </w:p>
        </w:tc>
        <w:tc>
          <w:tcPr>
            <w:tcW w:w="95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新建道路区</w:t>
            </w:r>
          </w:p>
        </w:tc>
        <w:tc>
          <w:tcPr>
            <w:tcW w:w="831"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2.60</w:t>
            </w:r>
          </w:p>
        </w:tc>
        <w:tc>
          <w:tcPr>
            <w:tcW w:w="81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3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8.93</w:t>
            </w:r>
          </w:p>
        </w:tc>
        <w:tc>
          <w:tcPr>
            <w:tcW w:w="83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11.53</w:t>
            </w:r>
          </w:p>
        </w:tc>
        <w:tc>
          <w:tcPr>
            <w:tcW w:w="797"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0.51</w:t>
            </w:r>
          </w:p>
        </w:tc>
        <w:tc>
          <w:tcPr>
            <w:tcW w:w="97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734"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5.88</w:t>
            </w:r>
          </w:p>
        </w:tc>
        <w:tc>
          <w:tcPr>
            <w:tcW w:w="70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6.39</w:t>
            </w:r>
          </w:p>
        </w:tc>
        <w:tc>
          <w:tcPr>
            <w:tcW w:w="595"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05" w:type="dxa"/>
            <w:vMerge w:val="restart"/>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c>
          <w:tcPr>
            <w:tcW w:w="802"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2.02</w:t>
            </w:r>
          </w:p>
        </w:tc>
        <w:tc>
          <w:tcPr>
            <w:tcW w:w="649"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风机区、弃渣场区</w:t>
            </w:r>
          </w:p>
        </w:tc>
        <w:tc>
          <w:tcPr>
            <w:tcW w:w="964" w:type="dxa"/>
            <w:vAlign w:val="center"/>
          </w:tcPr>
          <w:p>
            <w:pPr>
              <w:pStyle w:val="29"/>
              <w:rPr>
                <w:color w:val="000000" w:themeColor="text1"/>
                <w:sz w:val="18"/>
                <w:szCs w:val="18"/>
                <w14:textFill>
                  <w14:solidFill>
                    <w14:schemeClr w14:val="tx1"/>
                  </w14:solidFill>
                </w14:textFill>
              </w:rPr>
            </w:pPr>
          </w:p>
        </w:tc>
        <w:tc>
          <w:tcPr>
            <w:tcW w:w="465"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3.06</w:t>
            </w:r>
          </w:p>
        </w:tc>
        <w:tc>
          <w:tcPr>
            <w:tcW w:w="542" w:type="dxa"/>
            <w:vMerge w:val="restart"/>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一期1#弃渣场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color w:val="000000" w:themeColor="text1"/>
                <w:sz w:val="18"/>
                <w:szCs w:val="18"/>
                <w14:textFill>
                  <w14:solidFill>
                    <w14:schemeClr w14:val="tx1"/>
                  </w14:solidFill>
                </w14:textFill>
              </w:rPr>
            </w:pPr>
          </w:p>
        </w:tc>
        <w:tc>
          <w:tcPr>
            <w:tcW w:w="709" w:type="dxa"/>
            <w:vMerge w:val="continue"/>
            <w:vAlign w:val="center"/>
          </w:tcPr>
          <w:p>
            <w:pPr>
              <w:pStyle w:val="29"/>
              <w:rPr>
                <w:color w:val="000000" w:themeColor="text1"/>
                <w:sz w:val="18"/>
                <w:szCs w:val="18"/>
                <w14:textFill>
                  <w14:solidFill>
                    <w14:schemeClr w14:val="tx1"/>
                  </w14:solidFill>
                </w14:textFill>
              </w:rPr>
            </w:pPr>
          </w:p>
        </w:tc>
        <w:tc>
          <w:tcPr>
            <w:tcW w:w="95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改扩建道路区</w:t>
            </w:r>
          </w:p>
        </w:tc>
        <w:tc>
          <w:tcPr>
            <w:tcW w:w="831"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0.32</w:t>
            </w:r>
          </w:p>
        </w:tc>
        <w:tc>
          <w:tcPr>
            <w:tcW w:w="81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83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3.54</w:t>
            </w:r>
          </w:p>
        </w:tc>
        <w:tc>
          <w:tcPr>
            <w:tcW w:w="83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3.86</w:t>
            </w:r>
          </w:p>
        </w:tc>
        <w:tc>
          <w:tcPr>
            <w:tcW w:w="797"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0.39</w:t>
            </w:r>
          </w:p>
        </w:tc>
        <w:tc>
          <w:tcPr>
            <w:tcW w:w="97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734"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2.91</w:t>
            </w:r>
          </w:p>
        </w:tc>
        <w:tc>
          <w:tcPr>
            <w:tcW w:w="703"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3.30</w:t>
            </w:r>
          </w:p>
        </w:tc>
        <w:tc>
          <w:tcPr>
            <w:tcW w:w="595" w:type="dxa"/>
            <w:vMerge w:val="continue"/>
            <w:vAlign w:val="center"/>
          </w:tcPr>
          <w:p>
            <w:pPr>
              <w:pStyle w:val="29"/>
              <w:rPr>
                <w:color w:val="000000" w:themeColor="text1"/>
                <w:sz w:val="18"/>
                <w:szCs w:val="18"/>
                <w14:textFill>
                  <w14:solidFill>
                    <w14:schemeClr w14:val="tx1"/>
                  </w14:solidFill>
                </w14:textFill>
              </w:rPr>
            </w:pPr>
          </w:p>
        </w:tc>
        <w:tc>
          <w:tcPr>
            <w:tcW w:w="805" w:type="dxa"/>
            <w:vMerge w:val="continue"/>
            <w:vAlign w:val="center"/>
          </w:tcPr>
          <w:p>
            <w:pPr>
              <w:pStyle w:val="29"/>
              <w:rPr>
                <w:b/>
                <w:bCs/>
                <w:color w:val="000000" w:themeColor="text1"/>
                <w:sz w:val="18"/>
                <w:szCs w:val="18"/>
                <w14:textFill>
                  <w14:solidFill>
                    <w14:schemeClr w14:val="tx1"/>
                  </w14:solidFill>
                </w14:textFill>
              </w:rPr>
            </w:pPr>
          </w:p>
        </w:tc>
        <w:tc>
          <w:tcPr>
            <w:tcW w:w="802" w:type="dxa"/>
            <w:vMerge w:val="continue"/>
            <w:vAlign w:val="center"/>
          </w:tcPr>
          <w:p>
            <w:pPr>
              <w:pStyle w:val="29"/>
              <w:rPr>
                <w:color w:val="000000" w:themeColor="text1"/>
                <w:sz w:val="18"/>
                <w:szCs w:val="18"/>
                <w14:textFill>
                  <w14:solidFill>
                    <w14:schemeClr w14:val="tx1"/>
                  </w14:solidFill>
                </w14:textFill>
              </w:rPr>
            </w:pPr>
          </w:p>
        </w:tc>
        <w:tc>
          <w:tcPr>
            <w:tcW w:w="649" w:type="dxa"/>
            <w:vMerge w:val="continue"/>
            <w:vAlign w:val="center"/>
          </w:tcPr>
          <w:p>
            <w:pPr>
              <w:pStyle w:val="29"/>
              <w:rPr>
                <w:color w:val="000000" w:themeColor="text1"/>
                <w:sz w:val="18"/>
                <w:szCs w:val="18"/>
                <w14:textFill>
                  <w14:solidFill>
                    <w14:schemeClr w14:val="tx1"/>
                  </w14:solidFill>
                </w14:textFill>
              </w:rPr>
            </w:pPr>
          </w:p>
        </w:tc>
        <w:tc>
          <w:tcPr>
            <w:tcW w:w="964" w:type="dxa"/>
            <w:vAlign w:val="center"/>
          </w:tcPr>
          <w:p>
            <w:pPr>
              <w:pStyle w:val="29"/>
              <w:rPr>
                <w:color w:val="000000" w:themeColor="text1"/>
                <w:sz w:val="18"/>
                <w:szCs w:val="18"/>
                <w14:textFill>
                  <w14:solidFill>
                    <w14:schemeClr w14:val="tx1"/>
                  </w14:solidFill>
                </w14:textFill>
              </w:rPr>
            </w:pPr>
          </w:p>
        </w:tc>
        <w:tc>
          <w:tcPr>
            <w:tcW w:w="465" w:type="dxa"/>
            <w:vMerge w:val="continue"/>
            <w:vAlign w:val="center"/>
          </w:tcPr>
          <w:p>
            <w:pPr>
              <w:pStyle w:val="29"/>
              <w:rPr>
                <w:color w:val="000000" w:themeColor="text1"/>
                <w:sz w:val="18"/>
                <w:szCs w:val="18"/>
                <w14:textFill>
                  <w14:solidFill>
                    <w14:schemeClr w14:val="tx1"/>
                  </w14:solidFill>
                </w14:textFill>
              </w:rPr>
            </w:pPr>
          </w:p>
        </w:tc>
        <w:tc>
          <w:tcPr>
            <w:tcW w:w="70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0.63</w:t>
            </w:r>
          </w:p>
        </w:tc>
        <w:tc>
          <w:tcPr>
            <w:tcW w:w="542" w:type="dxa"/>
            <w:vMerge w:val="continue"/>
            <w:vAlign w:val="center"/>
          </w:tcPr>
          <w:p>
            <w:pPr>
              <w:pStyle w:val="29"/>
              <w:rPr>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Merge w:val="continue"/>
            <w:vAlign w:val="center"/>
          </w:tcPr>
          <w:p>
            <w:pPr>
              <w:pStyle w:val="29"/>
              <w:rPr>
                <w:color w:val="000000" w:themeColor="text1"/>
                <w:sz w:val="18"/>
                <w:szCs w:val="18"/>
                <w14:textFill>
                  <w14:solidFill>
                    <w14:schemeClr w14:val="tx1"/>
                  </w14:solidFill>
                </w14:textFill>
              </w:rPr>
            </w:pPr>
          </w:p>
        </w:tc>
        <w:tc>
          <w:tcPr>
            <w:tcW w:w="709" w:type="dxa"/>
            <w:vMerge w:val="continue"/>
            <w:vAlign w:val="center"/>
          </w:tcPr>
          <w:p>
            <w:pPr>
              <w:pStyle w:val="29"/>
              <w:rPr>
                <w:color w:val="000000" w:themeColor="text1"/>
                <w:sz w:val="18"/>
                <w:szCs w:val="18"/>
                <w14:textFill>
                  <w14:solidFill>
                    <w14:schemeClr w14:val="tx1"/>
                  </w14:solidFill>
                </w14:textFill>
              </w:rPr>
            </w:pPr>
          </w:p>
        </w:tc>
        <w:tc>
          <w:tcPr>
            <w:tcW w:w="95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小计</w:t>
            </w:r>
          </w:p>
        </w:tc>
        <w:tc>
          <w:tcPr>
            <w:tcW w:w="831"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2.92</w:t>
            </w:r>
          </w:p>
        </w:tc>
        <w:tc>
          <w:tcPr>
            <w:tcW w:w="81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3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12.48</w:t>
            </w:r>
          </w:p>
        </w:tc>
        <w:tc>
          <w:tcPr>
            <w:tcW w:w="83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15.39</w:t>
            </w:r>
          </w:p>
        </w:tc>
        <w:tc>
          <w:tcPr>
            <w:tcW w:w="797"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0.90</w:t>
            </w:r>
          </w:p>
        </w:tc>
        <w:tc>
          <w:tcPr>
            <w:tcW w:w="97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73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8.79</w:t>
            </w:r>
          </w:p>
        </w:tc>
        <w:tc>
          <w:tcPr>
            <w:tcW w:w="70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9.69</w:t>
            </w:r>
          </w:p>
        </w:tc>
        <w:tc>
          <w:tcPr>
            <w:tcW w:w="59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05" w:type="dxa"/>
            <w:vMerge w:val="continue"/>
            <w:vAlign w:val="center"/>
          </w:tcPr>
          <w:p>
            <w:pPr>
              <w:pStyle w:val="29"/>
              <w:rPr>
                <w:b/>
                <w:bCs/>
                <w:color w:val="000000" w:themeColor="text1"/>
                <w:sz w:val="18"/>
                <w:szCs w:val="18"/>
                <w14:textFill>
                  <w14:solidFill>
                    <w14:schemeClr w14:val="tx1"/>
                  </w14:solidFill>
                </w14:textFill>
              </w:rPr>
            </w:pPr>
          </w:p>
        </w:tc>
        <w:tc>
          <w:tcPr>
            <w:tcW w:w="80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2.02</w:t>
            </w:r>
          </w:p>
        </w:tc>
        <w:tc>
          <w:tcPr>
            <w:tcW w:w="649" w:type="dxa"/>
            <w:vAlign w:val="center"/>
          </w:tcPr>
          <w:p>
            <w:pPr>
              <w:pStyle w:val="29"/>
              <w:rPr>
                <w:color w:val="000000" w:themeColor="text1"/>
                <w:sz w:val="18"/>
                <w:szCs w:val="18"/>
                <w14:textFill>
                  <w14:solidFill>
                    <w14:schemeClr w14:val="tx1"/>
                  </w14:solidFill>
                </w14:textFill>
              </w:rPr>
            </w:pPr>
          </w:p>
        </w:tc>
        <w:tc>
          <w:tcPr>
            <w:tcW w:w="96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465" w:type="dxa"/>
            <w:vMerge w:val="continue"/>
            <w:vAlign w:val="center"/>
          </w:tcPr>
          <w:p>
            <w:pPr>
              <w:pStyle w:val="29"/>
              <w:rPr>
                <w:color w:val="000000" w:themeColor="text1"/>
                <w:sz w:val="18"/>
                <w:szCs w:val="18"/>
                <w14:textFill>
                  <w14:solidFill>
                    <w14:schemeClr w14:val="tx1"/>
                  </w14:solidFill>
                </w14:textFill>
              </w:rPr>
            </w:pPr>
          </w:p>
        </w:tc>
        <w:tc>
          <w:tcPr>
            <w:tcW w:w="70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3.69</w:t>
            </w:r>
          </w:p>
        </w:tc>
        <w:tc>
          <w:tcPr>
            <w:tcW w:w="542" w:type="dxa"/>
            <w:vMerge w:val="continue"/>
            <w:vAlign w:val="center"/>
          </w:tcPr>
          <w:p>
            <w:pPr>
              <w:pStyle w:val="29"/>
              <w:rPr>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2"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1664" w:type="dxa"/>
            <w:gridSpan w:val="2"/>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弃渣场区</w:t>
            </w:r>
          </w:p>
        </w:tc>
        <w:tc>
          <w:tcPr>
            <w:tcW w:w="831"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0.27</w:t>
            </w:r>
          </w:p>
        </w:tc>
        <w:tc>
          <w:tcPr>
            <w:tcW w:w="81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3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839"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0.27</w:t>
            </w:r>
          </w:p>
        </w:tc>
        <w:tc>
          <w:tcPr>
            <w:tcW w:w="797"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1.46</w:t>
            </w:r>
          </w:p>
        </w:tc>
        <w:tc>
          <w:tcPr>
            <w:tcW w:w="97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73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703"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1.46</w:t>
            </w:r>
          </w:p>
        </w:tc>
        <w:tc>
          <w:tcPr>
            <w:tcW w:w="59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1.20</w:t>
            </w:r>
          </w:p>
        </w:tc>
        <w:tc>
          <w:tcPr>
            <w:tcW w:w="805"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场内道路区</w:t>
            </w:r>
          </w:p>
        </w:tc>
        <w:tc>
          <w:tcPr>
            <w:tcW w:w="80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649"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6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465"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c>
          <w:tcPr>
            <w:tcW w:w="700" w:type="dxa"/>
            <w:vAlign w:val="center"/>
          </w:tcPr>
          <w:p>
            <w:pPr>
              <w:pStyle w:val="2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w:t>
            </w:r>
          </w:p>
        </w:tc>
        <w:tc>
          <w:tcPr>
            <w:tcW w:w="54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126" w:type="dxa"/>
            <w:gridSpan w:val="3"/>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合计</w:t>
            </w:r>
          </w:p>
        </w:tc>
        <w:tc>
          <w:tcPr>
            <w:tcW w:w="831"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5.29</w:t>
            </w:r>
          </w:p>
        </w:tc>
        <w:tc>
          <w:tcPr>
            <w:tcW w:w="819"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14.76</w:t>
            </w:r>
          </w:p>
        </w:tc>
        <w:tc>
          <w:tcPr>
            <w:tcW w:w="833"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24.62</w:t>
            </w:r>
          </w:p>
        </w:tc>
        <w:tc>
          <w:tcPr>
            <w:tcW w:w="839"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44.66</w:t>
            </w:r>
          </w:p>
        </w:tc>
        <w:tc>
          <w:tcPr>
            <w:tcW w:w="797"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5.28</w:t>
            </w:r>
          </w:p>
        </w:tc>
        <w:tc>
          <w:tcPr>
            <w:tcW w:w="970"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6.18</w:t>
            </w:r>
          </w:p>
        </w:tc>
        <w:tc>
          <w:tcPr>
            <w:tcW w:w="734"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19.48</w:t>
            </w:r>
          </w:p>
        </w:tc>
        <w:tc>
          <w:tcPr>
            <w:tcW w:w="703"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30.94</w:t>
            </w:r>
          </w:p>
        </w:tc>
        <w:tc>
          <w:tcPr>
            <w:tcW w:w="595" w:type="dxa"/>
            <w:vAlign w:val="center"/>
          </w:tcPr>
          <w:p>
            <w:pPr>
              <w:pStyle w:val="29"/>
              <w:rPr>
                <w:b/>
                <w:bCs/>
                <w:color w:val="000000" w:themeColor="text1"/>
                <w:sz w:val="18"/>
                <w:szCs w:val="18"/>
                <w14:textFill>
                  <w14:solidFill>
                    <w14:schemeClr w14:val="tx1"/>
                  </w14:solidFill>
                </w14:textFill>
              </w:rPr>
            </w:pPr>
            <w:r>
              <w:rPr>
                <w:rFonts w:eastAsia="等线" w:cs="Times New Roman"/>
                <w:b/>
                <w:bCs/>
                <w:color w:val="000000" w:themeColor="text1"/>
                <w:sz w:val="18"/>
                <w:szCs w:val="18"/>
                <w14:textFill>
                  <w14:solidFill>
                    <w14:schemeClr w14:val="tx1"/>
                  </w14:solidFill>
                </w14:textFill>
              </w:rPr>
              <w:t>3.47</w:t>
            </w:r>
          </w:p>
        </w:tc>
        <w:tc>
          <w:tcPr>
            <w:tcW w:w="805" w:type="dxa"/>
            <w:vAlign w:val="center"/>
          </w:tcPr>
          <w:p>
            <w:pPr>
              <w:pStyle w:val="29"/>
              <w:rPr>
                <w:b/>
                <w:bCs/>
                <w:color w:val="000000" w:themeColor="text1"/>
                <w:sz w:val="18"/>
                <w:szCs w:val="18"/>
                <w14:textFill>
                  <w14:solidFill>
                    <w14:schemeClr w14:val="tx1"/>
                  </w14:solidFill>
                </w14:textFill>
              </w:rPr>
            </w:pPr>
          </w:p>
        </w:tc>
        <w:tc>
          <w:tcPr>
            <w:tcW w:w="802"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3.47</w:t>
            </w:r>
          </w:p>
        </w:tc>
        <w:tc>
          <w:tcPr>
            <w:tcW w:w="649" w:type="dxa"/>
            <w:vAlign w:val="center"/>
          </w:tcPr>
          <w:p>
            <w:pPr>
              <w:pStyle w:val="29"/>
              <w:rPr>
                <w:b/>
                <w:bCs/>
                <w:color w:val="000000" w:themeColor="text1"/>
                <w:sz w:val="18"/>
                <w:szCs w:val="18"/>
                <w14:textFill>
                  <w14:solidFill>
                    <w14:schemeClr w14:val="tx1"/>
                  </w14:solidFill>
                </w14:textFill>
              </w:rPr>
            </w:pPr>
          </w:p>
        </w:tc>
        <w:tc>
          <w:tcPr>
            <w:tcW w:w="964"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0.00</w:t>
            </w:r>
          </w:p>
        </w:tc>
        <w:tc>
          <w:tcPr>
            <w:tcW w:w="465" w:type="dxa"/>
            <w:vAlign w:val="center"/>
          </w:tcPr>
          <w:p>
            <w:pPr>
              <w:pStyle w:val="29"/>
              <w:rPr>
                <w:b/>
                <w:bCs/>
                <w:color w:val="000000" w:themeColor="text1"/>
                <w:sz w:val="18"/>
                <w:szCs w:val="18"/>
                <w14:textFill>
                  <w14:solidFill>
                    <w14:schemeClr w14:val="tx1"/>
                  </w14:solidFill>
                </w14:textFill>
              </w:rPr>
            </w:pPr>
          </w:p>
        </w:tc>
        <w:tc>
          <w:tcPr>
            <w:tcW w:w="700" w:type="dxa"/>
            <w:vAlign w:val="center"/>
          </w:tcPr>
          <w:p>
            <w:pPr>
              <w:pStyle w:val="29"/>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13.72</w:t>
            </w:r>
          </w:p>
        </w:tc>
        <w:tc>
          <w:tcPr>
            <w:tcW w:w="542" w:type="dxa"/>
            <w:vAlign w:val="center"/>
          </w:tcPr>
          <w:p>
            <w:pPr>
              <w:pStyle w:val="29"/>
              <w:rPr>
                <w:b/>
                <w:bCs/>
                <w:color w:val="000000" w:themeColor="text1"/>
                <w:sz w:val="18"/>
                <w:szCs w:val="18"/>
                <w14:textFill>
                  <w14:solidFill>
                    <w14:schemeClr w14:val="tx1"/>
                  </w14:solidFill>
                </w14:textFill>
              </w:rPr>
            </w:pPr>
          </w:p>
        </w:tc>
      </w:tr>
    </w:tbl>
    <w:p>
      <w:pPr>
        <w:pStyle w:val="29"/>
        <w:rPr>
          <w:color w:val="000000" w:themeColor="text1"/>
          <w14:textFill>
            <w14:solidFill>
              <w14:schemeClr w14:val="tx1"/>
            </w14:solidFill>
          </w14:textFill>
        </w:rPr>
      </w:pPr>
    </w:p>
    <w:p>
      <w:pPr>
        <w:ind w:firstLine="720"/>
        <w:rPr>
          <w:rFonts w:ascii="楷体_GB2312" w:eastAsia="楷体_GB2312"/>
          <w:color w:val="000000" w:themeColor="text1"/>
          <w:sz w:val="36"/>
          <w:szCs w:val="36"/>
          <w14:textFill>
            <w14:solidFill>
              <w14:schemeClr w14:val="tx1"/>
            </w14:solidFill>
          </w14:textFill>
        </w:rPr>
        <w:sectPr>
          <w:pgSz w:w="16838" w:h="11906" w:orient="landscape"/>
          <w:pgMar w:top="1531" w:right="1440" w:bottom="1531" w:left="1440" w:header="851" w:footer="1077" w:gutter="0"/>
          <w:cols w:space="425" w:num="1"/>
          <w:docGrid w:type="lines" w:linePitch="326" w:charSpace="0"/>
        </w:sectPr>
      </w:pPr>
    </w:p>
    <w:p>
      <w:pPr>
        <w:ind w:firstLine="0" w:firstLineChars="0"/>
        <w:jc w:val="center"/>
        <w:outlineLvl w:val="0"/>
        <w:rPr>
          <w:rFonts w:ascii="黑体" w:hAnsi="黑体" w:eastAsia="黑体"/>
          <w:color w:val="000000" w:themeColor="text1"/>
          <w:sz w:val="30"/>
          <w:szCs w:val="30"/>
          <w14:textFill>
            <w14:solidFill>
              <w14:schemeClr w14:val="tx1"/>
            </w14:solidFill>
          </w14:textFill>
        </w:rPr>
      </w:pPr>
      <w:bookmarkStart w:id="26" w:name="_Toc157554961"/>
      <w:bookmarkStart w:id="27" w:name="_Toc88744729"/>
      <w:r>
        <w:rPr>
          <w:rFonts w:hint="eastAsia" w:ascii="黑体" w:hAnsi="黑体" w:eastAsia="黑体"/>
          <w:color w:val="000000" w:themeColor="text1"/>
          <w:sz w:val="30"/>
          <w:szCs w:val="30"/>
          <w14:textFill>
            <w14:solidFill>
              <w14:schemeClr w14:val="tx1"/>
            </w14:solidFill>
          </w14:textFill>
        </w:rPr>
        <w:t>三、生态环境现状、保护目标及评价标准</w:t>
      </w:r>
      <w:bookmarkEnd w:id="26"/>
      <w:bookmarkEnd w:id="27"/>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生态环境现状</w:t>
            </w:r>
          </w:p>
        </w:tc>
        <w:tc>
          <w:tcPr>
            <w:tcW w:w="8377" w:type="dxa"/>
          </w:tcPr>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云南省主体功能区规划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根据《云南省主体功能区规划》（云政发〔20</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1号），拟建项目位于国家农产品主产区（云南有49个县市属于国家农产品主产区），属于限制开发区域。区域功能定位为：①农产品主产区是保障粮食产品和主要农产品供给安全的基地，全省农业产业化的重要地区，现代农业的示范基地，农村居民安居乐业的美好家园，社会主义新农村建设的示范区。②农产品主产区主要以大力发展高原特色农业为重点，切实保护耕地，稳定粮食生产，发展现代农业，增强农业综合生产能力，增加农民收入，加快建设社会主义新农村，有效增强农产品供给保障能力，确保国家粮食安全和食品安全。另外，《云南省主体功能区规划》在能源开发与布局中对于风电场建设要求：“妥善处理好风电开发与环境保护的关系，规范风电有序发展，严格按照规划环评要求，取消位于鸟类迁徙通道和生物多样性丰富区的风电场，科学合理确定风电开发规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查询，拟建项目已避开《云南省主体功能区规划》中禁止开发名录中所列的自然保护区、世界遗产地、风景名胜区、森林公园、地质公园、饮用水水源保护区、湿地公园等。项目在建设过程中将扰动原地貌，造成一定程度的水土流失，项目施工过程中在采取一定的工程措施、植物措施、临时措施后，将显著降低水土流失危害。项目建成后，将对临时占地区进行植被恢复或复耕，这将进一步减小项目建设对当地农业生产的不利影响。拟建项目建设区域位于山脊，不属于生物多样性丰富的区域，项目区也不在云南省主要鸟类迁徙通道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位于会泽县南部山区的山脊区域，该区域主要分布为林地、草地等，耕地零星分布；根据现场调查情况，项目的建设不占用基本农田，占用耕地面积较少，项目区不属于农产品集中分布区，因此，拟建项目不会影响会泽县作为农产品主产区主要功能的发挥，项目建设与《云南省主体功能区规划》中会泽县的功能定位不冲突。</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3134995</wp:posOffset>
                      </wp:positionH>
                      <wp:positionV relativeFrom="paragraph">
                        <wp:posOffset>570865</wp:posOffset>
                      </wp:positionV>
                      <wp:extent cx="984250" cy="371475"/>
                      <wp:effectExtent l="0" t="0" r="25400" b="542925"/>
                      <wp:wrapNone/>
                      <wp:docPr id="13" name="对话气泡: 矩形 13"/>
                      <wp:cNvGraphicFramePr/>
                      <a:graphic xmlns:a="http://schemas.openxmlformats.org/drawingml/2006/main">
                        <a:graphicData uri="http://schemas.microsoft.com/office/word/2010/wordprocessingShape">
                          <wps:wsp>
                            <wps:cNvSpPr/>
                            <wps:spPr>
                              <a:xfrm>
                                <a:off x="0" y="0"/>
                                <a:ext cx="984250" cy="371475"/>
                              </a:xfrm>
                              <a:prstGeom prst="wedgeRectCallout">
                                <a:avLst>
                                  <a:gd name="adj1" fmla="val -46873"/>
                                  <a:gd name="adj2" fmla="val 17323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szCs w:val="24"/>
                                    </w:rPr>
                                  </w:pPr>
                                  <w:r>
                                    <w:rPr>
                                      <w:rFonts w:hint="eastAsia"/>
                                      <w:b/>
                                      <w:bCs/>
                                      <w:color w:val="FF0000"/>
                                      <w:szCs w:val="24"/>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3" o:spid="_x0000_s1026" o:spt="61" type="#_x0000_t61" style="position:absolute;left:0pt;margin-left:246.85pt;margin-top:44.95pt;height:29.25pt;width:77.5pt;z-index:251659264;v-text-anchor:middle;mso-width-relative:page;mso-height-relative:page;" filled="f" stroked="t" coordsize="21600,21600" o:gfxdata="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Xe/htkAAAAKAQAADwAAAAAAAAABACAAAAAiAAAAZHJzL2Rvd25yZXYueG1sUEsBAhQA&#10;FAAAAAgAh07iQGap76KcAgAA9gQAAA4AAAAAAAAAAQAgAAAAKAEAAGRycy9lMm9Eb2MueG1sUEsF&#10;BgAAAAAGAAYAWQEAADYGAAAAAA==&#10;" adj="675,48220">
                      <v:fill on="f" focussize="0,0"/>
                      <v:stroke weight="1pt" color="#FF0000 [3204]" miterlimit="8" joinstyle="miter"/>
                      <v:imagedata o:title=""/>
                      <o:lock v:ext="edit" aspectratio="f"/>
                      <v:textbox>
                        <w:txbxContent>
                          <w:p>
                            <w:pPr>
                              <w:ind w:firstLine="0" w:firstLineChars="0"/>
                              <w:rPr>
                                <w:b/>
                                <w:bCs/>
                                <w:color w:val="FF0000"/>
                                <w:szCs w:val="24"/>
                              </w:rPr>
                            </w:pPr>
                            <w:r>
                              <w:rPr>
                                <w:rFonts w:hint="eastAsia"/>
                                <w:b/>
                                <w:bCs/>
                                <w:color w:val="FF0000"/>
                                <w:szCs w:val="24"/>
                              </w:rPr>
                              <w:t>项目所在地</w:t>
                            </w:r>
                          </w:p>
                        </w:txbxContent>
                      </v:textbox>
                    </v:shape>
                  </w:pict>
                </mc:Fallback>
              </mc:AlternateContent>
            </w:r>
            <w:bookmarkStart w:id="28" w:name="_Hlk156070711"/>
            <w:r>
              <w:rPr>
                <w:color w:val="000000" w:themeColor="text1"/>
                <w14:textFill>
                  <w14:solidFill>
                    <w14:schemeClr w14:val="tx1"/>
                  </w14:solidFill>
                </w14:textFill>
              </w:rPr>
              <w:drawing>
                <wp:inline distT="0" distB="0" distL="0" distR="0">
                  <wp:extent cx="5182235" cy="36385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7212" cy="3704909"/>
                          </a:xfrm>
                          <a:prstGeom prst="rect">
                            <a:avLst/>
                          </a:prstGeom>
                          <a:noFill/>
                          <a:ln>
                            <a:no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项目与云南省主体功能区位置关系</w:t>
            </w:r>
          </w:p>
          <w:bookmarkEnd w:id="28"/>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云南省生态功能区划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根据《云南省生态功能区划》，项目位于会泽县南部，属于牛栏江、南盘江上游岩溶山原水源涵养生态功能区。所在地生态功能区单元及其生态服务功能、主要生态问题及产业发展方向见下表。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  云南省生态功能区划简表</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1277"/>
              <w:gridCol w:w="57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0"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生态功能分区单元</w:t>
                  </w:r>
                </w:p>
              </w:tc>
              <w:tc>
                <w:tcPr>
                  <w:tcW w:w="127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生态区</w:t>
                  </w:r>
                </w:p>
              </w:tc>
              <w:tc>
                <w:tcPr>
                  <w:tcW w:w="573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Ⅲ 高原亚热带北部常绿阔叶林生态区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0" w:type="dxa"/>
                  <w:vMerge w:val="continue"/>
                  <w:vAlign w:val="center"/>
                </w:tcPr>
                <w:p>
                  <w:pPr>
                    <w:pStyle w:val="29"/>
                    <w:rPr>
                      <w:color w:val="000000" w:themeColor="text1"/>
                      <w14:textFill>
                        <w14:solidFill>
                          <w14:schemeClr w14:val="tx1"/>
                        </w14:solidFill>
                      </w14:textFill>
                    </w:rPr>
                  </w:pPr>
                </w:p>
              </w:tc>
              <w:tc>
                <w:tcPr>
                  <w:tcW w:w="127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生态亚区</w:t>
                  </w:r>
                </w:p>
              </w:tc>
              <w:tc>
                <w:tcPr>
                  <w:tcW w:w="573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Ⅲ4 滇东北高中山暖性针叶林、亚高山草甸生态亚区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0" w:type="dxa"/>
                  <w:vMerge w:val="continue"/>
                  <w:vAlign w:val="center"/>
                </w:tcPr>
                <w:p>
                  <w:pPr>
                    <w:pStyle w:val="29"/>
                    <w:rPr>
                      <w:color w:val="000000" w:themeColor="text1"/>
                      <w14:textFill>
                        <w14:solidFill>
                          <w14:schemeClr w14:val="tx1"/>
                        </w14:solidFill>
                      </w14:textFill>
                    </w:rPr>
                  </w:pPr>
                </w:p>
              </w:tc>
              <w:tc>
                <w:tcPr>
                  <w:tcW w:w="127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生态功能区</w:t>
                  </w:r>
                </w:p>
              </w:tc>
              <w:tc>
                <w:tcPr>
                  <w:tcW w:w="573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Ⅲ4-4 牛栏江、南盘江上游岩溶山原水源涵养生态功能区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397"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所在区域与面积</w:t>
                  </w:r>
                </w:p>
              </w:tc>
              <w:tc>
                <w:tcPr>
                  <w:tcW w:w="573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沾益</w:t>
                  </w:r>
                  <w:r>
                    <w:rPr>
                      <w:rFonts w:hint="eastAsia"/>
                      <w:color w:val="000000" w:themeColor="text1"/>
                      <w:lang w:val="en-US" w:eastAsia="zh-CN"/>
                      <w14:textFill>
                        <w14:solidFill>
                          <w14:schemeClr w14:val="tx1"/>
                        </w14:solidFill>
                      </w14:textFill>
                    </w:rPr>
                    <w:t>区</w:t>
                  </w:r>
                  <w:r>
                    <w:rPr>
                      <w:rFonts w:hint="eastAsia"/>
                      <w:color w:val="000000" w:themeColor="text1"/>
                      <w14:textFill>
                        <w14:solidFill>
                          <w14:schemeClr w14:val="tx1"/>
                        </w14:solidFill>
                      </w14:textFill>
                    </w:rPr>
                    <w:t>北部，宣威市西部以及会泽县南部地区，面积5628.93km</w:t>
                  </w:r>
                  <w:r>
                    <w:rPr>
                      <w:rFonts w:hint="eastAsia"/>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397"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主要生态特征</w:t>
                  </w:r>
                </w:p>
              </w:tc>
              <w:tc>
                <w:tcPr>
                  <w:tcW w:w="5734" w:type="dxa"/>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地貌以石灰岩山原为主，大部分地区的年降雨量在1000-1200mm，主要植被类型为云南松林，生长较差。主要土壤类型为黄棕壤和红壤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397"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主要生态环境问题</w:t>
                  </w:r>
                </w:p>
              </w:tc>
              <w:tc>
                <w:tcPr>
                  <w:tcW w:w="573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土地垦殖过度、森林退化严重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397"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生态环境敏感性</w:t>
                  </w:r>
                </w:p>
              </w:tc>
              <w:tc>
                <w:tcPr>
                  <w:tcW w:w="573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石漠化高中度敏感、土壤侵蚀中度敏感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397" w:type="dxa"/>
                  <w:gridSpan w:val="2"/>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主要生态系统服务功能</w:t>
                  </w:r>
                </w:p>
              </w:tc>
              <w:tc>
                <w:tcPr>
                  <w:tcW w:w="573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牛栏江、南盘江上游岩溶地区的水源涵养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397" w:type="dxa"/>
                  <w:gridSpan w:val="2"/>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保护措施与发展方向</w:t>
                  </w:r>
                </w:p>
              </w:tc>
              <w:tc>
                <w:tcPr>
                  <w:tcW w:w="5734" w:type="dxa"/>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严格退耕还林，加大封山育林的力度，调整产业结构，提高森林的数量和质量</w:t>
                  </w:r>
                </w:p>
              </w:tc>
            </w:tr>
          </w:tbl>
          <w:p>
            <w:pPr>
              <w:ind w:firstLine="480"/>
              <w:rPr>
                <w:color w:val="000000" w:themeColor="text1"/>
                <w14:textFill>
                  <w14:solidFill>
                    <w14:schemeClr w14:val="tx1"/>
                  </w14:solidFill>
                </w14:textFill>
              </w:rPr>
            </w:pPr>
            <w:bookmarkStart w:id="29" w:name="_Hlk157559516"/>
            <w:r>
              <w:rPr>
                <w:rFonts w:hint="eastAsia"/>
                <w:color w:val="000000" w:themeColor="text1"/>
                <w14:textFill>
                  <w14:solidFill>
                    <w14:schemeClr w14:val="tx1"/>
                  </w14:solidFill>
                </w14:textFill>
              </w:rPr>
              <w:t>拟建项目位于山顶区域，根据现场调查情况，项目建设区植被保存较好，具有较好的水源涵养与水土保持功能，项目的建设将不可避免的会对该区域的水土保持功能产生一定的影响，为了保护该区域的生态功能，建设单位已经委托昆明睿清水土保持咨询有限公司编制了水土保持方案报告书，根据《水保报告》的结论：“本工程建设方案布局合理，水土流失防治方面符合水土保持法律法规、技术标准的规定，实施水土保持措施后能达到控制水土流失、保护生态环境的目的。”项目的选址和选点，已避让环境敏感区以及保存较好的森林资源，进一步降低了项目建设对森林植被的破坏，项目建成后，将对临时占地区进行植被恢复或复耕，因此，只要认真落实水土保持措施和生态保护措施，项目建设不会破坏牛栏江、</w:t>
            </w:r>
            <w:bookmarkEnd w:id="29"/>
            <w:r>
              <w:rPr>
                <w:rFonts w:hint="eastAsia"/>
                <w:color w:val="000000" w:themeColor="text1"/>
                <w14:textFill>
                  <w14:solidFill>
                    <w14:schemeClr w14:val="tx1"/>
                  </w14:solidFill>
                </w14:textFill>
              </w:rPr>
              <w:t>南盘江上游岩溶地区的</w:t>
            </w:r>
            <w:bookmarkStart w:id="30" w:name="_Hlk157559547"/>
            <w:r>
              <w:rPr>
                <w:rFonts w:hint="eastAsia"/>
                <w:color w:val="000000" w:themeColor="text1"/>
                <w14:textFill>
                  <w14:solidFill>
                    <w14:schemeClr w14:val="tx1"/>
                  </w14:solidFill>
                </w14:textFill>
              </w:rPr>
              <w:t>水源涵养功能</w:t>
            </w:r>
            <w:bookmarkEnd w:id="30"/>
            <w:r>
              <w:rPr>
                <w:rFonts w:hint="eastAsia"/>
                <w:color w:val="000000" w:themeColor="text1"/>
                <w14:textFill>
                  <w14:solidFill>
                    <w14:schemeClr w14:val="tx1"/>
                  </w14:solidFill>
                </w14:textFill>
              </w:rPr>
              <w:t>。项目符合《云南省生态功能区划》要求。</w:t>
            </w:r>
          </w:p>
          <w:p>
            <w:pPr>
              <w:pStyle w:val="2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2676525</wp:posOffset>
                      </wp:positionH>
                      <wp:positionV relativeFrom="paragraph">
                        <wp:posOffset>616585</wp:posOffset>
                      </wp:positionV>
                      <wp:extent cx="984250" cy="371475"/>
                      <wp:effectExtent l="0" t="0" r="25400" b="561975"/>
                      <wp:wrapNone/>
                      <wp:docPr id="15" name="对话气泡: 矩形 15"/>
                      <wp:cNvGraphicFramePr/>
                      <a:graphic xmlns:a="http://schemas.openxmlformats.org/drawingml/2006/main">
                        <a:graphicData uri="http://schemas.microsoft.com/office/word/2010/wordprocessingShape">
                          <wps:wsp>
                            <wps:cNvSpPr/>
                            <wps:spPr>
                              <a:xfrm>
                                <a:off x="0" y="0"/>
                                <a:ext cx="984250" cy="371475"/>
                              </a:xfrm>
                              <a:prstGeom prst="wedgeRectCallout">
                                <a:avLst>
                                  <a:gd name="adj1" fmla="val -47099"/>
                                  <a:gd name="adj2" fmla="val 1774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szCs w:val="24"/>
                                    </w:rPr>
                                  </w:pPr>
                                  <w:r>
                                    <w:rPr>
                                      <w:rFonts w:hint="eastAsia"/>
                                      <w:b/>
                                      <w:bCs/>
                                      <w:color w:val="FF0000"/>
                                      <w:szCs w:val="24"/>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5" o:spid="_x0000_s1026" o:spt="61" type="#_x0000_t61" style="position:absolute;left:0pt;margin-left:210.75pt;margin-top:48.55pt;height:29.25pt;width:77.5pt;z-index:251660288;v-text-anchor:middle;mso-width-relative:page;mso-height-relative:page;" filled="f" stroked="t" coordsize="21600,21600" o:gfxdata="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B&#10;PMkS1QAAAAoBAAAPAAAAAAAAAAEAIAAAACIAAABkcnMvZG93bnJldi54bWxQSwECFAAUAAAACACH&#10;TuJAsPvluZkCAAD2BAAADgAAAAAAAAABACAAAAAkAQAAZHJzL2Uyb0RvYy54bWxQSwUGAAAAAAYA&#10;BgBZAQAALwYAAAAA&#10;" adj="627,49121">
                      <v:fill on="f" focussize="0,0"/>
                      <v:stroke weight="1pt" color="#FF0000 [3204]" miterlimit="8" joinstyle="miter"/>
                      <v:imagedata o:title=""/>
                      <o:lock v:ext="edit" aspectratio="f"/>
                      <v:textbox>
                        <w:txbxContent>
                          <w:p>
                            <w:pPr>
                              <w:ind w:firstLine="0" w:firstLineChars="0"/>
                              <w:rPr>
                                <w:b/>
                                <w:bCs/>
                                <w:color w:val="FF0000"/>
                                <w:szCs w:val="24"/>
                              </w:rPr>
                            </w:pPr>
                            <w:r>
                              <w:rPr>
                                <w:rFonts w:hint="eastAsia"/>
                                <w:b/>
                                <w:bCs/>
                                <w:color w:val="FF0000"/>
                                <w:szCs w:val="24"/>
                              </w:rPr>
                              <w:t>项目所在地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2642870</wp:posOffset>
                      </wp:positionH>
                      <wp:positionV relativeFrom="paragraph">
                        <wp:posOffset>1475740</wp:posOffset>
                      </wp:positionV>
                      <wp:extent cx="50800" cy="45085"/>
                      <wp:effectExtent l="0" t="0" r="25400" b="12065"/>
                      <wp:wrapNone/>
                      <wp:docPr id="16" name="流程图: 过程 16"/>
                      <wp:cNvGraphicFramePr/>
                      <a:graphic xmlns:a="http://schemas.openxmlformats.org/drawingml/2006/main">
                        <a:graphicData uri="http://schemas.microsoft.com/office/word/2010/wordprocessingShape">
                          <wps:wsp>
                            <wps:cNvSpPr/>
                            <wps:spPr>
                              <a:xfrm>
                                <a:off x="0" y="0"/>
                                <a:ext cx="50800" cy="45085"/>
                              </a:xfrm>
                              <a:prstGeom prst="flowChartProces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08.1pt;margin-top:116.2pt;height:3.55pt;width:4pt;z-index:251661312;v-text-anchor:middle;mso-width-relative:page;mso-height-relative:page;" fillcolor="#FF0000" filled="t" stroked="t" coordsize="21600,21600" o:gfxdata="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g2d22QAAAAsBAAAPAAAAAAAAAAEAIAAAACIAAABkcnMvZG93bnJldi54bWxQSwECFAAU&#10;AAAACACHTuJAdL+xnmICAAC8BAAADgAAAAAAAAABACAAAAAoAQAAZHJzL2Uyb0RvYy54bWxQSwUG&#10;AAAAAAYABgBZAQAA/AUAAAAA&#10;">
                      <v:fill on="t" focussize="0,0"/>
                      <v:stroke weight="1pt" color="#FF0000 [32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0" distR="0">
                  <wp:extent cx="5133975" cy="3644265"/>
                  <wp:effectExtent l="19050" t="19050" r="952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46012" cy="3653096"/>
                          </a:xfrm>
                          <a:prstGeom prst="rect">
                            <a:avLst/>
                          </a:prstGeom>
                          <a:noFill/>
                          <a:ln>
                            <a:solidFill>
                              <a:schemeClr val="tx1"/>
                            </a:solidFill>
                          </a:ln>
                        </pic:spPr>
                      </pic:pic>
                    </a:graphicData>
                  </a:graphic>
                </wp:inline>
              </w:drawing>
            </w:r>
          </w:p>
          <w:p>
            <w:pPr>
              <w:pStyle w:val="41"/>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color w:val="000000" w:themeColor="text1"/>
                <w14:textFill>
                  <w14:solidFill>
                    <w14:schemeClr w14:val="tx1"/>
                  </w14:solidFill>
                </w14:textFill>
              </w:rPr>
              <w:t xml:space="preserve">.1-2  </w:t>
            </w:r>
            <w:bookmarkStart w:id="31" w:name="_Hlk156070816"/>
            <w:r>
              <w:rPr>
                <w:rFonts w:hint="eastAsia"/>
                <w:color w:val="000000" w:themeColor="text1"/>
                <w14:textFill>
                  <w14:solidFill>
                    <w14:schemeClr w14:val="tx1"/>
                  </w14:solidFill>
                </w14:textFill>
              </w:rPr>
              <w:t>项目与云南省生态功能区划位置关系</w:t>
            </w:r>
            <w:bookmarkEnd w:id="31"/>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环境敏感区调查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根据资料收集及现场调查，本项目周边敏感区分布情况详见下表。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项目区周边敏感区分布情况一览表</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851"/>
              <w:gridCol w:w="4552"/>
              <w:gridCol w:w="20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96"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敏感区</w:t>
                  </w:r>
                </w:p>
              </w:tc>
              <w:tc>
                <w:tcPr>
                  <w:tcW w:w="4552" w:type="dxa"/>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敏感区基本情况</w:t>
                  </w:r>
                </w:p>
              </w:tc>
              <w:tc>
                <w:tcPr>
                  <w:tcW w:w="2032" w:type="dxa"/>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与本项目位置关系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会泽黑颈鹤国家级自然保护区</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会泽黑颈鹤自然保护区始建于1990年，1994年晋升为省级自然保护区（云政复〔1994〕38号），2006年2月晋升为国家级自然保护区（国办发〔2006〕9号）。该自然保护区位于会泽县境内，总面积12910.64hm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，由大桥和长海子2个片区组成。大桥片区位于会泽县大桥乡的跃进水库流域，距县城60km，位于东经</w:t>
                  </w:r>
                  <w:r>
                    <w:rPr>
                      <w:rFonts w:cs="Times New Roman"/>
                      <w:color w:val="000000" w:themeColor="text1"/>
                      <w:szCs w:val="21"/>
                      <w14:textFill>
                        <w14:solidFill>
                          <w14:schemeClr w14:val="tx1"/>
                        </w14:solidFill>
                      </w14:textFill>
                    </w:rPr>
                    <w:t>103°12′06″～103°22′02″和北纬26°38′00″～26°44′24″</w:t>
                  </w:r>
                  <w:r>
                    <w:rPr>
                      <w:rFonts w:hint="eastAsia"/>
                      <w:color w:val="000000" w:themeColor="text1"/>
                      <w:szCs w:val="21"/>
                      <w14:textFill>
                        <w14:solidFill>
                          <w14:schemeClr w14:val="tx1"/>
                        </w14:solidFill>
                      </w14:textFill>
                    </w:rPr>
                    <w:t>之间，面积为9076.28hm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；长海子片区位于会泽县者海镇的长海子水库流域，距县城52km，位于东经</w:t>
                  </w:r>
                  <w:r>
                    <w:rPr>
                      <w:rFonts w:cs="Times New Roman"/>
                      <w:color w:val="000000" w:themeColor="text1"/>
                      <w:szCs w:val="21"/>
                      <w14:textFill>
                        <w14:solidFill>
                          <w14:schemeClr w14:val="tx1"/>
                        </w14:solidFill>
                      </w14:textFill>
                    </w:rPr>
                    <w:t>103°33′36″～103°39′00″和北纬26°34′08″～26°39′36″</w:t>
                  </w:r>
                  <w:r>
                    <w:rPr>
                      <w:rFonts w:hint="eastAsia"/>
                      <w:color w:val="000000" w:themeColor="text1"/>
                      <w:szCs w:val="21"/>
                      <w14:textFill>
                        <w14:solidFill>
                          <w14:schemeClr w14:val="tx1"/>
                        </w14:solidFill>
                      </w14:textFill>
                    </w:rPr>
                    <w:t>之间，面积为3834.36hm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。会泽黑颈鹤国家级自然保护区属湿地生态类型的自然保护区，主要保护对象为黑颈鹤及其越冬栖息的高原湿地生态系统。</w:t>
                  </w:r>
                </w:p>
              </w:tc>
              <w:tc>
                <w:tcPr>
                  <w:tcW w:w="203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本项目位于会泽黑颈鹤国家级自然保护区南侧，最近距离为大桥片区，约</w:t>
                  </w:r>
                  <w:r>
                    <w:rPr>
                      <w:color w:val="000000" w:themeColor="text1"/>
                      <w:szCs w:val="21"/>
                      <w14:textFill>
                        <w14:solidFill>
                          <w14:schemeClr w14:val="tx1"/>
                        </w14:solidFill>
                      </w14:textFill>
                    </w:rPr>
                    <w:t>46</w:t>
                  </w:r>
                  <w:r>
                    <w:rPr>
                      <w:rFonts w:hint="eastAsia"/>
                      <w:color w:val="000000" w:themeColor="text1"/>
                      <w:szCs w:val="21"/>
                      <w14:textFill>
                        <w14:solidFill>
                          <w14:schemeClr w14:val="tx1"/>
                        </w14:solidFill>
                      </w14:textFill>
                    </w:rPr>
                    <w:t>km（</w:t>
                  </w:r>
                  <w:r>
                    <w:rPr>
                      <w:color w:val="000000" w:themeColor="text1"/>
                      <w:szCs w:val="21"/>
                      <w14:textFill>
                        <w14:solidFill>
                          <w14:schemeClr w14:val="tx1"/>
                        </w14:solidFill>
                      </w14:textFill>
                    </w:rPr>
                    <w:t>68</w:t>
                  </w:r>
                  <w:r>
                    <w:rPr>
                      <w:rFonts w:hint="eastAsia"/>
                      <w:color w:val="000000" w:themeColor="text1"/>
                      <w:szCs w:val="21"/>
                      <w14:textFill>
                        <w14:solidFill>
                          <w14:schemeClr w14:val="tx1"/>
                        </w14:solidFill>
                      </w14:textFill>
                    </w:rPr>
                    <w:t>#风机），项目不涉及会泽黑颈鹤国家级自然保护区。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会泽牯牛寨杜鹃县级自然保护区</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会泽牯牛寨杜鹃县级自然保护区总面积3155.38hm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，其中核心区面积2001.97hm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，实验区面积1153.41hm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。保护区涉及大海乡4个村委会，面积842.57hm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，待补镇的2个村委会，面积2312.81hm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，规划为大牯牛寨、小牯牛寨2个片区。主要保护对象为：天然杜鹃林；天然高山草甸；保护区域范围重要水源涵养地。</w:t>
                  </w:r>
                </w:p>
              </w:tc>
              <w:tc>
                <w:tcPr>
                  <w:tcW w:w="2032" w:type="dxa"/>
                  <w:vAlign w:val="center"/>
                </w:tcPr>
                <w:p>
                  <w:pPr>
                    <w:pStyle w:val="29"/>
                    <w:jc w:val="both"/>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本项目位于会泽牯牛寨杜鹃县级自然保护区东南侧，距离试验区最近距离为</w:t>
                  </w: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km（</w:t>
                  </w:r>
                  <w:r>
                    <w:rPr>
                      <w:color w:val="000000" w:themeColor="text1"/>
                      <w:szCs w:val="21"/>
                      <w14:textFill>
                        <w14:solidFill>
                          <w14:schemeClr w14:val="tx1"/>
                        </w14:solidFill>
                      </w14:textFill>
                    </w:rPr>
                    <w:t>62</w:t>
                  </w:r>
                  <w:r>
                    <w:rPr>
                      <w:rFonts w:hint="eastAsia"/>
                      <w:color w:val="000000" w:themeColor="text1"/>
                      <w:szCs w:val="21"/>
                      <w14:textFill>
                        <w14:solidFill>
                          <w14:schemeClr w14:val="tx1"/>
                        </w14:solidFill>
                      </w14:textFill>
                    </w:rPr>
                    <w:t>#风机）。项目不涉及会泽牯牛寨杜鹃县级自然保护区</w:t>
                  </w:r>
                  <w:r>
                    <w:rPr>
                      <w:rFonts w:hint="eastAsia"/>
                      <w:color w:val="000000" w:themeColor="text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会泽以礼河省级风景名胜区</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会泽以礼河省级风景名胜区于1996年由云南省人民政府批准建立（云政发〔1996〕138号），批准时的总面积50km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。根据会泽县住房</w:t>
                  </w:r>
                  <w:r>
                    <w:rPr>
                      <w:rFonts w:hint="eastAsia"/>
                      <w:color w:val="000000" w:themeColor="text1"/>
                      <w:szCs w:val="21"/>
                      <w:lang w:val="en-US" w:eastAsia="zh-CN"/>
                      <w14:textFill>
                        <w14:solidFill>
                          <w14:schemeClr w14:val="tx1"/>
                        </w14:solidFill>
                      </w14:textFill>
                    </w:rPr>
                    <w:t>和城乡</w:t>
                  </w:r>
                  <w:r>
                    <w:rPr>
                      <w:rFonts w:hint="eastAsia"/>
                      <w:color w:val="000000" w:themeColor="text1"/>
                      <w:szCs w:val="21"/>
                      <w14:textFill>
                        <w14:solidFill>
                          <w14:schemeClr w14:val="tx1"/>
                        </w14:solidFill>
                      </w14:textFill>
                    </w:rPr>
                    <w:t>建设局提供的《会泽以礼河风景名胜区资源调查评价报告》（会泽县人民政府，1994年12月），会泽以礼河省级风景名胜区划为以下几个片区：以礼河片区（其中包括那咩小箐景区、云峰寺、古驿道、云峰瀑布、以礼河四级电站、三圣宫（文庙）和白雾街民居）；金钟山片区（其中包括毛家村水库景区、金钟山公园、水城梨园、万寿宫和龙潭夜月）；大井大小箐景区；大海仙马槽景区；野马天池塘景区；长海子水库片区；大桥跃进水库片区；光头片区；驾车华山松母树林片区。</w:t>
                  </w:r>
                </w:p>
              </w:tc>
              <w:tc>
                <w:tcPr>
                  <w:tcW w:w="203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本项目位于会泽以礼河省级风景名胜区东南侧，最近距离为</w:t>
                  </w:r>
                  <w:r>
                    <w:rPr>
                      <w:color w:val="000000" w:themeColor="text1"/>
                      <w:szCs w:val="21"/>
                      <w14:textFill>
                        <w14:solidFill>
                          <w14:schemeClr w14:val="tx1"/>
                        </w14:solidFill>
                      </w14:textFill>
                    </w:rPr>
                    <w:t>9.7</w:t>
                  </w:r>
                  <w:r>
                    <w:rPr>
                      <w:rFonts w:hint="eastAsia"/>
                      <w:color w:val="000000" w:themeColor="text1"/>
                      <w:szCs w:val="21"/>
                      <w14:textFill>
                        <w14:solidFill>
                          <w14:schemeClr w14:val="tx1"/>
                        </w14:solidFill>
                      </w14:textFill>
                    </w:rPr>
                    <w:t>km（</w:t>
                  </w:r>
                  <w:r>
                    <w:rPr>
                      <w:color w:val="000000" w:themeColor="text1"/>
                      <w:szCs w:val="21"/>
                      <w14:textFill>
                        <w14:solidFill>
                          <w14:schemeClr w14:val="tx1"/>
                        </w14:solidFill>
                      </w14:textFill>
                    </w:rPr>
                    <w:t>66</w:t>
                  </w:r>
                  <w:r>
                    <w:rPr>
                      <w:rFonts w:hint="eastAsia"/>
                      <w:color w:val="000000" w:themeColor="text1"/>
                      <w:szCs w:val="21"/>
                      <w14:textFill>
                        <w14:solidFill>
                          <w14:schemeClr w14:val="tx1"/>
                        </w14:solidFill>
                      </w14:textFill>
                    </w:rPr>
                    <w:t>#风机）。项目不涉及会泽以礼河省级风景名胜区。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牛栏江流域水环境保护区</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为了加强牛栏江流域水资源的保护，防治水污染，提高水资源开发利用综合效益，云南省人民政府于2010年批复了《牛栏江流域（云南部分）水环境保护规划（2009～2030年）》，云南省第十一届人民代表大会常务委员会第三十四次会议于2012年9月通过了《云南省牛栏江保护条例》。牛栏江流域（云南段）划分为牛栏江德泽水库以上重点保护区（调水水源区）和牛栏江德泽水库以下生态环境保护区（下游区）。其中，调水水源区（Ⅰ区）分为水源保护核心区（I1区）、重点污染控制区（I2区）和水源涵养区（I3）；下游区（Ⅱ区）分为污染控制区（Ⅱ1区）和水源涵养区（Ⅱ2区）。</w:t>
                  </w:r>
                </w:p>
              </w:tc>
              <w:tc>
                <w:tcPr>
                  <w:tcW w:w="2032" w:type="dxa"/>
                  <w:vAlign w:val="center"/>
                </w:tcPr>
                <w:p>
                  <w:pPr>
                    <w:pStyle w:val="29"/>
                    <w:jc w:val="both"/>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45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~70~</w:t>
                  </w:r>
                  <w:r>
                    <w:rPr>
                      <w:rFonts w:hint="eastAsia"/>
                      <w:color w:val="000000" w:themeColor="text1"/>
                      <w:szCs w:val="21"/>
                      <w14:textFill>
                        <w14:solidFill>
                          <w14:schemeClr w14:val="tx1"/>
                        </w14:solidFill>
                      </w14:textFill>
                    </w:rPr>
                    <w:t>风机位于牛栏江上游保护区的重点水源涵养区</w:t>
                  </w:r>
                  <w:r>
                    <w:rPr>
                      <w:rFonts w:hint="eastAsia"/>
                      <w:color w:val="000000" w:themeColor="text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会泽金钟山省级森林公园</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2013年4月11日，原云南省林业厅批复了会泽金钟山省级森林公园（云林复﹝2013﹞49号），会泽金钟山省级森林公园位于曲靖市会泽县，面积544.00hm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，管理单位为会泽县林业局。</w:t>
                  </w:r>
                </w:p>
              </w:tc>
              <w:tc>
                <w:tcPr>
                  <w:tcW w:w="2032" w:type="dxa"/>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本项目位于会泽金钟山省级森林公园东南侧，最近距离</w:t>
                  </w:r>
                  <w:r>
                    <w:rPr>
                      <w:color w:val="000000" w:themeColor="text1"/>
                      <w:szCs w:val="21"/>
                      <w14:textFill>
                        <w14:solidFill>
                          <w14:schemeClr w14:val="tx1"/>
                        </w14:solidFill>
                      </w14:textFill>
                    </w:rPr>
                    <w:t>11.5</w:t>
                  </w:r>
                  <w:r>
                    <w:rPr>
                      <w:rFonts w:hint="eastAsia"/>
                      <w:color w:val="000000" w:themeColor="text1"/>
                      <w:szCs w:val="21"/>
                      <w14:textFill>
                        <w14:solidFill>
                          <w14:schemeClr w14:val="tx1"/>
                        </w14:solidFill>
                      </w14:textFill>
                    </w:rPr>
                    <w:t>km（</w:t>
                  </w:r>
                  <w:r>
                    <w:rPr>
                      <w:color w:val="000000" w:themeColor="text1"/>
                      <w:szCs w:val="21"/>
                      <w14:textFill>
                        <w14:solidFill>
                          <w14:schemeClr w14:val="tx1"/>
                        </w14:solidFill>
                      </w14:textFill>
                    </w:rPr>
                    <w:t>66</w:t>
                  </w:r>
                  <w:r>
                    <w:rPr>
                      <w:rFonts w:hint="eastAsia"/>
                      <w:color w:val="000000" w:themeColor="text1"/>
                      <w:szCs w:val="21"/>
                      <w14:textFill>
                        <w14:solidFill>
                          <w14:schemeClr w14:val="tx1"/>
                        </w14:solidFill>
                      </w14:textFill>
                    </w:rPr>
                    <w:t>#风机）。项目不涉及会泽金钟山省级森林公园。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毛家村水库饮用水水源保护区</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毛家村水库位于会泽县城南面10公里处的以礼河上，径流面积868.2平方公里，全流域范围按行政区域划分，均属会泽县管辖，径流区包括待补镇、新街乡、大海乡、金钟街道等4个乡（镇）。</w:t>
                  </w:r>
                </w:p>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该水库水源地属于会泽县毛家村水库集中式饮用水水源地，水环境功能类别为II类，该水库划分为：一级保护区、二级保护区、准保护区。其中一级保护区面积</w:t>
                  </w:r>
                  <w:r>
                    <w:rPr>
                      <w:color w:val="000000" w:themeColor="text1"/>
                      <w:szCs w:val="21"/>
                      <w14:textFill>
                        <w14:solidFill>
                          <w14:schemeClr w14:val="tx1"/>
                        </w14:solidFill>
                      </w14:textFill>
                    </w:rPr>
                    <w:t>127.83</w:t>
                  </w:r>
                  <w:r>
                    <w:rPr>
                      <w:rFonts w:hint="eastAsia"/>
                      <w:color w:val="000000" w:themeColor="text1"/>
                      <w:szCs w:val="21"/>
                      <w14:textFill>
                        <w14:solidFill>
                          <w14:schemeClr w14:val="tx1"/>
                        </w14:solidFill>
                      </w14:textFill>
                    </w:rPr>
                    <w:t>hm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，二级保护区面积</w:t>
                  </w:r>
                  <w:r>
                    <w:rPr>
                      <w:color w:val="000000" w:themeColor="text1"/>
                      <w:szCs w:val="21"/>
                      <w14:textFill>
                        <w14:solidFill>
                          <w14:schemeClr w14:val="tx1"/>
                        </w14:solidFill>
                      </w14:textFill>
                    </w:rPr>
                    <w:t>911.40</w:t>
                  </w:r>
                  <w:r>
                    <w:rPr>
                      <w:rFonts w:hint="eastAsia"/>
                      <w:color w:val="000000" w:themeColor="text1"/>
                      <w:szCs w:val="21"/>
                      <w14:textFill>
                        <w14:solidFill>
                          <w14:schemeClr w14:val="tx1"/>
                        </w14:solidFill>
                      </w14:textFill>
                    </w:rPr>
                    <w:t>hm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，准保护区面积</w:t>
                  </w:r>
                  <w:r>
                    <w:rPr>
                      <w:color w:val="000000" w:themeColor="text1"/>
                      <w:szCs w:val="21"/>
                      <w14:textFill>
                        <w14:solidFill>
                          <w14:schemeClr w14:val="tx1"/>
                        </w14:solidFill>
                      </w14:textFill>
                    </w:rPr>
                    <w:t>857.51</w:t>
                  </w:r>
                  <w:r>
                    <w:rPr>
                      <w:rFonts w:hint="eastAsia"/>
                      <w:color w:val="000000" w:themeColor="text1"/>
                      <w:szCs w:val="21"/>
                      <w14:textFill>
                        <w14:solidFill>
                          <w14:schemeClr w14:val="tx1"/>
                        </w14:solidFill>
                      </w14:textFill>
                    </w:rPr>
                    <w:t>km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2032" w:type="dxa"/>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本项目位于毛家村水库饮用水水源地准保护区东侧，最近距离</w:t>
                  </w:r>
                  <w:r>
                    <w:rPr>
                      <w:color w:val="000000" w:themeColor="text1"/>
                      <w:szCs w:val="21"/>
                      <w14:textFill>
                        <w14:solidFill>
                          <w14:schemeClr w14:val="tx1"/>
                        </w14:solidFill>
                      </w14:textFill>
                    </w:rPr>
                    <w:t>21.6</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62</w:t>
                  </w:r>
                  <w:r>
                    <w:rPr>
                      <w:rFonts w:hint="eastAsia"/>
                      <w:color w:val="000000" w:themeColor="text1"/>
                      <w:szCs w:val="21"/>
                      <w14:textFill>
                        <w14:solidFill>
                          <w14:schemeClr w14:val="tx1"/>
                        </w14:solidFill>
                      </w14:textFill>
                    </w:rPr>
                    <w:t>#风机），根据曲靖市生态环境局会泽分局出具的《关于金钟风电场二期项目的选址意见》，项目选址不涉及饮用水源保护区。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96"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851" w:type="dxa"/>
                  <w:vAlign w:val="center"/>
                </w:tcPr>
                <w:p>
                  <w:pPr>
                    <w:pStyle w:val="2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云南会泽驾车华山松省级自然保护区</w:t>
                  </w:r>
                </w:p>
              </w:tc>
              <w:tc>
                <w:tcPr>
                  <w:tcW w:w="455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云南会泽驾车华山松省级自然保护区位于曲靖市会泽县驾车乡境内，经云南省人民政府云政复〔1984〕36号文件批准设立保护点，1989年改为会泽驾车省级自然保护区，地理坐标为东经</w:t>
                  </w:r>
                  <w:r>
                    <w:rPr>
                      <w:rFonts w:cs="Times New Roman"/>
                      <w:color w:val="000000" w:themeColor="text1"/>
                      <w:szCs w:val="21"/>
                      <w14:textFill>
                        <w14:solidFill>
                          <w14:schemeClr w14:val="tx1"/>
                        </w14:solidFill>
                      </w14:textFill>
                    </w:rPr>
                    <w:t>103°19'~103°28'、北纬25°53'~26°06'</w:t>
                  </w:r>
                  <w:r>
                    <w:rPr>
                      <w:rFonts w:hint="eastAsia"/>
                      <w:color w:val="000000" w:themeColor="text1"/>
                      <w:szCs w:val="21"/>
                      <w14:textFill>
                        <w14:solidFill>
                          <w14:schemeClr w14:val="tx1"/>
                        </w14:solidFill>
                      </w14:textFill>
                    </w:rPr>
                    <w:t>，是以保护华山松母树林及发挥水源涵养作用为目的的省级自然保护区，保护区类型为“自然生态系统”类别的“森林生态系统类型”。保护区总面积8282.00hm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，其中核心区面积为2850.00hm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，实验区面积为5432.00hm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2032" w:type="dxa"/>
                  <w:vAlign w:val="center"/>
                </w:tcPr>
                <w:p>
                  <w:pPr>
                    <w:pStyle w:val="2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本项目位于云南会泽驾车华山松省级自然保护区西侧及北侧，最近距离</w:t>
                  </w:r>
                  <w:r>
                    <w:rPr>
                      <w:color w:val="000000" w:themeColor="text1"/>
                      <w:szCs w:val="21"/>
                      <w14:textFill>
                        <w14:solidFill>
                          <w14:schemeClr w14:val="tx1"/>
                        </w14:solidFill>
                      </w14:textFill>
                    </w:rPr>
                    <w:t>103.6</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47</w:t>
                  </w:r>
                  <w:r>
                    <w:rPr>
                      <w:rFonts w:hint="eastAsia"/>
                      <w:color w:val="000000" w:themeColor="text1"/>
                      <w:szCs w:val="21"/>
                      <w14:textFill>
                        <w14:solidFill>
                          <w14:schemeClr w14:val="tx1"/>
                        </w14:solidFill>
                      </w14:textFill>
                    </w:rPr>
                    <w:t>#风机），根据林草局出具的选址意见，项目选址不涉及云南会泽驾车华山松省级自然保护区。</w:t>
                  </w:r>
                </w:p>
              </w:tc>
            </w:tr>
          </w:tbl>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生态环境现状</w:t>
            </w:r>
          </w:p>
          <w:p>
            <w:pPr>
              <w:pStyle w:val="37"/>
              <w:spacing w:before="156" w:after="156"/>
              <w:rPr>
                <w:color w:val="000000" w:themeColor="text1"/>
                <w14:textFill>
                  <w14:solidFill>
                    <w14:schemeClr w14:val="tx1"/>
                  </w14:solidFill>
                </w14:textFill>
              </w:rPr>
            </w:pPr>
            <w:bookmarkStart w:id="32" w:name="_Hlk72337188"/>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.1.4.1 </w:t>
            </w:r>
            <w:r>
              <w:rPr>
                <w:rFonts w:hint="eastAsia"/>
                <w:color w:val="000000" w:themeColor="text1"/>
                <w14:textFill>
                  <w14:solidFill>
                    <w14:schemeClr w14:val="tx1"/>
                  </w14:solidFill>
                </w14:textFill>
              </w:rPr>
              <w:t>土地利用现状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（1）评价区土地利用现状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根据生态作图统计分析，本项目评价范围面积为</w:t>
            </w:r>
            <w:r>
              <w:rPr>
                <w:color w:val="000000" w:themeColor="text1"/>
                <w14:textFill>
                  <w14:solidFill>
                    <w14:schemeClr w14:val="tx1"/>
                  </w14:solidFill>
                </w14:textFill>
              </w:rPr>
              <w:t>31.32</w:t>
            </w:r>
            <w:r>
              <w:rPr>
                <w:rFonts w:hint="eastAsia"/>
                <w:color w:val="000000" w:themeColor="text1"/>
                <w14:textFill>
                  <w14:solidFill>
                    <w14:schemeClr w14:val="tx1"/>
                  </w14:solidFill>
                </w14:textFill>
              </w:rPr>
              <w:t>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，以林地面积（</w:t>
            </w:r>
            <w:r>
              <w:rPr>
                <w:color w:val="000000" w:themeColor="text1"/>
                <w14:textFill>
                  <w14:solidFill>
                    <w14:schemeClr w14:val="tx1"/>
                  </w14:solidFill>
                </w14:textFill>
              </w:rPr>
              <w:t>1998.3593</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）最大，占评价区总面积的</w:t>
            </w:r>
            <w:r>
              <w:rPr>
                <w:color w:val="000000" w:themeColor="text1"/>
                <w14:textFill>
                  <w14:solidFill>
                    <w14:schemeClr w14:val="tx1"/>
                  </w14:solidFill>
                </w14:textFill>
              </w:rPr>
              <w:t>63.81</w:t>
            </w:r>
            <w:r>
              <w:rPr>
                <w:rFonts w:hint="eastAsia"/>
                <w:color w:val="000000" w:themeColor="text1"/>
                <w14:textFill>
                  <w14:solidFill>
                    <w14:schemeClr w14:val="tx1"/>
                  </w14:solidFill>
                </w14:textFill>
              </w:rPr>
              <w:t>%，其次是草地（</w:t>
            </w:r>
            <w:r>
              <w:rPr>
                <w:color w:val="000000" w:themeColor="text1"/>
                <w14:textFill>
                  <w14:solidFill>
                    <w14:schemeClr w14:val="tx1"/>
                  </w14:solidFill>
                </w14:textFill>
              </w:rPr>
              <w:t>518.8110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）和耕地（</w:t>
            </w:r>
            <w:r>
              <w:rPr>
                <w:color w:val="000000" w:themeColor="text1"/>
                <w14:textFill>
                  <w14:solidFill>
                    <w14:schemeClr w14:val="tx1"/>
                  </w14:solidFill>
                </w14:textFill>
              </w:rPr>
              <w:t>496.7920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），分别占评价区总面积的</w:t>
            </w:r>
            <w:r>
              <w:rPr>
                <w:color w:val="000000" w:themeColor="text1"/>
                <w14:textFill>
                  <w14:solidFill>
                    <w14:schemeClr w14:val="tx1"/>
                  </w14:solidFill>
                </w14:textFill>
              </w:rPr>
              <w:t>16.57</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15.86</w:t>
            </w:r>
            <w:r>
              <w:rPr>
                <w:rFonts w:hint="eastAsia"/>
                <w:color w:val="000000" w:themeColor="text1"/>
                <w14:textFill>
                  <w14:solidFill>
                    <w14:schemeClr w14:val="tx1"/>
                  </w14:solidFill>
                </w14:textFill>
              </w:rPr>
              <w:t>%，其余分别是交通运输用地、住宅用地、工矿用地，分别占评价区总面的</w:t>
            </w:r>
            <w:r>
              <w:rPr>
                <w:color w:val="000000" w:themeColor="text1"/>
                <w14:textFill>
                  <w14:solidFill>
                    <w14:schemeClr w14:val="tx1"/>
                  </w14:solidFill>
                </w14:textFill>
              </w:rPr>
              <w:t>2.12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1.09</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0.56</w:t>
            </w:r>
            <w:r>
              <w:rPr>
                <w:rFonts w:hint="eastAsia"/>
                <w:color w:val="000000" w:themeColor="text1"/>
                <w14:textFill>
                  <w14:solidFill>
                    <w14:schemeClr w14:val="tx1"/>
                  </w14:solidFill>
                </w14:textFill>
              </w:rPr>
              <w:t>%。区域土地利用现状统计详见表</w:t>
            </w:r>
            <w:r>
              <w:rPr>
                <w:color w:val="000000" w:themeColor="text1"/>
                <w14:textFill>
                  <w14:solidFill>
                    <w14:schemeClr w14:val="tx1"/>
                  </w14:solidFill>
                </w14:textFill>
              </w:rPr>
              <w:t>3.1-3</w:t>
            </w:r>
            <w:r>
              <w:rPr>
                <w:rFonts w:hint="eastAsia"/>
                <w:color w:val="000000" w:themeColor="text1"/>
                <w14:textFill>
                  <w14:solidFill>
                    <w14:schemeClr w14:val="tx1"/>
                  </w14:solidFill>
                </w14:textFill>
              </w:rPr>
              <w:t>，土地利用分布图详见附图。</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评价区土地利用现状统计</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75"/>
              <w:gridCol w:w="3095"/>
              <w:gridCol w:w="1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土地利用类型</w:t>
                  </w:r>
                </w:p>
              </w:tc>
              <w:tc>
                <w:tcPr>
                  <w:tcW w:w="309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面积（hm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7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林地</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1998.3593</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草地</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518.8110</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16.57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耕地</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496.7920</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15.86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交通运输用地</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66.2393</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住宅用地</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34.0510</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工矿用地</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17.5337</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2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09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3131.7863</w:t>
                  </w:r>
                </w:p>
              </w:tc>
              <w:tc>
                <w:tcPr>
                  <w:tcW w:w="17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（2）项目区土地利用现状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根据项目主体设计，本工程电缆集电线路依托防火通道及农村道路，防火通道及农村道路建设时一并铺设集电线路，项目集电线路不新增占地，故集电线路不纳入新增占地。经统计，项目总占地面积约为</w:t>
            </w:r>
            <w:r>
              <w:rPr>
                <w:color w:val="000000" w:themeColor="text1"/>
                <w14:textFill>
                  <w14:solidFill>
                    <w14:schemeClr w14:val="tx1"/>
                  </w14:solidFill>
                </w14:textFill>
              </w:rPr>
              <w:t>31.1026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，其中永久占地约</w:t>
            </w:r>
            <w:r>
              <w:rPr>
                <w:color w:val="000000" w:themeColor="text1"/>
                <w14:textFill>
                  <w14:solidFill>
                    <w14:schemeClr w14:val="tx1"/>
                  </w14:solidFill>
                </w14:textFill>
              </w:rPr>
              <w:t>1.1708</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（有林地</w:t>
            </w:r>
            <w:r>
              <w:rPr>
                <w:color w:val="000000" w:themeColor="text1"/>
                <w14:textFill>
                  <w14:solidFill>
                    <w14:schemeClr w14:val="tx1"/>
                  </w14:solidFill>
                </w14:textFill>
              </w:rPr>
              <w:t>0.7756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、草地</w:t>
            </w:r>
            <w:r>
              <w:rPr>
                <w:color w:val="000000" w:themeColor="text1"/>
                <w14:textFill>
                  <w14:solidFill>
                    <w14:schemeClr w14:val="tx1"/>
                  </w14:solidFill>
                </w14:textFill>
              </w:rPr>
              <w:t>0.3176</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、旱地</w:t>
            </w:r>
            <w:r>
              <w:rPr>
                <w:color w:val="000000" w:themeColor="text1"/>
                <w14:textFill>
                  <w14:solidFill>
                    <w14:schemeClr w14:val="tx1"/>
                  </w14:solidFill>
                </w14:textFill>
              </w:rPr>
              <w:t>0.0776</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），临时占地</w:t>
            </w:r>
            <w:r>
              <w:rPr>
                <w:color w:val="000000" w:themeColor="text1"/>
                <w14:textFill>
                  <w14:solidFill>
                    <w14:schemeClr w14:val="tx1"/>
                  </w14:solidFill>
                </w14:textFill>
              </w:rPr>
              <w:t>29.9318</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（有林地</w:t>
            </w:r>
            <w:r>
              <w:rPr>
                <w:color w:val="000000" w:themeColor="text1"/>
                <w14:textFill>
                  <w14:solidFill>
                    <w14:schemeClr w14:val="tx1"/>
                  </w14:solidFill>
                </w14:textFill>
              </w:rPr>
              <w:t>15.2014</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、草地</w:t>
            </w:r>
            <w:r>
              <w:rPr>
                <w:color w:val="000000" w:themeColor="text1"/>
                <w14:textFill>
                  <w14:solidFill>
                    <w14:schemeClr w14:val="tx1"/>
                  </w14:solidFill>
                </w14:textFill>
              </w:rPr>
              <w:t>5.5343</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、旱地</w:t>
            </w:r>
            <w:r>
              <w:rPr>
                <w:color w:val="000000" w:themeColor="text1"/>
                <w14:textFill>
                  <w14:solidFill>
                    <w14:schemeClr w14:val="tx1"/>
                  </w14:solidFill>
                </w14:textFill>
              </w:rPr>
              <w:t>1.0761</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、交通运输用地</w:t>
            </w:r>
            <w:r>
              <w:rPr>
                <w:color w:val="000000" w:themeColor="text1"/>
                <w14:textFill>
                  <w14:solidFill>
                    <w14:schemeClr w14:val="tx1"/>
                  </w14:solidFill>
                </w14:textFill>
              </w:rPr>
              <w:t>8.1200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），项目占地中占用有林地</w:t>
            </w:r>
            <w:r>
              <w:rPr>
                <w:color w:val="000000" w:themeColor="text1"/>
                <w14:textFill>
                  <w14:solidFill>
                    <w14:schemeClr w14:val="tx1"/>
                  </w14:solidFill>
                </w14:textFill>
              </w:rPr>
              <w:t>15.9770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、草地</w:t>
            </w:r>
            <w:r>
              <w:rPr>
                <w:color w:val="000000" w:themeColor="text1"/>
                <w14:textFill>
                  <w14:solidFill>
                    <w14:schemeClr w14:val="tx1"/>
                  </w14:solidFill>
                </w14:textFill>
              </w:rPr>
              <w:t>5.8519</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、旱地</w:t>
            </w:r>
            <w:r>
              <w:rPr>
                <w:color w:val="000000" w:themeColor="text1"/>
                <w14:textFill>
                  <w14:solidFill>
                    <w14:schemeClr w14:val="tx1"/>
                  </w14:solidFill>
                </w14:textFill>
              </w:rPr>
              <w:t>1.1537</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、交通运输用地</w:t>
            </w:r>
            <w:r>
              <w:rPr>
                <w:color w:val="000000" w:themeColor="text1"/>
                <w14:textFill>
                  <w14:solidFill>
                    <w14:schemeClr w14:val="tx1"/>
                  </w14:solidFill>
                </w14:textFill>
              </w:rPr>
              <w:t>8.1200</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。项目占地不涉及基本农田。项目区土地利用类型见表</w:t>
            </w:r>
            <w:r>
              <w:rPr>
                <w:color w:val="000000" w:themeColor="text1"/>
                <w14:textFill>
                  <w14:solidFill>
                    <w14:schemeClr w14:val="tx1"/>
                  </w14:solidFill>
                </w14:textFill>
              </w:rPr>
              <w:t>3.1-4</w:t>
            </w:r>
            <w:r>
              <w:rPr>
                <w:rFonts w:hint="eastAsia"/>
                <w:color w:val="000000" w:themeColor="text1"/>
                <w14:textFill>
                  <w14:solidFill>
                    <w14:schemeClr w14:val="tx1"/>
                  </w14:solidFill>
                </w14:textFill>
              </w:rPr>
              <w:t>。</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项目土地利用现状情况统计</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4"/>
              <w:gridCol w:w="1764"/>
              <w:gridCol w:w="1200"/>
              <w:gridCol w:w="1075"/>
              <w:gridCol w:w="1065"/>
              <w:gridCol w:w="17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64" w:type="dxa"/>
                  <w:vMerge w:val="restart"/>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占地性质</w:t>
                  </w:r>
                </w:p>
              </w:tc>
              <w:tc>
                <w:tcPr>
                  <w:tcW w:w="1764" w:type="dxa"/>
                  <w:vMerge w:val="restart"/>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占地项目</w:t>
                  </w:r>
                </w:p>
              </w:tc>
              <w:tc>
                <w:tcPr>
                  <w:tcW w:w="5103" w:type="dxa"/>
                  <w:gridSpan w:val="4"/>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占地类型（</w:t>
                  </w:r>
                  <w:r>
                    <w:rPr>
                      <w:rFonts w:eastAsia="等线"/>
                      <w:color w:val="000000" w:themeColor="text1"/>
                      <w14:textFill>
                        <w14:solidFill>
                          <w14:schemeClr w14:val="tx1"/>
                        </w14:solidFill>
                      </w14:textFill>
                    </w:rPr>
                    <w:t>m</w:t>
                  </w:r>
                  <w:r>
                    <w:rPr>
                      <w:rFonts w:eastAsia="等线"/>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64" w:type="dxa"/>
                  <w:vMerge w:val="continue"/>
                  <w:shd w:val="clear" w:color="auto" w:fill="auto"/>
                  <w:vAlign w:val="center"/>
                </w:tcPr>
                <w:p>
                  <w:pPr>
                    <w:pStyle w:val="29"/>
                    <w:rPr>
                      <w:rFonts w:eastAsia="等线"/>
                      <w:color w:val="000000" w:themeColor="text1"/>
                      <w14:textFill>
                        <w14:solidFill>
                          <w14:schemeClr w14:val="tx1"/>
                        </w14:solidFill>
                      </w14:textFill>
                    </w:rPr>
                  </w:pPr>
                </w:p>
              </w:tc>
              <w:tc>
                <w:tcPr>
                  <w:tcW w:w="1764" w:type="dxa"/>
                  <w:vMerge w:val="continue"/>
                  <w:shd w:val="clear" w:color="auto" w:fill="auto"/>
                  <w:vAlign w:val="center"/>
                </w:tcPr>
                <w:p>
                  <w:pPr>
                    <w:pStyle w:val="29"/>
                    <w:rPr>
                      <w:rFonts w:eastAsia="等线"/>
                      <w:color w:val="000000" w:themeColor="text1"/>
                      <w14:textFill>
                        <w14:solidFill>
                          <w14:schemeClr w14:val="tx1"/>
                        </w14:solidFill>
                      </w14:textFill>
                    </w:rPr>
                  </w:pPr>
                </w:p>
              </w:tc>
              <w:tc>
                <w:tcPr>
                  <w:tcW w:w="1200"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有林地</w:t>
                  </w:r>
                </w:p>
              </w:tc>
              <w:tc>
                <w:tcPr>
                  <w:tcW w:w="1075" w:type="dxa"/>
                  <w:shd w:val="clear" w:color="auto" w:fill="auto"/>
                  <w:noWrap/>
                  <w:vAlign w:val="center"/>
                </w:tcPr>
                <w:p>
                  <w:pPr>
                    <w:pStyle w:val="29"/>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草地</w:t>
                  </w:r>
                </w:p>
              </w:tc>
              <w:tc>
                <w:tcPr>
                  <w:tcW w:w="1065" w:type="dxa"/>
                  <w:shd w:val="clear" w:color="auto" w:fill="auto"/>
                  <w:noWrap/>
                  <w:vAlign w:val="center"/>
                </w:tcPr>
                <w:p>
                  <w:pPr>
                    <w:pStyle w:val="29"/>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旱地</w:t>
                  </w:r>
                </w:p>
              </w:tc>
              <w:tc>
                <w:tcPr>
                  <w:tcW w:w="1763"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交通运输用地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1264" w:type="dxa"/>
                  <w:vMerge w:val="restart"/>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永久占地</w:t>
                  </w:r>
                </w:p>
              </w:tc>
              <w:tc>
                <w:tcPr>
                  <w:tcW w:w="1764"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风机基础</w:t>
                  </w:r>
                </w:p>
              </w:tc>
              <w:tc>
                <w:tcPr>
                  <w:tcW w:w="120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6796</w:t>
                  </w:r>
                </w:p>
              </w:tc>
              <w:tc>
                <w:tcPr>
                  <w:tcW w:w="107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2792</w:t>
                  </w:r>
                </w:p>
              </w:tc>
              <w:tc>
                <w:tcPr>
                  <w:tcW w:w="106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680</w:t>
                  </w:r>
                </w:p>
              </w:tc>
              <w:tc>
                <w:tcPr>
                  <w:tcW w:w="1763"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64" w:type="dxa"/>
                  <w:vMerge w:val="continue"/>
                  <w:tcBorders>
                    <w:bottom w:val="single" w:color="auto" w:sz="4" w:space="0"/>
                  </w:tcBorders>
                  <w:shd w:val="clear" w:color="auto" w:fill="auto"/>
                  <w:vAlign w:val="center"/>
                </w:tcPr>
                <w:p>
                  <w:pPr>
                    <w:pStyle w:val="29"/>
                    <w:rPr>
                      <w:rFonts w:eastAsia="等线"/>
                      <w:color w:val="000000" w:themeColor="text1"/>
                      <w14:textFill>
                        <w14:solidFill>
                          <w14:schemeClr w14:val="tx1"/>
                        </w14:solidFill>
                      </w14:textFill>
                    </w:rPr>
                  </w:pPr>
                </w:p>
              </w:tc>
              <w:tc>
                <w:tcPr>
                  <w:tcW w:w="1764"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箱变</w:t>
                  </w:r>
                </w:p>
              </w:tc>
              <w:tc>
                <w:tcPr>
                  <w:tcW w:w="120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960</w:t>
                  </w:r>
                </w:p>
              </w:tc>
              <w:tc>
                <w:tcPr>
                  <w:tcW w:w="107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384</w:t>
                  </w:r>
                </w:p>
              </w:tc>
              <w:tc>
                <w:tcPr>
                  <w:tcW w:w="106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96</w:t>
                  </w:r>
                </w:p>
              </w:tc>
              <w:tc>
                <w:tcPr>
                  <w:tcW w:w="1763"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64" w:type="dxa"/>
                  <w:vMerge w:val="restart"/>
                  <w:tcBorders>
                    <w:top w:val="single" w:color="auto" w:sz="4" w:space="0"/>
                  </w:tcBorders>
                  <w:shd w:val="clear" w:color="auto" w:fill="auto"/>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临时占地</w:t>
                  </w:r>
                </w:p>
              </w:tc>
              <w:tc>
                <w:tcPr>
                  <w:tcW w:w="1764"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c>
                <w:tcPr>
                  <w:tcW w:w="120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95193</w:t>
                  </w:r>
                </w:p>
              </w:tc>
              <w:tc>
                <w:tcPr>
                  <w:tcW w:w="107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36990</w:t>
                  </w:r>
                </w:p>
              </w:tc>
              <w:tc>
                <w:tcPr>
                  <w:tcW w:w="106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5120</w:t>
                  </w:r>
                </w:p>
              </w:tc>
              <w:tc>
                <w:tcPr>
                  <w:tcW w:w="1763"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81200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64" w:type="dxa"/>
                  <w:vMerge w:val="continue"/>
                  <w:shd w:val="clear" w:color="auto" w:fill="auto"/>
                  <w:noWrap/>
                  <w:vAlign w:val="center"/>
                </w:tcPr>
                <w:p>
                  <w:pPr>
                    <w:pStyle w:val="29"/>
                    <w:rPr>
                      <w:rFonts w:eastAsia="等线"/>
                      <w:color w:val="000000" w:themeColor="text1"/>
                      <w14:textFill>
                        <w14:solidFill>
                          <w14:schemeClr w14:val="tx1"/>
                        </w14:solidFill>
                      </w14:textFill>
                    </w:rPr>
                  </w:pPr>
                </w:p>
              </w:tc>
              <w:tc>
                <w:tcPr>
                  <w:tcW w:w="1764"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风机安装平台</w:t>
                  </w:r>
                </w:p>
              </w:tc>
              <w:tc>
                <w:tcPr>
                  <w:tcW w:w="120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56821</w:t>
                  </w:r>
                </w:p>
              </w:tc>
              <w:tc>
                <w:tcPr>
                  <w:tcW w:w="107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18353</w:t>
                  </w:r>
                </w:p>
              </w:tc>
              <w:tc>
                <w:tcPr>
                  <w:tcW w:w="106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5641</w:t>
                  </w:r>
                </w:p>
              </w:tc>
              <w:tc>
                <w:tcPr>
                  <w:tcW w:w="1763"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028" w:type="dxa"/>
                  <w:gridSpan w:val="2"/>
                  <w:shd w:val="clear" w:color="auto" w:fill="auto"/>
                  <w:vAlign w:val="center"/>
                </w:tcPr>
                <w:p>
                  <w:pPr>
                    <w:pStyle w:val="29"/>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00"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159770</w:t>
                  </w:r>
                </w:p>
              </w:tc>
              <w:tc>
                <w:tcPr>
                  <w:tcW w:w="107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58519</w:t>
                  </w:r>
                </w:p>
              </w:tc>
              <w:tc>
                <w:tcPr>
                  <w:tcW w:w="1065" w:type="dxa"/>
                  <w:shd w:val="clear" w:color="auto" w:fill="auto"/>
                  <w:noWrap/>
                  <w:vAlign w:val="center"/>
                </w:tcPr>
                <w:p>
                  <w:pPr>
                    <w:pStyle w:val="29"/>
                    <w:rPr>
                      <w:rFonts w:eastAsia="等线"/>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11537</w:t>
                  </w:r>
                </w:p>
              </w:tc>
              <w:tc>
                <w:tcPr>
                  <w:tcW w:w="1763" w:type="dxa"/>
                  <w:shd w:val="clear" w:color="auto" w:fill="auto"/>
                  <w:noWrap/>
                  <w:vAlign w:val="center"/>
                </w:tcPr>
                <w:p>
                  <w:pPr>
                    <w:pStyle w:val="29"/>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8</w:t>
                  </w:r>
                  <w:r>
                    <w:rPr>
                      <w:rFonts w:eastAsia="等线"/>
                      <w:color w:val="000000" w:themeColor="text1"/>
                      <w14:textFill>
                        <w14:solidFill>
                          <w14:schemeClr w14:val="tx1"/>
                        </w14:solidFill>
                      </w14:textFill>
                    </w:rPr>
                    <w:t>1200</w:t>
                  </w:r>
                </w:p>
              </w:tc>
            </w:tr>
          </w:tbl>
          <w:p>
            <w:pPr>
              <w:ind w:firstLine="480"/>
              <w:rPr>
                <w:color w:val="000000" w:themeColor="text1"/>
                <w14:textFill>
                  <w14:solidFill>
                    <w14:schemeClr w14:val="tx1"/>
                  </w14:solidFill>
                </w14:textFill>
              </w:rPr>
            </w:pPr>
            <w:bookmarkStart w:id="33" w:name="_Hlk157787757"/>
            <w:r>
              <w:rPr>
                <w:rFonts w:hint="eastAsia"/>
                <w:color w:val="000000" w:themeColor="text1"/>
                <w14:textFill>
                  <w14:solidFill>
                    <w14:schemeClr w14:val="tx1"/>
                  </w14:solidFill>
                </w14:textFill>
              </w:rPr>
              <w:t>（3）项目区基本农田分布情况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项目区基本农田零散分布于4</w:t>
            </w:r>
            <w:r>
              <w:rPr>
                <w:color w:val="000000" w:themeColor="text1"/>
                <w14:textFill>
                  <w14:solidFill>
                    <w14:schemeClr w14:val="tx1"/>
                  </w14:solidFill>
                </w14:textFill>
              </w:rPr>
              <w:t>7#~53#风机</w:t>
            </w:r>
            <w:r>
              <w:rPr>
                <w:rFonts w:hint="eastAsia"/>
                <w:color w:val="000000" w:themeColor="text1"/>
                <w14:textFill>
                  <w14:solidFill>
                    <w14:schemeClr w14:val="tx1"/>
                  </w14:solidFill>
                </w14:textFill>
              </w:rPr>
              <w:t>南面、4</w:t>
            </w:r>
            <w:r>
              <w:rPr>
                <w:color w:val="000000" w:themeColor="text1"/>
                <w14:textFill>
                  <w14:solidFill>
                    <w14:schemeClr w14:val="tx1"/>
                  </w14:solidFill>
                </w14:textFill>
              </w:rPr>
              <w:t>4#风机</w:t>
            </w:r>
            <w:r>
              <w:rPr>
                <w:rFonts w:hint="eastAsia"/>
                <w:color w:val="000000" w:themeColor="text1"/>
                <w14:textFill>
                  <w14:solidFill>
                    <w14:schemeClr w14:val="tx1"/>
                  </w14:solidFill>
                </w14:textFill>
              </w:rPr>
              <w:t>东面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大部分分布于村庄周边，项目占地不涉及基本农田。</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项目区公益林分布情况</w:t>
            </w:r>
          </w:p>
          <w:p>
            <w:pPr>
              <w:ind w:firstLine="480"/>
              <w:rPr>
                <w:color w:val="000000" w:themeColor="text1"/>
                <w14:textFill>
                  <w14:solidFill>
                    <w14:schemeClr w14:val="tx1"/>
                  </w14:solidFill>
                </w14:textFill>
              </w:rPr>
            </w:pPr>
            <w:bookmarkStart w:id="34" w:name="_Hlk157787739"/>
            <w:r>
              <w:rPr>
                <w:rFonts w:hint="eastAsia"/>
                <w:color w:val="000000" w:themeColor="text1"/>
                <w14:textFill>
                  <w14:solidFill>
                    <w14:schemeClr w14:val="tx1"/>
                  </w14:solidFill>
                </w14:textFill>
              </w:rPr>
              <w:t>项目区分布的公益林主要为国家二级公益林及省级公益林。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国家二级公益林零散分布于6</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风机北面、</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2#风机南面、</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5#风机东面、</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4#风机南面，项目占地不涉及国家二级公益林。</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省级公益林主要分布于</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7#风机东面及南面、54#风机周边、</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6#风机东面、</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1#风机西北面、</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#风机周边，</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5#风机北面</w:t>
            </w:r>
            <w:r>
              <w:rPr>
                <w:rFonts w:hint="eastAsia"/>
                <w:color w:val="000000" w:themeColor="text1"/>
                <w14:textFill>
                  <w14:solidFill>
                    <w14:schemeClr w14:val="tx1"/>
                  </w14:solidFill>
                </w14:textFill>
              </w:rPr>
              <w:t>，项目5</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2#~65#、69#、70#风机</w:t>
            </w:r>
            <w:r>
              <w:rPr>
                <w:rFonts w:hint="eastAsia"/>
                <w:color w:val="000000" w:themeColor="text1"/>
                <w14:textFill>
                  <w14:solidFill>
                    <w14:schemeClr w14:val="tx1"/>
                  </w14:solidFill>
                </w14:textFill>
              </w:rPr>
              <w:t>、施工平台及部分新建、改扩建道路</w:t>
            </w:r>
            <w:r>
              <w:rPr>
                <w:color w:val="000000" w:themeColor="text1"/>
                <w14:textFill>
                  <w14:solidFill>
                    <w14:schemeClr w14:val="tx1"/>
                  </w14:solidFill>
                </w14:textFill>
              </w:rPr>
              <w:t>占用省级公益林。</w:t>
            </w:r>
            <w:bookmarkEnd w:id="33"/>
            <w:bookmarkEnd w:id="34"/>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.1.4.2 </w:t>
            </w:r>
            <w:r>
              <w:rPr>
                <w:rFonts w:hint="eastAsia"/>
                <w:color w:val="000000" w:themeColor="text1"/>
                <w14:textFill>
                  <w14:solidFill>
                    <w14:schemeClr w14:val="tx1"/>
                  </w14:solidFill>
                </w14:textFill>
              </w:rPr>
              <w:t>水土流失</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现场调查，目前为止，现状土地利用类型主要包含林地、草地、旱地、交通运输用地、其他土地等。对项目区扰动的各种地类进行原生土壤侵蚀模数取值，经过加权平均土壤侵蚀模数，计算得项目区水土流失背景值为1556.71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，整体水土流失强度为轻度。</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.1.4.3 </w:t>
            </w:r>
            <w:r>
              <w:rPr>
                <w:rFonts w:hint="eastAsia"/>
                <w:color w:val="000000" w:themeColor="text1"/>
                <w14:textFill>
                  <w14:solidFill>
                    <w14:schemeClr w14:val="tx1"/>
                  </w14:solidFill>
                </w14:textFill>
              </w:rPr>
              <w:t>植被现状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（1）植被分类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根据野外实地考察，将评价区植被划分为</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个植被型、</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个植被亚型和</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个群系。</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评价区植被分类系统</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A自然植被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Ⅰ 暖性针叶林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420" w:firstLineChars="2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（Ⅰ）暖温性针叶林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84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w:t>
                  </w:r>
                  <w:r>
                    <w:rPr>
                      <w:rFonts w:hint="eastAsia" w:cs="Times New Roman"/>
                      <w:color w:val="000000" w:themeColor="text1"/>
                      <w14:textFill>
                        <w14:solidFill>
                          <w14:schemeClr w14:val="tx1"/>
                        </w14:solidFill>
                      </w14:textFill>
                    </w:rPr>
                    <w:t>云南松林</w:t>
                  </w:r>
                  <w:r>
                    <w:rPr>
                      <w:rFonts w:cs="Times New Roman"/>
                      <w:color w:val="000000" w:themeColor="text1"/>
                      <w14:textFill>
                        <w14:solidFill>
                          <w14:schemeClr w14:val="tx1"/>
                        </w14:solidFill>
                      </w14:textFill>
                    </w:rPr>
                    <w:t xml:space="preserve">Form. </w:t>
                  </w:r>
                  <w:r>
                    <w:rPr>
                      <w:rFonts w:cs="Times New Roman"/>
                      <w:i/>
                      <w:iCs/>
                      <w:color w:val="000000" w:themeColor="text1"/>
                      <w14:textFill>
                        <w14:solidFill>
                          <w14:schemeClr w14:val="tx1"/>
                        </w14:solidFill>
                      </w14:textFill>
                    </w:rPr>
                    <w:t>Pinus yunnanensis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84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 xml:space="preserve">华山松林Form. </w:t>
                  </w:r>
                  <w:r>
                    <w:rPr>
                      <w:rFonts w:cs="Times New Roman"/>
                      <w:i/>
                      <w:iCs/>
                      <w:color w:val="000000" w:themeColor="text1"/>
                      <w14:textFill>
                        <w14:solidFill>
                          <w14:schemeClr w14:val="tx1"/>
                        </w14:solidFill>
                      </w14:textFill>
                    </w:rPr>
                    <w:t>Pinus armandii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II</w:t>
                  </w:r>
                  <w:r>
                    <w:rPr>
                      <w:rFonts w:cs="Times New Roman"/>
                      <w:color w:val="000000" w:themeColor="text1"/>
                      <w14:textFill>
                        <w14:solidFill>
                          <w14:schemeClr w14:val="tx1"/>
                        </w14:solidFill>
                      </w14:textFill>
                    </w:rPr>
                    <w:t xml:space="preserve"> 灌丛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420" w:firstLineChars="2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II</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暖性石灰岩灌丛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84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三</w:t>
                  </w:r>
                  <w:r>
                    <w:rPr>
                      <w:rFonts w:cs="Times New Roman"/>
                      <w:color w:val="000000" w:themeColor="text1"/>
                      <w14:textFill>
                        <w14:solidFill>
                          <w14:schemeClr w14:val="tx1"/>
                        </w14:solidFill>
                      </w14:textFill>
                    </w:rPr>
                    <w:t xml:space="preserve">、小叶栒子灌丛 Form. </w:t>
                  </w:r>
                  <w:r>
                    <w:rPr>
                      <w:rFonts w:cs="Times New Roman"/>
                      <w:i/>
                      <w:iCs/>
                      <w:color w:val="000000" w:themeColor="text1"/>
                      <w14:textFill>
                        <w14:solidFill>
                          <w14:schemeClr w14:val="tx1"/>
                        </w14:solidFill>
                      </w14:textFill>
                    </w:rPr>
                    <w:t>Cotoneaster microphyllus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III</w:t>
                  </w:r>
                  <w:r>
                    <w:rPr>
                      <w:rFonts w:cs="Times New Roman"/>
                      <w:color w:val="000000" w:themeColor="text1"/>
                      <w14:textFill>
                        <w14:solidFill>
                          <w14:schemeClr w14:val="tx1"/>
                        </w14:solidFill>
                      </w14:textFill>
                    </w:rPr>
                    <w:t xml:space="preserve"> 草甸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420" w:firstLineChars="2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III</w:t>
                  </w:r>
                  <w:r>
                    <w:rPr>
                      <w:rFonts w:cs="Times New Roman"/>
                      <w:color w:val="000000" w:themeColor="text1"/>
                      <w14:textFill>
                        <w14:solidFill>
                          <w14:schemeClr w14:val="tx1"/>
                        </w14:solidFill>
                      </w14:textFill>
                    </w:rPr>
                    <w:t>）亚高山草甸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84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四</w:t>
                  </w:r>
                  <w:r>
                    <w:rPr>
                      <w:rFonts w:cs="Times New Roman"/>
                      <w:color w:val="000000" w:themeColor="text1"/>
                      <w14:textFill>
                        <w14:solidFill>
                          <w14:schemeClr w14:val="tx1"/>
                        </w14:solidFill>
                      </w14:textFill>
                    </w:rPr>
                    <w:t>、羊茅草甸Form.</w:t>
                  </w:r>
                  <w:r>
                    <w:rPr>
                      <w:rFonts w:cs="Times New Roman"/>
                      <w:i/>
                      <w:iCs/>
                      <w:color w:val="000000" w:themeColor="text1"/>
                      <w14:textFill>
                        <w14:solidFill>
                          <w14:schemeClr w14:val="tx1"/>
                        </w14:solidFill>
                      </w14:textFill>
                    </w:rPr>
                    <w:t xml:space="preserve"> Festuca ovina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84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 xml:space="preserve">五、毛蕨菜草甸 Form. </w:t>
                  </w:r>
                  <w:r>
                    <w:rPr>
                      <w:rFonts w:hint="eastAsia" w:cs="Times New Roman"/>
                      <w:i/>
                      <w:iCs/>
                      <w:color w:val="000000" w:themeColor="text1"/>
                      <w14:textFill>
                        <w14:solidFill>
                          <w14:schemeClr w14:val="tx1"/>
                        </w14:solidFill>
                      </w14:textFill>
                    </w:rPr>
                    <w:t>Pteridium aquilinum var. latiusculum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人工植被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vAlign w:val="center"/>
                </w:tcPr>
                <w:p>
                  <w:pPr>
                    <w:pStyle w:val="29"/>
                    <w:ind w:firstLine="420" w:firstLineChars="2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旱地</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（2）主要植被类型特种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评价区内的现状植被包括原生性植被和次生性植被类型，自然植被按所列植被分类系统中的植被型、植被亚型分层次说明各群系群落的综合特征，具体分述如下：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①暖温性针叶林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暖温性针叶林是云南亚热带北部地区，以滇中高原山地为主的常见和主要植被类型。分布的海拔范围在1500m~2800（3000）m。在评价区内出现的暖温性针叶林包括云南松林和华山松林两个群系。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云南松是项目区域暖温性针叶林的优势种，它常与栎类、旱冬瓜（</w:t>
            </w:r>
            <w:r>
              <w:rPr>
                <w:rFonts w:hint="eastAsia"/>
                <w:i/>
                <w:iCs/>
                <w:color w:val="000000" w:themeColor="text1"/>
                <w14:textFill>
                  <w14:solidFill>
                    <w14:schemeClr w14:val="tx1"/>
                  </w14:solidFill>
                </w14:textFill>
              </w:rPr>
              <w:t>Alnus nepalensis</w:t>
            </w:r>
            <w:r>
              <w:rPr>
                <w:rFonts w:hint="eastAsia"/>
                <w:color w:val="000000" w:themeColor="text1"/>
                <w14:textFill>
                  <w14:solidFill>
                    <w14:schemeClr w14:val="tx1"/>
                  </w14:solidFill>
                </w14:textFill>
              </w:rPr>
              <w:t>）混交，形成一种持续性的植被类型，是云南现状植被类型中分布面积最广的一种类型，分布的纬度大致在北纬2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~29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，东经</w:t>
            </w:r>
            <w:r>
              <w:rPr>
                <w:color w:val="000000" w:themeColor="text1"/>
                <w14:textFill>
                  <w14:solidFill>
                    <w14:schemeClr w14:val="tx1"/>
                  </w14:solidFill>
                </w14:textFill>
              </w:rPr>
              <w:t>97°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106°30′</w:t>
            </w:r>
            <w:r>
              <w:rPr>
                <w:rFonts w:hint="eastAsia"/>
                <w:color w:val="000000" w:themeColor="text1"/>
                <w14:textFill>
                  <w14:solidFill>
                    <w14:schemeClr w14:val="tx1"/>
                  </w14:solidFill>
                </w14:textFill>
              </w:rPr>
              <w:t>之间。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区内的华山松林大部分为人工林，基本上是由华山松构成的纯林，乔木层仅由华山松构成，灌木层稀少，仅在幼年林中存在少量种类；草本层的情况亦与群落年龄有密切关系，在中、老年林中，草本层稀少，但在幼年林中，草本层较发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②暖性石灰岩灌丛</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云南植被中，灌丛类型多样而且分布较广。灌丛是垂直带上比较稳定或者比较持久的植被类型。暖温性灌木主要分布于亚热带气候下的各低山丘陵。本类灌丛具有一定的次生性，它是由滇清冈、清香木为主的半湿润常绿阔叶林因长期人为活动的影响，在原生植被遭到破坏后形成的植被类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暖温性灌丛在评价区内仅有一个群系，为小叶栒子灌丛。分布于石灰岩地区，常见到裸露的石灰岩，分布海拔2300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~3300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之间。群落总盖度在</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85%</w:t>
            </w:r>
            <w:r>
              <w:rPr>
                <w:rFonts w:hint="eastAsia"/>
                <w:color w:val="000000" w:themeColor="text1"/>
                <w14:textFill>
                  <w14:solidFill>
                    <w14:schemeClr w14:val="tx1"/>
                  </w14:solidFill>
                </w14:textFill>
              </w:rPr>
              <w:t>之间，群落高在1.5m以下，群落分为灌木层和草本层两层；灌木层高1</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~1.5m左右，层盖度在</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0%之间，灌木层在局部地区以小叶栒子为优势。草本层高度0.8m左右，层盖度在50%~75%不等，草本层主要种类有穗序野古草（</w:t>
            </w:r>
            <w:r>
              <w:rPr>
                <w:rFonts w:hint="eastAsia"/>
                <w:i/>
                <w:iCs/>
                <w:color w:val="000000" w:themeColor="text1"/>
                <w14:textFill>
                  <w14:solidFill>
                    <w14:schemeClr w14:val="tx1"/>
                  </w14:solidFill>
                </w14:textFill>
              </w:rPr>
              <w:t>Arundinella hookeri</w:t>
            </w:r>
            <w:r>
              <w:rPr>
                <w:rFonts w:hint="eastAsia"/>
                <w:color w:val="000000" w:themeColor="text1"/>
                <w14:textFill>
                  <w14:solidFill>
                    <w14:schemeClr w14:val="tx1"/>
                  </w14:solidFill>
                </w14:textFill>
              </w:rPr>
              <w:t>）、刺芒野古草（</w:t>
            </w:r>
            <w:r>
              <w:rPr>
                <w:rFonts w:hint="eastAsia"/>
                <w:i/>
                <w:iCs/>
                <w:color w:val="000000" w:themeColor="text1"/>
                <w14:textFill>
                  <w14:solidFill>
                    <w14:schemeClr w14:val="tx1"/>
                  </w14:solidFill>
                </w14:textFill>
              </w:rPr>
              <w:t>Arundinella setosa</w:t>
            </w:r>
            <w:r>
              <w:rPr>
                <w:rFonts w:hint="eastAsia"/>
                <w:color w:val="000000" w:themeColor="text1"/>
                <w14:textFill>
                  <w14:solidFill>
                    <w14:schemeClr w14:val="tx1"/>
                  </w14:solidFill>
                </w14:textFill>
              </w:rPr>
              <w:t>）、滇中画眉草（</w:t>
            </w:r>
            <w:r>
              <w:rPr>
                <w:rFonts w:hint="eastAsia"/>
                <w:i/>
                <w:iCs/>
                <w:color w:val="000000" w:themeColor="text1"/>
                <w14:textFill>
                  <w14:solidFill>
                    <w14:schemeClr w14:val="tx1"/>
                  </w14:solidFill>
                </w14:textFill>
              </w:rPr>
              <w:t>Eragrostis mairei</w:t>
            </w:r>
            <w:r>
              <w:rPr>
                <w:rFonts w:hint="eastAsia"/>
                <w:color w:val="000000" w:themeColor="text1"/>
                <w14:textFill>
                  <w14:solidFill>
                    <w14:schemeClr w14:val="tx1"/>
                  </w14:solidFill>
                </w14:textFill>
              </w:rPr>
              <w:t>）等。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③亚高山草甸</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该类植被特征不是很典型，从分布的地段看，其原始植被应是半湿性常绿阔叶林，由于受到人类开荒及放牧的影响，原生性植被退化为稀树灌木草丛，稀树灌木草丛继续受到影响则发展为杂草类草甸。因此，该类植被在分布上是一种非地带性植被，在分布上呈斑块状分布于丘陵地带地形较平缓、土层较厚的区域。在评价区内通常为耕地弃荒后形成。在植物种类组成上不同地段差别较大，与典型草甸相比常因生长有多少不一的灌木种类而差异较大，有时亦可划分在灌木草丛中或稀树灌木草丛中。在评价区范围内存在三个群系：位于海拔较高的羊茅草甸、位于海拔较低的毛蕨菜草甸和杂草草甸三个群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）工程区植被分布状况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根据项目沿线现场踏勘结果，区域内出现的生态系统类型主要有城镇生态系统、农田生态系统、森林生态系统和草地生态系统。</w:t>
            </w:r>
          </w:p>
          <w:p>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）珍稀保护植物</w:t>
            </w:r>
          </w:p>
          <w:p>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根据现场勘察，调查期间评价区未发现国家级及省级重点保护野生植物分布。</w:t>
            </w:r>
          </w:p>
          <w:p>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5</w:t>
            </w:r>
            <w:r>
              <w:rPr>
                <w:rFonts w:hint="eastAsia"/>
                <w:bCs/>
                <w:color w:val="000000" w:themeColor="text1"/>
                <w14:textFill>
                  <w14:solidFill>
                    <w14:schemeClr w14:val="tx1"/>
                  </w14:solidFill>
                </w14:textFill>
              </w:rPr>
              <w:t>）古树名木</w:t>
            </w:r>
          </w:p>
          <w:p>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经查询资料及现场调查，在评价区内无古树名木分布。</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.1.4.5 </w:t>
            </w:r>
            <w:r>
              <w:rPr>
                <w:rFonts w:hint="eastAsia"/>
                <w:color w:val="000000" w:themeColor="text1"/>
                <w14:textFill>
                  <w14:solidFill>
                    <w14:schemeClr w14:val="tx1"/>
                  </w14:solidFill>
                </w14:textFill>
              </w:rPr>
              <w:t>野生脊椎动物现状调查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（1）两栖类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根据野外调查和收集到的各种资料进行综合分析，项目评价区分布有两栖类</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种，隶属于1目</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调查中未发现国家和省级重点保护物种，也未发现仅在当地分布的特有种。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）爬行类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根据野外调查和收集到的各种资料进行综合分析，项目评价区分布有爬行类</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种，隶属于</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目</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调查中未发现国家和省级重点保护物种，也未发现仅在当地分布的特有种。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）鸟类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根据野外调查和收集到的各种资料进行综合分析，项目评价区共调查得鸟类</w:t>
            </w:r>
            <w:r>
              <w:rPr>
                <w:color w:val="000000" w:themeColor="text1"/>
                <w14:textFill>
                  <w14:solidFill>
                    <w14:schemeClr w14:val="tx1"/>
                  </w14:solidFill>
                </w14:textFill>
              </w:rPr>
              <w:t>81</w:t>
            </w:r>
            <w:r>
              <w:rPr>
                <w:rFonts w:hint="eastAsia"/>
                <w:color w:val="000000" w:themeColor="text1"/>
                <w14:textFill>
                  <w14:solidFill>
                    <w14:schemeClr w14:val="tx1"/>
                  </w14:solidFill>
                </w14:textFill>
              </w:rPr>
              <w:t>种，隶属于</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目</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科。其中，种群数量相对较大的种类有小云雀</w:t>
            </w:r>
            <w:r>
              <w:rPr>
                <w:rFonts w:hint="eastAsia"/>
                <w:i/>
                <w:iCs/>
                <w:color w:val="000000" w:themeColor="text1"/>
                <w14:textFill>
                  <w14:solidFill>
                    <w14:schemeClr w14:val="tx1"/>
                  </w14:solidFill>
                </w14:textFill>
              </w:rPr>
              <w:t>Alauda</w:t>
            </w:r>
            <w:r>
              <w:rPr>
                <w:i/>
                <w:iCs/>
                <w:color w:val="000000" w:themeColor="text1"/>
                <w14:textFill>
                  <w14:solidFill>
                    <w14:schemeClr w14:val="tx1"/>
                  </w14:solidFill>
                </w14:textFill>
              </w:rPr>
              <w:t xml:space="preserve"> </w:t>
            </w:r>
            <w:r>
              <w:rPr>
                <w:rFonts w:hint="eastAsia"/>
                <w:i/>
                <w:iCs/>
                <w:color w:val="000000" w:themeColor="text1"/>
                <w14:textFill>
                  <w14:solidFill>
                    <w14:schemeClr w14:val="tx1"/>
                  </w14:solidFill>
                </w14:textFill>
              </w:rPr>
              <w:t>gulgula</w:t>
            </w:r>
            <w:r>
              <w:rPr>
                <w:rFonts w:hint="eastAsia"/>
                <w:color w:val="000000" w:themeColor="text1"/>
                <w14:textFill>
                  <w14:solidFill>
                    <w14:schemeClr w14:val="tx1"/>
                  </w14:solidFill>
                </w14:textFill>
              </w:rPr>
              <w:t>、白鹡鸰</w:t>
            </w:r>
            <w:r>
              <w:rPr>
                <w:rFonts w:hint="eastAsia"/>
                <w:i/>
                <w:iCs/>
                <w:color w:val="000000" w:themeColor="text1"/>
                <w14:textFill>
                  <w14:solidFill>
                    <w14:schemeClr w14:val="tx1"/>
                  </w14:solidFill>
                </w14:textFill>
              </w:rPr>
              <w:t>Motacilla alba</w:t>
            </w:r>
            <w:r>
              <w:rPr>
                <w:rFonts w:hint="eastAsia"/>
                <w:color w:val="000000" w:themeColor="text1"/>
                <w14:textFill>
                  <w14:solidFill>
                    <w14:schemeClr w14:val="tx1"/>
                  </w14:solidFill>
                </w14:textFill>
              </w:rPr>
              <w:t>、黄臀鹎</w:t>
            </w:r>
            <w:r>
              <w:rPr>
                <w:rFonts w:hint="eastAsia"/>
                <w:i/>
                <w:iCs/>
                <w:color w:val="000000" w:themeColor="text1"/>
                <w14:textFill>
                  <w14:solidFill>
                    <w14:schemeClr w14:val="tx1"/>
                  </w14:solidFill>
                </w14:textFill>
              </w:rPr>
              <w:t>Pycnonotus xanthorrhous</w:t>
            </w:r>
            <w:r>
              <w:rPr>
                <w:rFonts w:hint="eastAsia"/>
                <w:color w:val="000000" w:themeColor="text1"/>
                <w14:textFill>
                  <w14:solidFill>
                    <w14:schemeClr w14:val="tx1"/>
                  </w14:solidFill>
                </w14:textFill>
              </w:rPr>
              <w:t>、树麻雀</w:t>
            </w:r>
            <w:r>
              <w:rPr>
                <w:rFonts w:hint="eastAsia"/>
                <w:i/>
                <w:iCs/>
                <w:color w:val="000000" w:themeColor="text1"/>
                <w14:textFill>
                  <w14:solidFill>
                    <w14:schemeClr w14:val="tx1"/>
                  </w14:solidFill>
                </w14:textFill>
              </w:rPr>
              <w:t>Passer</w:t>
            </w:r>
            <w:r>
              <w:rPr>
                <w:i/>
                <w:iCs/>
                <w:color w:val="000000" w:themeColor="text1"/>
                <w14:textFill>
                  <w14:solidFill>
                    <w14:schemeClr w14:val="tx1"/>
                  </w14:solidFill>
                </w14:textFill>
              </w:rPr>
              <w:t xml:space="preserve"> </w:t>
            </w:r>
            <w:r>
              <w:rPr>
                <w:rFonts w:hint="eastAsia"/>
                <w:i/>
                <w:iCs/>
                <w:color w:val="000000" w:themeColor="text1"/>
                <w14:textFill>
                  <w14:solidFill>
                    <w14:schemeClr w14:val="tx1"/>
                  </w14:solidFill>
                </w14:textFill>
              </w:rPr>
              <w:t>montanus</w:t>
            </w:r>
            <w:r>
              <w:rPr>
                <w:rFonts w:hint="eastAsia"/>
                <w:color w:val="000000" w:themeColor="text1"/>
                <w14:textFill>
                  <w14:solidFill>
                    <w14:schemeClr w14:val="tx1"/>
                  </w14:solidFill>
                </w14:textFill>
              </w:rPr>
              <w:t>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项目调查区记录到国家Ⅰ级重点保护野生鸟类</w:t>
            </w:r>
            <w:bookmarkStart w:id="35" w:name="_Hlk94112349"/>
            <w:r>
              <w:rPr>
                <w:color w:val="000000" w:themeColor="text1"/>
                <w14:textFill>
                  <w14:solidFill>
                    <w14:schemeClr w14:val="tx1"/>
                  </w14:solidFill>
                </w14:textFill>
              </w:rPr>
              <w:t>1</w:t>
            </w:r>
            <w:r>
              <w:rPr>
                <w:rFonts w:hint="eastAsia"/>
                <w:color w:val="000000" w:themeColor="text1"/>
                <w14:textFill>
                  <w14:solidFill>
                    <w14:schemeClr w14:val="tx1"/>
                  </w14:solidFill>
                </w14:textFill>
              </w:rPr>
              <w:t>种——黑颈鹤</w:t>
            </w:r>
            <w:r>
              <w:rPr>
                <w:rFonts w:hint="eastAsia"/>
                <w:i/>
                <w:iCs/>
                <w:color w:val="000000" w:themeColor="text1"/>
                <w14:textFill>
                  <w14:solidFill>
                    <w14:schemeClr w14:val="tx1"/>
                  </w14:solidFill>
                </w14:textFill>
              </w:rPr>
              <w:t>Grus</w:t>
            </w:r>
            <w:r>
              <w:rPr>
                <w:i/>
                <w:iCs/>
                <w:color w:val="000000" w:themeColor="text1"/>
                <w14:textFill>
                  <w14:solidFill>
                    <w14:schemeClr w14:val="tx1"/>
                  </w14:solidFill>
                </w14:textFill>
              </w:rPr>
              <w:t xml:space="preserve"> </w:t>
            </w:r>
            <w:r>
              <w:rPr>
                <w:rFonts w:hint="eastAsia"/>
                <w:i/>
                <w:iCs/>
                <w:color w:val="000000" w:themeColor="text1"/>
                <w14:textFill>
                  <w14:solidFill>
                    <w14:schemeClr w14:val="tx1"/>
                  </w14:solidFill>
                </w14:textFill>
              </w:rPr>
              <w:t>nigricollis</w:t>
            </w:r>
            <w:bookmarkEnd w:id="35"/>
            <w:r>
              <w:rPr>
                <w:rFonts w:hint="eastAsia"/>
                <w:color w:val="000000" w:themeColor="text1"/>
                <w14:textFill>
                  <w14:solidFill>
                    <w14:schemeClr w14:val="tx1"/>
                  </w14:solidFill>
                </w14:textFill>
              </w:rPr>
              <w:t>，记录到国家Ⅱ级重点保护野生鸟类</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种——普通鵟</w:t>
            </w:r>
            <w:r>
              <w:rPr>
                <w:rFonts w:hint="eastAsia"/>
                <w:i/>
                <w:iCs/>
                <w:color w:val="000000" w:themeColor="text1"/>
                <w14:textFill>
                  <w14:solidFill>
                    <w14:schemeClr w14:val="tx1"/>
                  </w14:solidFill>
                </w14:textFill>
              </w:rPr>
              <w:t>Buteo buteo</w:t>
            </w:r>
            <w:r>
              <w:rPr>
                <w:rFonts w:hint="eastAsia"/>
                <w:color w:val="000000" w:themeColor="text1"/>
                <w14:textFill>
                  <w14:solidFill>
                    <w14:schemeClr w14:val="tx1"/>
                  </w14:solidFill>
                </w14:textFill>
              </w:rPr>
              <w:t>、松雀鹰</w:t>
            </w:r>
            <w:bookmarkStart w:id="36" w:name="_Hlk157699986"/>
            <w:r>
              <w:rPr>
                <w:rFonts w:hint="eastAsia"/>
                <w:i/>
                <w:iCs/>
                <w:color w:val="000000" w:themeColor="text1"/>
                <w14:textFill>
                  <w14:solidFill>
                    <w14:schemeClr w14:val="tx1"/>
                  </w14:solidFill>
                </w14:textFill>
              </w:rPr>
              <w:t>Accipiter virgatus</w:t>
            </w:r>
            <w:bookmarkEnd w:id="36"/>
            <w:r>
              <w:rPr>
                <w:rFonts w:hint="eastAsia"/>
                <w:color w:val="000000" w:themeColor="text1"/>
                <w14:textFill>
                  <w14:solidFill>
                    <w14:schemeClr w14:val="tx1"/>
                  </w14:solidFill>
                </w14:textFill>
              </w:rPr>
              <w:t>、红隼</w:t>
            </w:r>
            <w:r>
              <w:rPr>
                <w:rFonts w:hint="eastAsia"/>
                <w:i/>
                <w:iCs/>
                <w:color w:val="000000" w:themeColor="text1"/>
                <w14:textFill>
                  <w14:solidFill>
                    <w14:schemeClr w14:val="tx1"/>
                  </w14:solidFill>
                </w14:textFill>
              </w:rPr>
              <w:t>Falco tinnunculus、</w:t>
            </w:r>
            <w:bookmarkStart w:id="37" w:name="_Hlk94112365"/>
            <w:r>
              <w:rPr>
                <w:rFonts w:hint="eastAsia"/>
                <w:color w:val="000000" w:themeColor="text1"/>
                <w14:textFill>
                  <w14:solidFill>
                    <w14:schemeClr w14:val="tx1"/>
                  </w14:solidFill>
                </w14:textFill>
              </w:rPr>
              <w:t>白腹锦鸡</w:t>
            </w:r>
            <w:r>
              <w:rPr>
                <w:i/>
                <w:color w:val="000000" w:themeColor="text1"/>
                <w14:textFill>
                  <w14:solidFill>
                    <w14:schemeClr w14:val="tx1"/>
                  </w14:solidFill>
                </w14:textFill>
              </w:rPr>
              <w:t>Chrysolophus amherstiae</w:t>
            </w:r>
            <w:bookmarkEnd w:id="37"/>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）哺乳类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根据野外调查和收集到的各种资料进行综合分析，项目评价区分布有哺乳类</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种，隶属于5目</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调查中未发现国家和省级重点保护物种，也未发现仅在当地分布的特有种。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（5）鸟类迁徙通道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风电场规划（2011年）环境影响评价报告书》中附图5云南候鸟秋季夜间扑火点“打雀点”分布和候鸟迁徙路线图（根据该图，共列出云南省“打雀点”19处，分别是：泸水-片马垭口、保山-龙陵竹青、洱源（凤羽）-鸟吊山、巍山-大理瓦房哨等、巍山-弥渡隆庆关等、南华（马街）-大中山、新平（者竜）-界牌、新平-镇沅金山垭口、新平（漠沙）-马鹿、南涧（拥翠）-凤凰山等、镇沅-恩乐、墨江-绿春大风垭口、永善（马兰）-石灰窑、永善（莲峰)-石门坎、巧家（马树）小火塘、东川-烂泥坪、蒙自-冷泉、西畴（柏林）-弯刀寨、富宁（里达）-鸟王山。根据认真对照《云南省风电场规划（2011年）环境影响评价报告书》中云南己知候鸟迁徙主要通道的分布情况，经核实，拟建项目区域不涉及其中的“打雀点”、不涉及其中候鸟迁徙路线。</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国电建集团昆明勘测设计研究院有限公司和云南省生态环境工程评估中心2020年9月编制的《云南省在适宜地区适度开发利用新能源规划环境影响篇章》中2.6.5.3章节云南候鸟迁徙路线研究中相关内容：目前在云南省境内共发现“打雀点”24处45个点，主要有洱源鸟吊山，巍山-弥渡的隆庆关、老厂等，南涧凤凰山，新平-镇沅的金山垭口，南华大中山，富宁-鸟王山，泸水市的风雪垭口，大理市的瓦房哨，绿春县的大风垭口，永善县的马楠、石门坎，昭通的五堆石，东川区的滥泥坪，蒙自市的冷泉，西畴县的弯刀寨，砚山县的黑巴村等地（吴金亮和李宗强，1999；王紫江和赵雪冰2009；罗康等，2011）。从夜间迁徙鸟聚集点的分布图可以看出，云南西北部的云岭、苍山、哀牢山，沿红河河谷一直向东南方向连贯地分布着多个鸟类迁徙聚集点，即候鸟夜间迁徙的西线。滇东北的乌蒙山脉和滇东南也分布着多个迁徙聚集点，形成候鸟夜间迁徙的东线。</w:t>
            </w:r>
            <w:r>
              <w:rPr>
                <w:rFonts w:hint="eastAsia"/>
                <w:color w:val="000000" w:themeColor="text1"/>
                <w14:textFill>
                  <w14:solidFill>
                    <w14:schemeClr w14:val="tx1"/>
                  </w14:solidFill>
                </w14:textFill>
              </w:rPr>
              <w:t>拟建项目区域不涉及《云南省在适宜地区适度开发利用新能源规划环境影响篇章》中列出的“打雀点”、不涉及其中的候鸟夜间迁徙的东西两条迁徙路线区域。</w:t>
            </w:r>
          </w:p>
          <w:p>
            <w:pPr>
              <w:ind w:firstLine="480"/>
              <w:rPr>
                <w:color w:val="000000" w:themeColor="text1"/>
                <w14:textFill>
                  <w14:solidFill>
                    <w14:schemeClr w14:val="tx1"/>
                  </w14:solidFill>
                </w14:textFill>
              </w:rPr>
            </w:pPr>
            <w:bookmarkStart w:id="38" w:name="_Hlk155689686"/>
            <w:r>
              <w:rPr>
                <w:color w:val="000000" w:themeColor="text1"/>
                <w14:textFill>
                  <w14:solidFill>
                    <w14:schemeClr w14:val="tx1"/>
                  </w14:solidFill>
                </w14:textFill>
              </w:rPr>
              <w:t>根据云南省林业和草原局</w:t>
            </w:r>
            <w:r>
              <w:rPr>
                <w:rFonts w:hint="eastAsia"/>
                <w:color w:val="000000" w:themeColor="text1"/>
                <w14:textFill>
                  <w14:solidFill>
                    <w14:schemeClr w14:val="tx1"/>
                  </w14:solidFill>
                </w14:textFill>
              </w:rPr>
              <w:t>公告（2</w:t>
            </w:r>
            <w:r>
              <w:rPr>
                <w:color w:val="000000" w:themeColor="text1"/>
                <w14:textFill>
                  <w14:solidFill>
                    <w14:schemeClr w14:val="tx1"/>
                  </w14:solidFill>
                </w14:textFill>
              </w:rPr>
              <w:t>023</w:t>
            </w:r>
            <w:r>
              <w:rPr>
                <w:rFonts w:hint="eastAsia"/>
                <w:color w:val="000000" w:themeColor="text1"/>
                <w14:textFill>
                  <w14:solidFill>
                    <w14:schemeClr w14:val="tx1"/>
                  </w14:solidFill>
                </w14:textFill>
              </w:rPr>
              <w:t>年第1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云南省候鸟迁徙通道重点区域范围（第一批）</w:t>
            </w:r>
            <w:r>
              <w:rPr>
                <w:color w:val="000000" w:themeColor="text1"/>
                <w14:textFill>
                  <w14:solidFill>
                    <w14:schemeClr w14:val="tx1"/>
                  </w14:solidFill>
                </w14:textFill>
              </w:rPr>
              <w:t>》，划定的云南秋季候鸟迁徙通道分别是南华大中山、洱源鸟吊山、</w:t>
            </w:r>
            <w:r>
              <w:rPr>
                <w:rFonts w:hint="eastAsia"/>
                <w:color w:val="000000" w:themeColor="text1"/>
                <w14:textFill>
                  <w14:solidFill>
                    <w14:schemeClr w14:val="tx1"/>
                  </w14:solidFill>
                </w14:textFill>
              </w:rPr>
              <w:t>南涧凤凰山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巍山—弥渡隆庆关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绿春阿倮欧滨森林公园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开远市大黑山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富宁鸟王山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砚山—开远黑巴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新平—镇沅金山垭口</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永善马楠—石门坎</w:t>
            </w:r>
            <w:r>
              <w:rPr>
                <w:color w:val="000000" w:themeColor="text1"/>
                <w14:textFill>
                  <w14:solidFill>
                    <w14:schemeClr w14:val="tx1"/>
                  </w14:solidFill>
                </w14:textFill>
              </w:rPr>
              <w:t>。对照《云南省候鸟迁徙通道重点区域范围（第一批）》中云南己知候鸟迁徙主要通道的分布情况，项目</w:t>
            </w:r>
            <w:r>
              <w:rPr>
                <w:rFonts w:hint="eastAsia"/>
                <w:color w:val="000000" w:themeColor="text1"/>
                <w14:textFill>
                  <w14:solidFill>
                    <w14:schemeClr w14:val="tx1"/>
                  </w14:solidFill>
                </w14:textFill>
              </w:rPr>
              <w:t>选址</w:t>
            </w:r>
            <w:r>
              <w:rPr>
                <w:color w:val="000000" w:themeColor="text1"/>
                <w14:textFill>
                  <w14:solidFill>
                    <w14:schemeClr w14:val="tx1"/>
                  </w14:solidFill>
                </w14:textFill>
              </w:rPr>
              <w:t>区域不涉及其中的候鸟迁徙路线。</w:t>
            </w:r>
            <w:bookmarkEnd w:id="38"/>
          </w:p>
          <w:p>
            <w:pPr>
              <w:ind w:firstLine="480"/>
              <w:rPr>
                <w:b/>
                <w:bCs/>
                <w:color w:val="000000" w:themeColor="text1"/>
                <w14:textFill>
                  <w14:solidFill>
                    <w14:schemeClr w14:val="tx1"/>
                  </w14:solidFill>
                </w14:textFill>
              </w:rPr>
            </w:pPr>
            <w:r>
              <w:rPr>
                <w:color w:val="000000" w:themeColor="text1"/>
                <w14:textFill>
                  <w14:solidFill>
                    <w14:schemeClr w14:val="tx1"/>
                  </w14:solidFill>
                </w14:textFill>
              </w:rPr>
              <w:t>在项目的生态调查中，项目组在项目区及周边进行了实地调查和访问调查。通过对项目区周边村民进行访问得知项目区域秋季没有候鸟集中趋光现象，当地也没有群众夜间捕鸟。根据现场调查的情况来看，项目区未发现夜间候鸟迁徙聚集点存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综上分析，拟建项目不涉及云南己知候鸟迁徙的主要通道。</w:t>
            </w:r>
          </w:p>
          <w:bookmarkEnd w:id="32"/>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声环境现状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项目位于会泽县农村地区，项目区无相关声环境功能区划，声环境执行《声环境质量标准》（GB3096-2008）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类标准。为了解项目区声环境质量现状，建设单位委托云南天博环境检测有限公司对项目进行了声环境质量监测，监测期间升压站尚未投入运行，监测结果见下表。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 xml:space="preserve">声环境监测结果一览表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1169"/>
              <w:gridCol w:w="732"/>
              <w:gridCol w:w="1314"/>
              <w:gridCol w:w="881"/>
              <w:gridCol w:w="875"/>
              <w:gridCol w:w="732"/>
              <w:gridCol w:w="1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检测点位</w:t>
                  </w:r>
                </w:p>
              </w:tc>
              <w:tc>
                <w:tcPr>
                  <w:tcW w:w="1169"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检测日期</w:t>
                  </w:r>
                </w:p>
              </w:tc>
              <w:tc>
                <w:tcPr>
                  <w:tcW w:w="2046" w:type="dxa"/>
                  <w:gridSpan w:val="2"/>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采样时段</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噪声值</w:t>
                  </w:r>
                  <w:r>
                    <w:rPr>
                      <w:color w:val="000000" w:themeColor="text1"/>
                      <w14:textFill>
                        <w14:solidFill>
                          <w14:schemeClr w14:val="tx1"/>
                        </w14:solidFill>
                      </w14:textFill>
                    </w:rPr>
                    <w:t>Leq</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r>
                    <w:rPr>
                      <w:color w:val="000000" w:themeColor="text1"/>
                      <w14:textFill>
                        <w14:solidFill>
                          <w14:schemeClr w14:val="tx1"/>
                        </w14:solidFill>
                      </w14:textFill>
                    </w:rPr>
                    <w:t>Leq</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主要声源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马家沧房</w:t>
                  </w: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2023/8/15</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12:03~12:13</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46.0</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01:39~01:49</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41.0</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w:t>
                  </w:r>
                  <w:r>
                    <w:rPr>
                      <w:color w:val="000000" w:themeColor="text1"/>
                      <w14:textFill>
                        <w14:solidFill>
                          <w14:schemeClr w14:val="tx1"/>
                        </w14:solidFill>
                      </w14:textFill>
                    </w:rPr>
                    <w:t>6</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11:52~12:02</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45.8</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01:52~02:02</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38.5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1192"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大龙潭</w:t>
                  </w: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2023/8/15</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14:11~14:21</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1"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23:21~23:31</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36.0</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w:t>
                  </w:r>
                  <w:r>
                    <w:rPr>
                      <w:color w:val="000000" w:themeColor="text1"/>
                      <w14:textFill>
                        <w14:solidFill>
                          <w14:schemeClr w14:val="tx1"/>
                        </w14:solidFill>
                      </w14:textFill>
                    </w:rPr>
                    <w:t>6</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14:11~14:21</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23:20~23:30</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37.1</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升压站东侧厂界</w:t>
                  </w: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2023/8/15</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11:16~11:26</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44.5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02:46~02:56</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38.4</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w:t>
                  </w:r>
                  <w:r>
                    <w:rPr>
                      <w:color w:val="000000" w:themeColor="text1"/>
                      <w14:textFill>
                        <w14:solidFill>
                          <w14:schemeClr w14:val="tx1"/>
                        </w14:solidFill>
                      </w14:textFill>
                    </w:rPr>
                    <w:t>6</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10:23~10:33</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45.7</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02:39~02:49</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37.2</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升压站南侧厂界</w:t>
                  </w: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2023/8/15</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10:25~10:35</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49.3</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02:03~02:13</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38.7</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w:t>
                  </w:r>
                  <w:r>
                    <w:rPr>
                      <w:color w:val="000000" w:themeColor="text1"/>
                      <w14:textFill>
                        <w14:solidFill>
                          <w14:schemeClr w14:val="tx1"/>
                        </w14:solidFill>
                      </w14:textFill>
                    </w:rPr>
                    <w:t>6</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09:32~09:42</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47.3</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03:24~03:34</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37.3</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升压站西侧厂界</w:t>
                  </w: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2023/8/15</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10:40~10:50</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45.4</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02:16~02:26</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w:t>
                  </w:r>
                  <w:r>
                    <w:rPr>
                      <w:color w:val="000000" w:themeColor="text1"/>
                      <w14:textFill>
                        <w14:solidFill>
                          <w14:schemeClr w14:val="tx1"/>
                        </w14:solidFill>
                      </w14:textFill>
                    </w:rPr>
                    <w:t>6</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09:48~09:58</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47.5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03:09~03:19</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38.2</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升压站北侧厂界</w:t>
                  </w: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2023/8/15</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10:58~11:08</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44.6</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02:31~02:41</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37.3</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2023/8/1</w:t>
                  </w:r>
                  <w:r>
                    <w:rPr>
                      <w:color w:val="000000" w:themeColor="text1"/>
                      <w14:textFill>
                        <w14:solidFill>
                          <w14:schemeClr w14:val="tx1"/>
                        </w14:solidFill>
                      </w14:textFill>
                    </w:rPr>
                    <w:t>6</w:t>
                  </w: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10:06~10:16</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45.6</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192" w:type="dxa"/>
                  <w:vMerge w:val="continue"/>
                  <w:shd w:val="clear" w:color="auto" w:fill="auto"/>
                  <w:vAlign w:val="center"/>
                </w:tcPr>
                <w:p>
                  <w:pPr>
                    <w:pStyle w:val="29"/>
                    <w:rPr>
                      <w:color w:val="000000" w:themeColor="text1"/>
                      <w14:textFill>
                        <w14:solidFill>
                          <w14:schemeClr w14:val="tx1"/>
                        </w14:solidFill>
                      </w14:textFill>
                    </w:rPr>
                  </w:pPr>
                </w:p>
              </w:tc>
              <w:tc>
                <w:tcPr>
                  <w:tcW w:w="1169" w:type="dxa"/>
                  <w:vMerge w:val="continue"/>
                  <w:shd w:val="clear" w:color="auto" w:fill="auto"/>
                  <w:vAlign w:val="center"/>
                </w:tcPr>
                <w:p>
                  <w:pPr>
                    <w:pStyle w:val="29"/>
                    <w:rPr>
                      <w:color w:val="000000" w:themeColor="text1"/>
                      <w14:textFill>
                        <w14:solidFill>
                          <w14:schemeClr w14:val="tx1"/>
                        </w14:solidFill>
                      </w14:textFill>
                    </w:rPr>
                  </w:pPr>
                </w:p>
              </w:tc>
              <w:tc>
                <w:tcPr>
                  <w:tcW w:w="73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31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02:39~02:49</w:t>
                  </w:r>
                </w:p>
              </w:tc>
              <w:tc>
                <w:tcPr>
                  <w:tcW w:w="88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37.5</w:t>
                  </w:r>
                </w:p>
              </w:tc>
              <w:tc>
                <w:tcPr>
                  <w:tcW w:w="87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p>
              </w:tc>
              <w:tc>
                <w:tcPr>
                  <w:tcW w:w="7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23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环境噪声</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根据上表，项目区现状声环境质量满足《声环境质量标准》（GB3096-2008）中的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类标准，项目所在区域属于达标区。</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地表水环境现状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根据现场踏勘，项目施工期间可影响的河流为桃家小河、野牛圈河及其支流。桃家小河位于项目区南侧，为小江支流，距离项目最近距离为5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风机）；野牛圈河位于项目区东南侧，为牛栏江一级支流，距离项目最近距离为3</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风机）。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根据《云南省水功能区划（2014年修订）》，小江寻甸-东川保留区2</w:t>
            </w:r>
            <w:r>
              <w:rPr>
                <w:color w:val="000000" w:themeColor="text1"/>
                <w14:textFill>
                  <w14:solidFill>
                    <w14:schemeClr w14:val="tx1"/>
                  </w14:solidFill>
                </w14:textFill>
              </w:rPr>
              <w:t>030</w:t>
            </w:r>
            <w:r>
              <w:rPr>
                <w:rFonts w:hint="eastAsia"/>
                <w:color w:val="000000" w:themeColor="text1"/>
                <w14:textFill>
                  <w14:solidFill>
                    <w14:schemeClr w14:val="tx1"/>
                  </w14:solidFill>
                </w14:textFill>
              </w:rPr>
              <w:t>年水质目标为III类，执行《地表水环境质量标准》（GB3838-2002）III类标准。桃家小河无相关水环境功能区划，桃家小河现状主要为农田灌溉用水，水环境功能区划参照小江（小江寻甸-东川保留区）水环境功能区划，即2030年水质目标为</w:t>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t>类，执行《地表水环境质量标准》（GB3838-2002）III类标准。牛栏江（牛栏江沾益-会泽保留区）（德泽水库坝址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黄梨树水文站）2030年水质目标为</w:t>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t>类，执行《地表水环境质量标准》（GB3838-2002）III类标准。野牛圈河无相关水环境功能区划，野牛圈河现状主要为农田灌溉用水，水环境功能区划参照牛栏江（牛栏江沾益-会泽保留区）（德泽水库坝址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黄梨树水文站）水环境功能区划，即2030年水质目标为</w:t>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t>类，执行《地表水环境质量标准》（GB3838-2002）III类标准。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为了解野牛圈河水质现状，建设单位委托云南天博环境检测有限公司对野牛圈河上游、下游的水质现状进行了监测，检测时间2</w:t>
            </w:r>
            <w:r>
              <w:rPr>
                <w:color w:val="000000" w:themeColor="text1"/>
                <w14:textFill>
                  <w14:solidFill>
                    <w14:schemeClr w14:val="tx1"/>
                  </w14:solidFill>
                </w14:textFill>
              </w:rPr>
              <w:t>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月1</w:t>
            </w:r>
            <w:r>
              <w:rPr>
                <w:color w:val="000000" w:themeColor="text1"/>
                <w14:textFill>
                  <w14:solidFill>
                    <w14:schemeClr w14:val="tx1"/>
                  </w14:solidFill>
                </w14:textFill>
              </w:rPr>
              <w:t>5-17</w:t>
            </w:r>
            <w:r>
              <w:rPr>
                <w:rFonts w:hint="eastAsia"/>
                <w:color w:val="000000" w:themeColor="text1"/>
                <w14:textFill>
                  <w14:solidFill>
                    <w14:schemeClr w14:val="tx1"/>
                  </w14:solidFill>
                </w14:textFill>
              </w:rPr>
              <w:t>日共三天，水质情况详见下表。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 xml:space="preserve">野牛圈河上游水质情况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单位：mg/L</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09"/>
              <w:gridCol w:w="1455"/>
              <w:gridCol w:w="1455"/>
              <w:gridCol w:w="1455"/>
              <w:gridCol w:w="1061"/>
              <w:gridCol w:w="7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4365" w:type="dxa"/>
                  <w:gridSpan w:val="3"/>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检测值</w:t>
                  </w:r>
                </w:p>
              </w:tc>
              <w:tc>
                <w:tcPr>
                  <w:tcW w:w="1061" w:type="dxa"/>
                  <w:vMerge w:val="restart"/>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796" w:type="dxa"/>
                  <w:vMerge w:val="restart"/>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29"/>
                    <w:rPr>
                      <w:color w:val="000000" w:themeColor="text1"/>
                      <w14:textFill>
                        <w14:solidFill>
                          <w14:schemeClr w14:val="tx1"/>
                        </w14:solidFill>
                      </w14:textFill>
                    </w:rPr>
                  </w:pPr>
                  <w:r>
                    <w:rPr>
                      <w:color w:val="000000" w:themeColor="text1"/>
                      <w14:textFill>
                        <w14:solidFill>
                          <w14:schemeClr w14:val="tx1"/>
                        </w14:solidFill>
                      </w14:textFill>
                    </w:rPr>
                    <w:t>判断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vMerge w:val="continue"/>
                  <w:shd w:val="clear" w:color="auto" w:fill="auto"/>
                  <w:vAlign w:val="center"/>
                </w:tcPr>
                <w:p>
                  <w:pPr>
                    <w:pStyle w:val="29"/>
                    <w:rPr>
                      <w:color w:val="000000" w:themeColor="text1"/>
                      <w14:textFill>
                        <w14:solidFill>
                          <w14:schemeClr w14:val="tx1"/>
                        </w14:solidFill>
                      </w14:textFill>
                    </w:rPr>
                  </w:pPr>
                </w:p>
              </w:tc>
              <w:tc>
                <w:tcPr>
                  <w:tcW w:w="1455"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2023.08.15</w:t>
                  </w:r>
                </w:p>
              </w:tc>
              <w:tc>
                <w:tcPr>
                  <w:tcW w:w="1455"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2023.08.16</w:t>
                  </w:r>
                </w:p>
              </w:tc>
              <w:tc>
                <w:tcPr>
                  <w:tcW w:w="1455"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2023.08.17</w:t>
                  </w:r>
                </w:p>
              </w:tc>
              <w:tc>
                <w:tcPr>
                  <w:tcW w:w="1061" w:type="dxa"/>
                  <w:vMerge w:val="continue"/>
                  <w:vAlign w:val="center"/>
                </w:tcPr>
                <w:p>
                  <w:pPr>
                    <w:pStyle w:val="29"/>
                    <w:rPr>
                      <w:color w:val="000000" w:themeColor="text1"/>
                      <w14:textFill>
                        <w14:solidFill>
                          <w14:schemeClr w14:val="tx1"/>
                        </w14:solidFill>
                      </w14:textFill>
                    </w:rPr>
                  </w:pPr>
                </w:p>
              </w:tc>
              <w:tc>
                <w:tcPr>
                  <w:tcW w:w="796"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OD</w:t>
                  </w:r>
                  <w:r>
                    <w:rPr>
                      <w:color w:val="000000" w:themeColor="text1"/>
                      <w:vertAlign w:val="subscript"/>
                      <w14:textFill>
                        <w14:solidFill>
                          <w14:schemeClr w14:val="tx1"/>
                        </w14:solidFill>
                      </w14:textFill>
                    </w:rPr>
                    <w:t>5</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0.109</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0.106</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0.109</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粪大肠菌群</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0000</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909"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0.01L</w:t>
                  </w:r>
                </w:p>
              </w:tc>
              <w:tc>
                <w:tcPr>
                  <w:tcW w:w="145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0.01L</w:t>
                  </w:r>
                </w:p>
              </w:tc>
              <w:tc>
                <w:tcPr>
                  <w:tcW w:w="145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0.01L</w:t>
                  </w:r>
                </w:p>
              </w:tc>
              <w:tc>
                <w:tcPr>
                  <w:tcW w:w="106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c>
                <w:tcPr>
                  <w:tcW w:w="79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ind w:firstLine="480"/>
              <w:rPr>
                <w:color w:val="000000" w:themeColor="text1"/>
                <w14:textFill>
                  <w14:solidFill>
                    <w14:schemeClr w14:val="tx1"/>
                  </w14:solidFill>
                </w14:textFill>
              </w:rPr>
            </w:pPr>
            <w:bookmarkStart w:id="39" w:name="_Hlk137653560"/>
            <w:r>
              <w:rPr>
                <w:rFonts w:hint="eastAsia"/>
                <w:color w:val="000000" w:themeColor="text1"/>
                <w14:textFill>
                  <w14:solidFill>
                    <w14:schemeClr w14:val="tx1"/>
                  </w14:solidFill>
                </w14:textFill>
              </w:rPr>
              <w:t>根据监测结果，野牛圈河上游水质指标能达到《地表水环境质量标准》（GB3838-2002）III类标准要求。</w:t>
            </w:r>
            <w:bookmarkEnd w:id="39"/>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野牛圈河下游水质情况见下表。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.1-8  </w:t>
            </w:r>
            <w:r>
              <w:rPr>
                <w:rFonts w:hint="eastAsia"/>
                <w:color w:val="000000" w:themeColor="text1"/>
                <w14:textFill>
                  <w14:solidFill>
                    <w14:schemeClr w14:val="tx1"/>
                  </w14:solidFill>
                </w14:textFill>
              </w:rPr>
              <w:t xml:space="preserve">野牛圈河下游水质情况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单位：mg/L</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95"/>
              <w:gridCol w:w="1294"/>
              <w:gridCol w:w="1294"/>
              <w:gridCol w:w="1294"/>
              <w:gridCol w:w="944"/>
              <w:gridCol w:w="7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595"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882" w:type="dxa"/>
                  <w:gridSpan w:val="3"/>
                </w:tcPr>
                <w:p>
                  <w:pPr>
                    <w:pStyle w:val="29"/>
                    <w:rPr>
                      <w:color w:val="000000" w:themeColor="text1"/>
                      <w14:textFill>
                        <w14:solidFill>
                          <w14:schemeClr w14:val="tx1"/>
                        </w14:solidFill>
                      </w14:textFill>
                    </w:rPr>
                  </w:pPr>
                  <w:r>
                    <w:rPr>
                      <w:color w:val="000000" w:themeColor="text1"/>
                      <w14:textFill>
                        <w14:solidFill>
                          <w14:schemeClr w14:val="tx1"/>
                        </w14:solidFill>
                      </w14:textFill>
                    </w:rPr>
                    <w:t>检测值</w:t>
                  </w:r>
                </w:p>
              </w:tc>
              <w:tc>
                <w:tcPr>
                  <w:tcW w:w="944" w:type="dxa"/>
                  <w:vMerge w:val="restart"/>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710" w:type="dxa"/>
                  <w:vMerge w:val="restart"/>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29"/>
                    <w:rPr>
                      <w:color w:val="000000" w:themeColor="text1"/>
                      <w14:textFill>
                        <w14:solidFill>
                          <w14:schemeClr w14:val="tx1"/>
                        </w14:solidFill>
                      </w14:textFill>
                    </w:rPr>
                  </w:pPr>
                  <w:r>
                    <w:rPr>
                      <w:color w:val="000000" w:themeColor="text1"/>
                      <w14:textFill>
                        <w14:solidFill>
                          <w14:schemeClr w14:val="tx1"/>
                        </w14:solidFill>
                      </w14:textFill>
                    </w:rPr>
                    <w:t>判断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595" w:type="dxa"/>
                  <w:vMerge w:val="continue"/>
                  <w:shd w:val="clear" w:color="auto" w:fill="auto"/>
                  <w:vAlign w:val="center"/>
                </w:tcPr>
                <w:p>
                  <w:pPr>
                    <w:pStyle w:val="29"/>
                    <w:rPr>
                      <w:color w:val="000000" w:themeColor="text1"/>
                      <w14:textFill>
                        <w14:solidFill>
                          <w14:schemeClr w14:val="tx1"/>
                        </w14:solidFill>
                      </w14:textFill>
                    </w:rPr>
                  </w:pPr>
                </w:p>
              </w:tc>
              <w:tc>
                <w:tcPr>
                  <w:tcW w:w="1294"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2023.03.16</w:t>
                  </w:r>
                </w:p>
              </w:tc>
              <w:tc>
                <w:tcPr>
                  <w:tcW w:w="1294"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2023.03.17</w:t>
                  </w:r>
                </w:p>
              </w:tc>
              <w:tc>
                <w:tcPr>
                  <w:tcW w:w="1294"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2023.03.18</w:t>
                  </w:r>
                </w:p>
              </w:tc>
              <w:tc>
                <w:tcPr>
                  <w:tcW w:w="944" w:type="dxa"/>
                  <w:vMerge w:val="continue"/>
                </w:tcPr>
                <w:p>
                  <w:pPr>
                    <w:pStyle w:val="29"/>
                    <w:rPr>
                      <w:color w:val="000000" w:themeColor="text1"/>
                      <w14:textFill>
                        <w14:solidFill>
                          <w14:schemeClr w14:val="tx1"/>
                        </w14:solidFill>
                      </w14:textFill>
                    </w:rPr>
                  </w:pPr>
                </w:p>
              </w:tc>
              <w:tc>
                <w:tcPr>
                  <w:tcW w:w="710" w:type="dxa"/>
                  <w:vMerge w:val="continue"/>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OD</w:t>
                  </w:r>
                  <w:r>
                    <w:rPr>
                      <w:color w:val="000000" w:themeColor="text1"/>
                      <w:vertAlign w:val="subscript"/>
                      <w14:textFill>
                        <w14:solidFill>
                          <w14:schemeClr w14:val="tx1"/>
                        </w14:solidFill>
                      </w14:textFill>
                    </w:rPr>
                    <w:t>5</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0.203</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0.203</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0.209</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粪大肠菌群</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0000</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85" w:hRule="atLeast"/>
              </w:trPr>
              <w:tc>
                <w:tcPr>
                  <w:tcW w:w="2595"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0.01L</w:t>
                  </w:r>
                </w:p>
              </w:tc>
              <w:tc>
                <w:tcPr>
                  <w:tcW w:w="12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0.01L</w:t>
                  </w:r>
                </w:p>
              </w:tc>
              <w:tc>
                <w:tcPr>
                  <w:tcW w:w="1294"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0.01L</w:t>
                  </w:r>
                </w:p>
              </w:tc>
              <w:tc>
                <w:tcPr>
                  <w:tcW w:w="94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c>
                <w:tcPr>
                  <w:tcW w:w="71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ind w:firstLine="480"/>
              <w:rPr>
                <w:color w:val="000000" w:themeColor="text1"/>
                <w14:textFill>
                  <w14:solidFill>
                    <w14:schemeClr w14:val="tx1"/>
                  </w14:solidFill>
                </w14:textFill>
              </w:rPr>
            </w:pPr>
            <w:bookmarkStart w:id="40" w:name="_Hlk137653610"/>
            <w:r>
              <w:rPr>
                <w:rFonts w:hint="eastAsia"/>
                <w:color w:val="000000" w:themeColor="text1"/>
                <w14:textFill>
                  <w14:solidFill>
                    <w14:schemeClr w14:val="tx1"/>
                  </w14:solidFill>
                </w14:textFill>
              </w:rPr>
              <w:t>根据监测结果，野牛圈河下游水质指标能达到《地表水环境质量标准》（GB3838-2002）III类标准要求。</w:t>
            </w:r>
            <w:bookmarkEnd w:id="4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桃家小河水质现状引用待补一期项目于2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年3月对该河流的检测结果，检测点位于项目区下游1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km，检测点位具有代表性，检测结果见下表。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.1-9  </w:t>
            </w:r>
            <w:r>
              <w:rPr>
                <w:rFonts w:hint="eastAsia"/>
                <w:color w:val="000000" w:themeColor="text1"/>
                <w14:textFill>
                  <w14:solidFill>
                    <w14:schemeClr w14:val="tx1"/>
                  </w14:solidFill>
                </w14:textFill>
              </w:rPr>
              <w:t>桃家小河水质检测结果</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单位：mg/L</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09"/>
              <w:gridCol w:w="1455"/>
              <w:gridCol w:w="1455"/>
              <w:gridCol w:w="1455"/>
              <w:gridCol w:w="1061"/>
              <w:gridCol w:w="7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909" w:type="dxa"/>
                  <w:vMerge w:val="restart"/>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检测项目</w:t>
                  </w:r>
                </w:p>
              </w:tc>
              <w:tc>
                <w:tcPr>
                  <w:tcW w:w="4365" w:type="dxa"/>
                  <w:gridSpan w:val="3"/>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检测值</w:t>
                  </w:r>
                </w:p>
              </w:tc>
              <w:tc>
                <w:tcPr>
                  <w:tcW w:w="1061" w:type="dxa"/>
                  <w:vMerge w:val="restart"/>
                  <w:shd w:val="clear" w:color="auto" w:fill="auto"/>
                  <w:vAlign w:val="center"/>
                </w:tcPr>
                <w:p>
                  <w:pPr>
                    <w:pStyle w:val="29"/>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标准值</w:t>
                  </w:r>
                </w:p>
              </w:tc>
              <w:tc>
                <w:tcPr>
                  <w:tcW w:w="796" w:type="dxa"/>
                  <w:vMerge w:val="restart"/>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判断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909" w:type="dxa"/>
                  <w:vMerge w:val="continue"/>
                  <w:vAlign w:val="center"/>
                </w:tcPr>
                <w:p>
                  <w:pPr>
                    <w:pStyle w:val="29"/>
                    <w:rPr>
                      <w:color w:val="000000" w:themeColor="text1"/>
                      <w14:textFill>
                        <w14:solidFill>
                          <w14:schemeClr w14:val="tx1"/>
                        </w14:solidFill>
                      </w14:textFill>
                    </w:rPr>
                  </w:pP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2021.03.25</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2021.03.26</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2021.03.27</w:t>
                  </w:r>
                </w:p>
              </w:tc>
              <w:tc>
                <w:tcPr>
                  <w:tcW w:w="1061" w:type="dxa"/>
                  <w:vMerge w:val="continue"/>
                  <w:vAlign w:val="center"/>
                </w:tcPr>
                <w:p>
                  <w:pPr>
                    <w:pStyle w:val="29"/>
                    <w:rPr>
                      <w:rFonts w:cs="Times New Roman"/>
                      <w:color w:val="000000" w:themeColor="text1"/>
                      <w:szCs w:val="21"/>
                      <w14:textFill>
                        <w14:solidFill>
                          <w14:schemeClr w14:val="tx1"/>
                        </w14:solidFill>
                      </w14:textFill>
                    </w:rPr>
                  </w:pPr>
                </w:p>
              </w:tc>
              <w:tc>
                <w:tcPr>
                  <w:tcW w:w="796"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pH（无量纲）</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8.31</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8.27</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8.34</w:t>
                  </w:r>
                </w:p>
              </w:tc>
              <w:tc>
                <w:tcPr>
                  <w:tcW w:w="1061"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300"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11</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11</w:t>
                  </w:r>
                </w:p>
              </w:tc>
              <w:tc>
                <w:tcPr>
                  <w:tcW w:w="1061"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2.3</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2.2</w:t>
                  </w:r>
                </w:p>
              </w:tc>
              <w:tc>
                <w:tcPr>
                  <w:tcW w:w="1061"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0.076</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0.085</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0.079</w:t>
                  </w:r>
                </w:p>
              </w:tc>
              <w:tc>
                <w:tcPr>
                  <w:tcW w:w="1061"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300"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总磷</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0.02</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0.03</w:t>
                  </w:r>
                </w:p>
              </w:tc>
              <w:tc>
                <w:tcPr>
                  <w:tcW w:w="1061"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0.03</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0.02</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0.02</w:t>
                  </w:r>
                </w:p>
              </w:tc>
              <w:tc>
                <w:tcPr>
                  <w:tcW w:w="1061"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909"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粪大肠菌群</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3.0×10</w:t>
                  </w:r>
                  <w:r>
                    <w:rPr>
                      <w:rFonts w:cs="Times New Roman"/>
                      <w:color w:val="000000" w:themeColor="text1"/>
                      <w:szCs w:val="21"/>
                      <w:vertAlign w:val="superscript"/>
                      <w14:textFill>
                        <w14:solidFill>
                          <w14:schemeClr w14:val="tx1"/>
                        </w14:solidFill>
                      </w14:textFill>
                    </w:rPr>
                    <w:t>2</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2.7×10</w:t>
                  </w:r>
                  <w:r>
                    <w:rPr>
                      <w:rFonts w:cs="Times New Roman"/>
                      <w:color w:val="000000" w:themeColor="text1"/>
                      <w:szCs w:val="21"/>
                      <w:vertAlign w:val="superscript"/>
                      <w14:textFill>
                        <w14:solidFill>
                          <w14:schemeClr w14:val="tx1"/>
                        </w14:solidFill>
                      </w14:textFill>
                    </w:rPr>
                    <w:t>2</w:t>
                  </w:r>
                </w:p>
              </w:tc>
              <w:tc>
                <w:tcPr>
                  <w:tcW w:w="1455"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2.8×10</w:t>
                  </w:r>
                  <w:r>
                    <w:rPr>
                      <w:rFonts w:cs="Times New Roman"/>
                      <w:color w:val="000000" w:themeColor="text1"/>
                      <w:szCs w:val="21"/>
                      <w:vertAlign w:val="superscript"/>
                      <w14:textFill>
                        <w14:solidFill>
                          <w14:schemeClr w14:val="tx1"/>
                        </w14:solidFill>
                      </w14:textFill>
                    </w:rPr>
                    <w:t>2</w:t>
                  </w:r>
                </w:p>
              </w:tc>
              <w:tc>
                <w:tcPr>
                  <w:tcW w:w="1061" w:type="dxa"/>
                  <w:shd w:val="clear" w:color="auto" w:fill="auto"/>
                  <w:vAlign w:val="center"/>
                </w:tcPr>
                <w:p>
                  <w:pPr>
                    <w:pStyle w:val="29"/>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10000</w:t>
                  </w:r>
                </w:p>
              </w:tc>
              <w:tc>
                <w:tcPr>
                  <w:tcW w:w="796" w:type="dxa"/>
                  <w:shd w:val="clear" w:color="auto" w:fill="auto"/>
                  <w:noWrap/>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根据监测结果，桃家小河水质指标能达到《地表水环境质量标准》（GB3838-2002）III类标准要求。</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电磁环境现状</w:t>
            </w:r>
          </w:p>
          <w:p>
            <w:pPr>
              <w:ind w:firstLine="480"/>
              <w:rPr>
                <w:color w:val="000000" w:themeColor="text1"/>
                <w14:textFill>
                  <w14:solidFill>
                    <w14:schemeClr w14:val="tx1"/>
                  </w14:solidFill>
                </w14:textFill>
              </w:rPr>
            </w:pPr>
            <w:bookmarkStart w:id="41" w:name="_Hlk76222741"/>
            <w:r>
              <w:rPr>
                <w:rFonts w:hint="eastAsia"/>
                <w:color w:val="000000" w:themeColor="text1"/>
                <w14:textFill>
                  <w14:solidFill>
                    <w14:schemeClr w14:val="tx1"/>
                  </w14:solidFill>
                </w14:textFill>
              </w:rPr>
              <w:t>为了解项目区电磁环境质量现状，建设单位委托云南天博环境检测有限公司于2</w:t>
            </w:r>
            <w:r>
              <w:rPr>
                <w:color w:val="000000" w:themeColor="text1"/>
                <w14:textFill>
                  <w14:solidFill>
                    <w14:schemeClr w14:val="tx1"/>
                  </w14:solidFill>
                </w14:textFill>
              </w:rPr>
              <w:t>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日对2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kV升压站周边电磁环境现状进行了监测，监测期间升压站尚未投入运营。</w:t>
            </w:r>
          </w:p>
          <w:bookmarkEnd w:id="41"/>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根据监测</w:t>
            </w:r>
            <w:r>
              <w:rPr>
                <w:rFonts w:hint="eastAsia"/>
                <w:color w:val="000000" w:themeColor="text1"/>
                <w14:textFill>
                  <w14:solidFill>
                    <w14:schemeClr w14:val="tx1"/>
                  </w14:solidFill>
                </w14:textFill>
              </w:rPr>
              <w:t>结果</w:t>
            </w:r>
            <w:r>
              <w:rPr>
                <w:color w:val="000000" w:themeColor="text1"/>
                <w14:textFill>
                  <w14:solidFill>
                    <w14:schemeClr w14:val="tx1"/>
                  </w14:solidFill>
                </w14:textFill>
              </w:rPr>
              <w:t>：离地1.5m高处220</w:t>
            </w:r>
            <w:r>
              <w:rPr>
                <w:rFonts w:hint="eastAsia"/>
                <w:color w:val="000000" w:themeColor="text1"/>
                <w14:textFill>
                  <w14:solidFill>
                    <w14:schemeClr w14:val="tx1"/>
                  </w14:solidFill>
                </w14:textFill>
              </w:rPr>
              <w:t>kV升压站</w:t>
            </w:r>
            <w:r>
              <w:rPr>
                <w:color w:val="000000" w:themeColor="text1"/>
                <w14:textFill>
                  <w14:solidFill>
                    <w14:schemeClr w14:val="tx1"/>
                  </w14:solidFill>
                </w14:textFill>
              </w:rPr>
              <w:t>工频电场强度值在7.875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14.95V/m之间，工频磁感应强度值在0.0155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0.0327μT之间</w:t>
            </w:r>
            <w:r>
              <w:rPr>
                <w:rFonts w:hint="eastAsia"/>
                <w:color w:val="000000" w:themeColor="text1"/>
                <w14:textFill>
                  <w14:solidFill>
                    <w14:schemeClr w14:val="tx1"/>
                  </w14:solidFill>
                </w14:textFill>
              </w:rPr>
              <w:t>。项目拟建升压站区电磁环境现状满足《电磁环境控制限值》（GB8702-2014）表1中公众曝露限值，即频率为50Hz时的工频电场强度限值：4000V/m；工频磁感应强度限值：100</w:t>
            </w:r>
            <w:r>
              <w:rPr>
                <w:color w:val="000000" w:themeColor="text1"/>
                <w14:textFill>
                  <w14:solidFill>
                    <w14:schemeClr w14:val="tx1"/>
                  </w14:solidFill>
                </w14:textFill>
              </w:rPr>
              <w:t>μT</w:t>
            </w:r>
            <w:r>
              <w:rPr>
                <w:rFonts w:hint="eastAsia"/>
                <w:color w:val="000000" w:themeColor="text1"/>
                <w14:textFill>
                  <w14:solidFill>
                    <w14:schemeClr w14:val="tx1"/>
                  </w14:solidFill>
                </w14:textFill>
              </w:rPr>
              <w:t>。</w:t>
            </w:r>
          </w:p>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.1.8 </w:t>
            </w:r>
            <w:r>
              <w:rPr>
                <w:rFonts w:hint="eastAsia"/>
                <w:color w:val="000000" w:themeColor="text1"/>
                <w14:textFill>
                  <w14:solidFill>
                    <w14:schemeClr w14:val="tx1"/>
                  </w14:solidFill>
                </w14:textFill>
              </w:rPr>
              <w:t>大气环境现状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2022年曲靖市主城区环境空气质量自动监测有效天数365天，优200天，良159天，轻度污染6天，环境空气质量优良率98.4%。会泽县环境空气质量自动监测有效天数</w:t>
            </w:r>
            <w:r>
              <w:rPr>
                <w:color w:val="000000" w:themeColor="text1"/>
                <w14:textFill>
                  <w14:solidFill>
                    <w14:schemeClr w14:val="tx1"/>
                  </w14:solidFill>
                </w14:textFill>
              </w:rPr>
              <w:t>359</w:t>
            </w:r>
            <w:r>
              <w:rPr>
                <w:rFonts w:hint="eastAsia"/>
                <w:color w:val="000000" w:themeColor="text1"/>
                <w14:textFill>
                  <w14:solidFill>
                    <w14:schemeClr w14:val="tx1"/>
                  </w14:solidFill>
                </w14:textFill>
              </w:rPr>
              <w:t>天，优</w:t>
            </w:r>
            <w:r>
              <w:rPr>
                <w:color w:val="000000" w:themeColor="text1"/>
                <w14:textFill>
                  <w14:solidFill>
                    <w14:schemeClr w14:val="tx1"/>
                  </w14:solidFill>
                </w14:textFill>
              </w:rPr>
              <w:t>255</w:t>
            </w:r>
            <w:r>
              <w:rPr>
                <w:rFonts w:hint="eastAsia"/>
                <w:color w:val="000000" w:themeColor="text1"/>
                <w14:textFill>
                  <w14:solidFill>
                    <w14:schemeClr w14:val="tx1"/>
                  </w14:solidFill>
                </w14:textFill>
              </w:rPr>
              <w:t>天，良1</w:t>
            </w:r>
            <w:r>
              <w:rPr>
                <w:color w:val="000000" w:themeColor="text1"/>
                <w14:textFill>
                  <w14:solidFill>
                    <w14:schemeClr w14:val="tx1"/>
                  </w14:solidFill>
                </w14:textFill>
              </w:rPr>
              <w:t>04</w:t>
            </w:r>
            <w:r>
              <w:rPr>
                <w:rFonts w:hint="eastAsia"/>
                <w:color w:val="000000" w:themeColor="text1"/>
                <w14:textFill>
                  <w14:solidFill>
                    <w14:schemeClr w14:val="tx1"/>
                  </w14:solidFill>
                </w14:textFill>
              </w:rPr>
              <w:t>天，环境空气质量优良率达100%。由此可知，会泽县中心城区环境空气质量满足《环境空气质量标准》（GB3095-2012）二级标准，环境空气质量良好，为环境空气达标区。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项目位于偏远山区，周边无工业污染源，环境空气质量优于城区，因此，项目区环境空气质量满足《环境空气质量标准》（GB3095-2012）二级标准，为环境空气达标区。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与项目有关的原有环境污染和生态破坏问题</w:t>
            </w:r>
          </w:p>
        </w:tc>
        <w:tc>
          <w:tcPr>
            <w:tcW w:w="8377" w:type="dxa"/>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本项目为新建项目，风电场区域不存在与项目的原有环境污染和生态破坏问题；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本项目不新建升压站，电力接入一期已建2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kV升压站已于20</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年建成，已安装1台</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MVA主变压器，本次拟在2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kV升压站预留主变位置安装1台1</w:t>
            </w:r>
            <w:r>
              <w:rPr>
                <w:color w:val="000000" w:themeColor="text1"/>
                <w14:textFill>
                  <w14:solidFill>
                    <w14:schemeClr w14:val="tx1"/>
                  </w14:solidFill>
                </w14:textFill>
              </w:rPr>
              <w:t>90MVA</w:t>
            </w:r>
            <w:r>
              <w:rPr>
                <w:rFonts w:hint="eastAsia"/>
                <w:color w:val="000000" w:themeColor="text1"/>
                <w14:textFill>
                  <w14:solidFill>
                    <w14:schemeClr w14:val="tx1"/>
                  </w14:solidFill>
                </w14:textFill>
              </w:rPr>
              <w:t>主变压器。一期正在办理竣工环境保护验收手续。</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根据现场调查，一期已建2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kV升压站已建设污水处理设施，已设置6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的事故油池，4</w:t>
            </w:r>
            <w:r>
              <w:rPr>
                <w:color w:val="000000" w:themeColor="text1"/>
                <w14:textFill>
                  <w14:solidFill>
                    <w14:schemeClr w14:val="tx1"/>
                  </w14:solidFill>
                </w14:textFill>
              </w:rPr>
              <w:t>9.5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的危废暂存间，事故油池、废油暂存间按照《危险废物贮存污染控制标准》（GB18597-2023）相关规定进行防渗，不存在原有环境问题。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生态环境保护目标</w:t>
            </w:r>
          </w:p>
        </w:tc>
        <w:tc>
          <w:tcPr>
            <w:tcW w:w="8377" w:type="dxa"/>
          </w:tcPr>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评价范围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本工程环境影响评价范围根据各环境要素实际影响范围界定，详见下表。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工程评价范围与评价时段一览表</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1"/>
              <w:gridCol w:w="5239"/>
              <w:gridCol w:w="17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环境要素</w:t>
                  </w:r>
                </w:p>
              </w:tc>
              <w:tc>
                <w:tcPr>
                  <w:tcW w:w="523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评价时段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523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工程径流区</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523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工程区</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523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风机平台外延300m，集电线路两侧外延300m范围，生态环境评价面积约</w:t>
                  </w:r>
                  <w:r>
                    <w:rPr>
                      <w:color w:val="000000" w:themeColor="text1"/>
                      <w14:textFill>
                        <w14:solidFill>
                          <w14:schemeClr w14:val="tx1"/>
                        </w14:solidFill>
                      </w14:textFill>
                    </w:rPr>
                    <w:t>31.32</w:t>
                  </w:r>
                  <w:r>
                    <w:rPr>
                      <w:rFonts w:hint="eastAsia"/>
                      <w:color w:val="000000" w:themeColor="text1"/>
                      <w14:textFill>
                        <w14:solidFill>
                          <w14:schemeClr w14:val="tx1"/>
                        </w14:solidFill>
                      </w14:textFill>
                    </w:rPr>
                    <w:t>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523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以风机平台、集电线路、运输道路周边外延200m范围。</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523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施工期：风机组装吊装平台、运输道路、集电线路外延200m范围。</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运行期：风机机组周边</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00m范围内。</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5239" w:type="dxa"/>
                  <w:vAlign w:val="center"/>
                </w:tcPr>
                <w:p>
                  <w:pPr>
                    <w:pStyle w:val="29"/>
                    <w:jc w:val="both"/>
                    <w:rPr>
                      <w:color w:val="000000" w:themeColor="text1"/>
                      <w14:textFill>
                        <w14:solidFill>
                          <w14:schemeClr w14:val="tx1"/>
                        </w14:solidFill>
                      </w14:textFill>
                    </w:rPr>
                  </w:pPr>
                  <w:r>
                    <w:rPr>
                      <w:color w:val="000000" w:themeColor="text1"/>
                      <w14:textFill>
                        <w14:solidFill>
                          <w14:schemeClr w14:val="tx1"/>
                        </w14:solidFill>
                      </w14:textFill>
                    </w:rPr>
                    <w:t>地表水、大气环境风险事故影响范围。</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2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电磁环境</w:t>
                  </w:r>
                </w:p>
              </w:tc>
              <w:tc>
                <w:tcPr>
                  <w:tcW w:w="5239"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升压站周边4</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p>
              </w:tc>
              <w:tc>
                <w:tcPr>
                  <w:tcW w:w="177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运行期</w:t>
                  </w:r>
                </w:p>
              </w:tc>
            </w:tr>
          </w:tbl>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环境保护目标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（1）声环境及大气环境保护目标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项目运营期风机周边</w:t>
            </w:r>
            <w:r>
              <w:rPr>
                <w:color w:val="000000" w:themeColor="text1"/>
                <w14:textFill>
                  <w14:solidFill>
                    <w14:schemeClr w14:val="tx1"/>
                  </w14:solidFill>
                </w14:textFill>
              </w:rPr>
              <w:t>500m</w:t>
            </w:r>
            <w:r>
              <w:rPr>
                <w:rFonts w:hint="eastAsia"/>
                <w:color w:val="000000" w:themeColor="text1"/>
                <w14:textFill>
                  <w14:solidFill>
                    <w14:schemeClr w14:val="tx1"/>
                  </w14:solidFill>
                </w14:textFill>
              </w:rPr>
              <w:t>范围内无敏感点分布，</w:t>
            </w:r>
            <w:r>
              <w:rPr>
                <w:color w:val="000000" w:themeColor="text1"/>
                <w14:textFill>
                  <w14:solidFill>
                    <w14:schemeClr w14:val="tx1"/>
                  </w14:solidFill>
                </w14:textFill>
              </w:rPr>
              <w:t>220kV</w:t>
            </w:r>
            <w:r>
              <w:rPr>
                <w:rFonts w:hint="eastAsia"/>
                <w:color w:val="000000" w:themeColor="text1"/>
                <w14:textFill>
                  <w14:solidFill>
                    <w14:schemeClr w14:val="tx1"/>
                  </w14:solidFill>
                </w14:textFill>
              </w:rPr>
              <w:t>升压站周边</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范围内无敏感点分布，项目施工期敏感点见下表。</w:t>
            </w:r>
          </w:p>
          <w:p>
            <w:pPr>
              <w:pStyle w:val="28"/>
              <w:spacing w:before="156"/>
              <w:rPr>
                <w:color w:val="000000" w:themeColor="text1"/>
                <w14:textFill>
                  <w14:solidFill>
                    <w14:schemeClr w14:val="tx1"/>
                  </w14:solidFill>
                </w14:textFill>
              </w:rPr>
            </w:pPr>
            <w:r>
              <w:rPr>
                <w:color w:val="000000" w:themeColor="text1"/>
                <w14:textFill>
                  <w14:solidFill>
                    <w14:schemeClr w14:val="tx1"/>
                  </w14:solidFill>
                </w14:textFill>
              </w:rPr>
              <w:t>表3.3-2  项目</w:t>
            </w:r>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声环境保护目标一览表</w:t>
            </w:r>
          </w:p>
          <w:tbl>
            <w:tblPr>
              <w:tblStyle w:val="74"/>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8"/>
              <w:gridCol w:w="946"/>
              <w:gridCol w:w="1431"/>
              <w:gridCol w:w="1267"/>
              <w:gridCol w:w="426"/>
              <w:gridCol w:w="1132"/>
              <w:gridCol w:w="851"/>
              <w:gridCol w:w="709"/>
              <w:gridCol w:w="6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33" w:hRule="atLeast"/>
              </w:trPr>
              <w:tc>
                <w:tcPr>
                  <w:tcW w:w="728"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环境要素</w:t>
                  </w:r>
                </w:p>
              </w:tc>
              <w:tc>
                <w:tcPr>
                  <w:tcW w:w="946"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名称</w:t>
                  </w:r>
                </w:p>
              </w:tc>
              <w:tc>
                <w:tcPr>
                  <w:tcW w:w="269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坐标/m</w:t>
                  </w:r>
                </w:p>
              </w:tc>
              <w:tc>
                <w:tcPr>
                  <w:tcW w:w="426"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对象</w:t>
                  </w:r>
                </w:p>
              </w:tc>
              <w:tc>
                <w:tcPr>
                  <w:tcW w:w="1132"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保护人数</w:t>
                  </w:r>
                </w:p>
              </w:tc>
              <w:tc>
                <w:tcPr>
                  <w:tcW w:w="851"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环境功能区</w:t>
                  </w:r>
                </w:p>
              </w:tc>
              <w:tc>
                <w:tcPr>
                  <w:tcW w:w="709"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相对</w:t>
                  </w:r>
                </w:p>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方位</w:t>
                  </w:r>
                </w:p>
              </w:tc>
              <w:tc>
                <w:tcPr>
                  <w:tcW w:w="641" w:type="dxa"/>
                  <w:vMerge w:val="restart"/>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相对距离</w:t>
                  </w:r>
                  <w:r>
                    <w:rPr>
                      <w:rFonts w:hint="eastAsia"/>
                      <w:color w:val="000000" w:themeColor="text1"/>
                      <w:sz w:val="2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 w:hRule="atLeast"/>
              </w:trPr>
              <w:tc>
                <w:tcPr>
                  <w:tcW w:w="728"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946"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1431" w:type="dxa"/>
                  <w:vAlign w:val="center"/>
                </w:tcPr>
                <w:p>
                  <w:pPr>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经度</w:t>
                  </w:r>
                </w:p>
              </w:tc>
              <w:tc>
                <w:tcPr>
                  <w:tcW w:w="1267" w:type="dxa"/>
                  <w:vAlign w:val="center"/>
                </w:tcPr>
                <w:p>
                  <w:pPr>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纬度</w:t>
                  </w:r>
                </w:p>
              </w:tc>
              <w:tc>
                <w:tcPr>
                  <w:tcW w:w="426"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1132"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851"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709"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641"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728" w:type="dxa"/>
                  <w:vMerge w:val="restart"/>
                  <w:tcBorders>
                    <w:top w:val="single" w:color="auto"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14:textFill>
                        <w14:solidFill>
                          <w14:schemeClr w14:val="tx1"/>
                        </w14:solidFill>
                      </w14:textFill>
                    </w:rPr>
                    <w:t>环境空气及</w:t>
                  </w:r>
                  <w:r>
                    <w:rPr>
                      <w:rFonts w:hint="eastAsia"/>
                      <w:color w:val="000000" w:themeColor="text1"/>
                      <w:sz w:val="21"/>
                      <w:szCs w:val="21"/>
                      <w14:textFill>
                        <w14:solidFill>
                          <w14:schemeClr w14:val="tx1"/>
                        </w14:solidFill>
                      </w14:textFill>
                    </w:rPr>
                    <w:t>声环境</w:t>
                  </w:r>
                </w:p>
              </w:tc>
              <w:tc>
                <w:tcPr>
                  <w:tcW w:w="94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马家沧房</w:t>
                  </w:r>
                </w:p>
              </w:tc>
              <w:tc>
                <w:tcPr>
                  <w:tcW w:w="1431" w:type="dxa"/>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103°20′36.25″</w:t>
                  </w:r>
                </w:p>
              </w:tc>
              <w:tc>
                <w:tcPr>
                  <w:tcW w:w="1267" w:type="dxa"/>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26°3′26.73″</w:t>
                  </w:r>
                </w:p>
              </w:tc>
              <w:tc>
                <w:tcPr>
                  <w:tcW w:w="426"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人群</w:t>
                  </w:r>
                </w:p>
              </w:tc>
              <w:tc>
                <w:tcPr>
                  <w:tcW w:w="113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w:t>
                  </w:r>
                  <w:r>
                    <w:rPr>
                      <w:rFonts w:hint="eastAsia"/>
                      <w:color w:val="000000" w:themeColor="text1"/>
                      <w:sz w:val="21"/>
                      <w:szCs w:val="21"/>
                      <w14:textFill>
                        <w14:solidFill>
                          <w14:schemeClr w14:val="tx1"/>
                        </w14:solidFill>
                      </w14:textFill>
                    </w:rPr>
                    <w:t>户</w:t>
                  </w:r>
                </w:p>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28</w:t>
                  </w:r>
                  <w:r>
                    <w:rPr>
                      <w:rFonts w:hint="eastAsia"/>
                      <w:color w:val="000000" w:themeColor="text1"/>
                      <w:sz w:val="21"/>
                      <w:szCs w:val="21"/>
                      <w14:textFill>
                        <w14:solidFill>
                          <w14:schemeClr w14:val="tx1"/>
                        </w14:solidFill>
                      </w14:textFill>
                    </w:rPr>
                    <w:t>人</w:t>
                  </w:r>
                </w:p>
              </w:tc>
              <w:tc>
                <w:tcPr>
                  <w:tcW w:w="851"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声环境1类区，环境空气二类区</w:t>
                  </w:r>
                </w:p>
              </w:tc>
              <w:tc>
                <w:tcPr>
                  <w:tcW w:w="709"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运输道路2侧</w:t>
                  </w:r>
                </w:p>
              </w:tc>
              <w:tc>
                <w:tcPr>
                  <w:tcW w:w="64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紧邻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728"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4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大龙潭</w:t>
                  </w:r>
                </w:p>
              </w:tc>
              <w:tc>
                <w:tcPr>
                  <w:tcW w:w="1431"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14:textFill>
                        <w14:solidFill>
                          <w14:schemeClr w14:val="tx1"/>
                        </w14:solidFill>
                      </w14:textFill>
                    </w:rPr>
                    <w:t>103°25′7.60″</w:t>
                  </w:r>
                </w:p>
              </w:tc>
              <w:tc>
                <w:tcPr>
                  <w:tcW w:w="1267" w:type="dxa"/>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14:textFill>
                        <w14:solidFill>
                          <w14:schemeClr w14:val="tx1"/>
                        </w14:solidFill>
                      </w14:textFill>
                    </w:rPr>
                    <w:t>26°7′50.63″</w:t>
                  </w:r>
                </w:p>
              </w:tc>
              <w:tc>
                <w:tcPr>
                  <w:tcW w:w="426"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113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r>
                    <w:rPr>
                      <w:rFonts w:hint="eastAsia"/>
                      <w:color w:val="000000" w:themeColor="text1"/>
                      <w:sz w:val="21"/>
                      <w:szCs w:val="21"/>
                      <w14:textFill>
                        <w14:solidFill>
                          <w14:schemeClr w14:val="tx1"/>
                        </w14:solidFill>
                      </w14:textFill>
                    </w:rPr>
                    <w:t>户</w:t>
                  </w:r>
                </w:p>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43</w:t>
                  </w:r>
                  <w:r>
                    <w:rPr>
                      <w:rFonts w:hint="eastAsia"/>
                      <w:color w:val="000000" w:themeColor="text1"/>
                      <w:sz w:val="21"/>
                      <w:szCs w:val="21"/>
                      <w14:textFill>
                        <w14:solidFill>
                          <w14:schemeClr w14:val="tx1"/>
                        </w14:solidFill>
                      </w14:textFill>
                    </w:rPr>
                    <w:t>人</w:t>
                  </w:r>
                </w:p>
              </w:tc>
              <w:tc>
                <w:tcPr>
                  <w:tcW w:w="851"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709"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641" w:type="dxa"/>
                  <w:vAlign w:val="center"/>
                </w:tcPr>
                <w:p>
                  <w:pPr>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紧邻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728"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4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车鲁箐</w:t>
                  </w:r>
                </w:p>
              </w:tc>
              <w:tc>
                <w:tcPr>
                  <w:tcW w:w="1431" w:type="dxa"/>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103°24′9.65″</w:t>
                  </w:r>
                </w:p>
              </w:tc>
              <w:tc>
                <w:tcPr>
                  <w:tcW w:w="1267" w:type="dxa"/>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26°7′3.14″</w:t>
                  </w:r>
                </w:p>
              </w:tc>
              <w:tc>
                <w:tcPr>
                  <w:tcW w:w="426"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13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r>
                    <w:rPr>
                      <w:rFonts w:hint="eastAsia"/>
                      <w:color w:val="000000" w:themeColor="text1"/>
                      <w:sz w:val="21"/>
                      <w:szCs w:val="21"/>
                      <w14:textFill>
                        <w14:solidFill>
                          <w14:schemeClr w14:val="tx1"/>
                        </w14:solidFill>
                      </w14:textFill>
                    </w:rPr>
                    <w:t>户</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r>
                    <w:rPr>
                      <w:rFonts w:hint="eastAsia"/>
                      <w:color w:val="000000" w:themeColor="text1"/>
                      <w:sz w:val="21"/>
                      <w:szCs w:val="21"/>
                      <w14:textFill>
                        <w14:solidFill>
                          <w14:schemeClr w14:val="tx1"/>
                        </w14:solidFill>
                      </w14:textFill>
                    </w:rPr>
                    <w:t>人</w:t>
                  </w:r>
                </w:p>
              </w:tc>
              <w:tc>
                <w:tcPr>
                  <w:tcW w:w="851" w:type="dxa"/>
                  <w:vMerge w:val="continue"/>
                  <w:vAlign w:val="center"/>
                </w:tcPr>
                <w:p>
                  <w:pPr>
                    <w:spacing w:line="240" w:lineRule="auto"/>
                    <w:ind w:firstLine="0" w:firstLineChars="0"/>
                    <w:jc w:val="center"/>
                    <w:rPr>
                      <w:color w:val="000000" w:themeColor="text1"/>
                      <w:sz w:val="21"/>
                      <w14:textFill>
                        <w14:solidFill>
                          <w14:schemeClr w14:val="tx1"/>
                        </w14:solidFill>
                      </w14:textFill>
                    </w:rPr>
                  </w:pPr>
                </w:p>
              </w:tc>
              <w:tc>
                <w:tcPr>
                  <w:tcW w:w="709"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1" w:type="dxa"/>
                  <w:vAlign w:val="center"/>
                </w:tcPr>
                <w:p>
                  <w:pPr>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紧邻</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（2）地表水环境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项目区地表水体为野牛圈河、桃家小河。</w:t>
            </w:r>
          </w:p>
          <w:p>
            <w:pPr>
              <w:pStyle w:val="28"/>
              <w:spacing w:before="156"/>
              <w:rPr>
                <w:color w:val="000000" w:themeColor="text1"/>
                <w14:textFill>
                  <w14:solidFill>
                    <w14:schemeClr w14:val="tx1"/>
                  </w14:solidFill>
                </w14:textFill>
              </w:rPr>
            </w:pPr>
            <w:r>
              <w:rPr>
                <w:color w:val="000000" w:themeColor="text1"/>
                <w14:textFill>
                  <w14:solidFill>
                    <w14:schemeClr w14:val="tx1"/>
                  </w14:solidFill>
                </w14:textFill>
              </w:rPr>
              <w:t>表3.3-3  项目</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保护目标一览表</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1"/>
              <w:gridCol w:w="1085"/>
              <w:gridCol w:w="2338"/>
              <w:gridCol w:w="1769"/>
              <w:gridCol w:w="1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98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保护</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0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保护目标</w:t>
                  </w:r>
                </w:p>
              </w:tc>
              <w:tc>
                <w:tcPr>
                  <w:tcW w:w="23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功能区名称</w:t>
                  </w:r>
                </w:p>
              </w:tc>
              <w:tc>
                <w:tcPr>
                  <w:tcW w:w="17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195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981"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10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桃家小河</w:t>
                  </w:r>
                </w:p>
              </w:tc>
              <w:tc>
                <w:tcPr>
                  <w:tcW w:w="23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小江寻甸-东川保留区</w:t>
                  </w:r>
                </w:p>
              </w:tc>
              <w:tc>
                <w:tcPr>
                  <w:tcW w:w="176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T41</w:t>
                  </w:r>
                  <w:r>
                    <w:rPr>
                      <w:rFonts w:hint="eastAsia"/>
                      <w:color w:val="000000" w:themeColor="text1"/>
                      <w14:textFill>
                        <w14:solidFill>
                          <w14:schemeClr w14:val="tx1"/>
                        </w14:solidFill>
                      </w14:textFill>
                    </w:rPr>
                    <w:t>#风机南侧，最近距离</w:t>
                  </w:r>
                  <w:r>
                    <w:rPr>
                      <w:color w:val="000000" w:themeColor="text1"/>
                      <w14:textFill>
                        <w14:solidFill>
                          <w14:schemeClr w14:val="tx1"/>
                        </w14:solidFill>
                      </w14:textFill>
                    </w:rPr>
                    <w:t>400</w:t>
                  </w:r>
                  <w:r>
                    <w:rPr>
                      <w:rFonts w:hint="eastAsia"/>
                      <w:color w:val="000000" w:themeColor="text1"/>
                      <w14:textFill>
                        <w14:solidFill>
                          <w14:schemeClr w14:val="tx1"/>
                        </w14:solidFill>
                      </w14:textFill>
                    </w:rPr>
                    <w:t>m</w:t>
                  </w:r>
                </w:p>
              </w:tc>
              <w:tc>
                <w:tcPr>
                  <w:tcW w:w="1958"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981" w:type="dxa"/>
                  <w:vMerge w:val="continue"/>
                  <w:vAlign w:val="center"/>
                </w:tcPr>
                <w:p>
                  <w:pPr>
                    <w:pStyle w:val="29"/>
                    <w:rPr>
                      <w:color w:val="000000" w:themeColor="text1"/>
                      <w14:textFill>
                        <w14:solidFill>
                          <w14:schemeClr w14:val="tx1"/>
                        </w14:solidFill>
                      </w14:textFill>
                    </w:rPr>
                  </w:pPr>
                </w:p>
              </w:tc>
              <w:tc>
                <w:tcPr>
                  <w:tcW w:w="10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野牛圈河</w:t>
                  </w:r>
                </w:p>
              </w:tc>
              <w:tc>
                <w:tcPr>
                  <w:tcW w:w="23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牛栏江-滇池补水水源保护区</w:t>
                  </w:r>
                </w:p>
              </w:tc>
              <w:tc>
                <w:tcPr>
                  <w:tcW w:w="1769"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T47</w:t>
                  </w:r>
                  <w:r>
                    <w:rPr>
                      <w:rFonts w:hint="eastAsia"/>
                      <w:color w:val="000000" w:themeColor="text1"/>
                      <w14:textFill>
                        <w14:solidFill>
                          <w14:schemeClr w14:val="tx1"/>
                        </w14:solidFill>
                      </w14:textFill>
                    </w:rPr>
                    <w:t>#风机南侧，最近距离</w:t>
                  </w:r>
                  <w:r>
                    <w:rPr>
                      <w:color w:val="000000" w:themeColor="text1"/>
                      <w14:textFill>
                        <w14:solidFill>
                          <w14:schemeClr w14:val="tx1"/>
                        </w14:solidFill>
                      </w14:textFill>
                    </w:rPr>
                    <w:t>270</w:t>
                  </w:r>
                  <w:r>
                    <w:rPr>
                      <w:rFonts w:hint="eastAsia"/>
                      <w:color w:val="000000" w:themeColor="text1"/>
                      <w14:textFill>
                        <w14:solidFill>
                          <w14:schemeClr w14:val="tx1"/>
                        </w14:solidFill>
                      </w14:textFill>
                    </w:rPr>
                    <w:t>m</w:t>
                  </w:r>
                </w:p>
              </w:tc>
              <w:tc>
                <w:tcPr>
                  <w:tcW w:w="1958" w:type="dxa"/>
                  <w:vMerge w:val="continue"/>
                  <w:vAlign w:val="center"/>
                </w:tcPr>
                <w:p>
                  <w:pPr>
                    <w:pStyle w:val="29"/>
                    <w:rPr>
                      <w:color w:val="000000" w:themeColor="text1"/>
                      <w14:textFill>
                        <w14:solidFill>
                          <w14:schemeClr w14:val="tx1"/>
                        </w14:solidFill>
                      </w14:textFill>
                    </w:rPr>
                  </w:pP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（3）生态环境</w:t>
            </w:r>
          </w:p>
          <w:p>
            <w:pPr>
              <w:pStyle w:val="28"/>
              <w:spacing w:before="156"/>
              <w:rPr>
                <w:color w:val="000000" w:themeColor="text1"/>
                <w14:textFill>
                  <w14:solidFill>
                    <w14:schemeClr w14:val="tx1"/>
                  </w14:solidFill>
                </w14:textFill>
              </w:rPr>
            </w:pPr>
            <w:r>
              <w:rPr>
                <w:color w:val="000000" w:themeColor="text1"/>
                <w14:textFill>
                  <w14:solidFill>
                    <w14:schemeClr w14:val="tx1"/>
                  </w14:solidFill>
                </w14:textFill>
              </w:rPr>
              <w:t>表3.3-4  项目</w:t>
            </w:r>
            <w:r>
              <w:rPr>
                <w:rFonts w:hint="eastAsia"/>
                <w:color w:val="000000" w:themeColor="text1"/>
                <w14:textFill>
                  <w14:solidFill>
                    <w14:schemeClr w14:val="tx1"/>
                  </w14:solidFill>
                </w14:textFill>
              </w:rPr>
              <w:t>生态</w:t>
            </w:r>
            <w:r>
              <w:rPr>
                <w:color w:val="000000" w:themeColor="text1"/>
                <w14:textFill>
                  <w14:solidFill>
                    <w14:schemeClr w14:val="tx1"/>
                  </w14:solidFill>
                </w14:textFill>
              </w:rPr>
              <w:t>环境保护目标一览表</w:t>
            </w:r>
          </w:p>
          <w:tbl>
            <w:tblPr>
              <w:tblStyle w:val="21"/>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66"/>
              <w:gridCol w:w="2724"/>
              <w:gridCol w:w="30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bookmarkStart w:id="42" w:name="_Hlk157429087"/>
                  <w:r>
                    <w:rPr>
                      <w:rFonts w:hint="eastAsia"/>
                      <w:color w:val="000000" w:themeColor="text1"/>
                      <w14:textFill>
                        <w14:solidFill>
                          <w14:schemeClr w14:val="tx1"/>
                        </w14:solidFill>
                      </w14:textFill>
                    </w:rPr>
                    <w:t>保护对象</w:t>
                  </w:r>
                </w:p>
              </w:tc>
              <w:tc>
                <w:tcPr>
                  <w:tcW w:w="2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位置关系</w:t>
                  </w:r>
                </w:p>
              </w:tc>
              <w:tc>
                <w:tcPr>
                  <w:tcW w:w="304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暖温性针叶林、暖温性灌草丛、亚高山草甸</w:t>
                  </w:r>
                </w:p>
              </w:tc>
              <w:tc>
                <w:tcPr>
                  <w:tcW w:w="2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评价区有分布，部分风机占用</w:t>
                  </w:r>
                </w:p>
              </w:tc>
              <w:tc>
                <w:tcPr>
                  <w:tcW w:w="3041" w:type="dxa"/>
                  <w:vMerge w:val="restart"/>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不因项目建设导致某种植被类型严重受损或某种野生动植物灭绝，不因项目建设造成某种动植物种群或栖息生境发生激励变化，不降低区域生态环境功能。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黑颈鹤</w:t>
                  </w:r>
                </w:p>
              </w:tc>
              <w:tc>
                <w:tcPr>
                  <w:tcW w:w="27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调查范围有分布，活动区与风机（</w:t>
                  </w:r>
                  <w:r>
                    <w:rPr>
                      <w:color w:val="000000" w:themeColor="text1"/>
                      <w14:textFill>
                        <w14:solidFill>
                          <w14:schemeClr w14:val="tx1"/>
                        </w14:solidFill>
                      </w14:textFill>
                    </w:rPr>
                    <w:t>47</w:t>
                  </w:r>
                  <w:r>
                    <w:rPr>
                      <w:rFonts w:hint="eastAsia"/>
                      <w:color w:val="000000" w:themeColor="text1"/>
                      <w14:textFill>
                        <w14:solidFill>
                          <w14:schemeClr w14:val="tx1"/>
                        </w14:solidFill>
                      </w14:textFill>
                    </w:rPr>
                    <w:t>#）最近距离</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km</w:t>
                  </w:r>
                </w:p>
              </w:tc>
              <w:tc>
                <w:tcPr>
                  <w:tcW w:w="3041"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普通鵟、松雀鹰、红隼、白腹锦鸡</w:t>
                  </w:r>
                </w:p>
              </w:tc>
              <w:tc>
                <w:tcPr>
                  <w:tcW w:w="2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调查区有分布</w:t>
                  </w:r>
                </w:p>
              </w:tc>
              <w:tc>
                <w:tcPr>
                  <w:tcW w:w="3041"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黑眉锦蛇</w:t>
                  </w:r>
                </w:p>
              </w:tc>
              <w:tc>
                <w:tcPr>
                  <w:tcW w:w="2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调查区有分布</w:t>
                  </w:r>
                </w:p>
              </w:tc>
              <w:tc>
                <w:tcPr>
                  <w:tcW w:w="3041" w:type="dxa"/>
                  <w:vMerge w:val="continue"/>
                  <w:vAlign w:val="center"/>
                </w:tcPr>
                <w:p>
                  <w:pPr>
                    <w:pStyle w:val="29"/>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云南会泽驾车华山松省级自然保护区</w:t>
                  </w:r>
                </w:p>
              </w:tc>
              <w:tc>
                <w:tcPr>
                  <w:tcW w:w="2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风机附近，最近距离</w:t>
                  </w:r>
                  <w:r>
                    <w:rPr>
                      <w:color w:val="000000" w:themeColor="text1"/>
                      <w14:textFill>
                        <w14:solidFill>
                          <w14:schemeClr w14:val="tx1"/>
                        </w14:solidFill>
                      </w14:textFill>
                    </w:rPr>
                    <w:t>103</w:t>
                  </w:r>
                  <w:r>
                    <w:rPr>
                      <w:rFonts w:hint="eastAsia"/>
                      <w:color w:val="000000" w:themeColor="text1"/>
                      <w14:textFill>
                        <w14:solidFill>
                          <w14:schemeClr w14:val="tx1"/>
                        </w14:solidFill>
                      </w14:textFill>
                    </w:rPr>
                    <w:t>m</w:t>
                  </w:r>
                </w:p>
              </w:tc>
              <w:tc>
                <w:tcPr>
                  <w:tcW w:w="304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禁止占用，禁止在自然保护区内进行砍伐、放牧、狩猎、捕捞、采药、开垦、烧荒、开矿、采石、挖沙等活动。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毛家村水库饮用水水源保护区</w:t>
                  </w:r>
                </w:p>
              </w:tc>
              <w:tc>
                <w:tcPr>
                  <w:tcW w:w="2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55#、56#、62#、63#、64#风机临近饮用水水源准保护区。</w:t>
                  </w:r>
                </w:p>
              </w:tc>
              <w:tc>
                <w:tcPr>
                  <w:tcW w:w="304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禁止占用，禁止向保护区倾倒废渣、城市垃圾、粪便及其他废弃物，禁止设置排污口，禁止破坏植被。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236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生态红线</w:t>
                  </w:r>
                </w:p>
              </w:tc>
              <w:tc>
                <w:tcPr>
                  <w:tcW w:w="272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本项目工程周边分布有生态保护红线，但项目占地不涉及会泽县生态保护红线范围。项目6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风机及配套风机进场道路紧邻生态保护红线</w:t>
                  </w:r>
                </w:p>
              </w:tc>
              <w:tc>
                <w:tcPr>
                  <w:tcW w:w="3041"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禁止超范围施工占用生态保护红线对生态保护红线区造成影响。</w:t>
                  </w:r>
                </w:p>
              </w:tc>
            </w:tr>
            <w:bookmarkEnd w:id="42"/>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）电磁环境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升压站周边4</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m范围内无敏感点分布。</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评价标准</w:t>
            </w:r>
          </w:p>
        </w:tc>
        <w:tc>
          <w:tcPr>
            <w:tcW w:w="8377" w:type="dxa"/>
          </w:tcPr>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.4.1 </w:t>
            </w:r>
            <w:r>
              <w:rPr>
                <w:rFonts w:hint="eastAsia"/>
                <w:color w:val="000000" w:themeColor="text1"/>
                <w14:textFill>
                  <w14:solidFill>
                    <w14:schemeClr w14:val="tx1"/>
                  </w14:solidFill>
                </w14:textFill>
              </w:rPr>
              <w:t>环境质量标准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（1）声环境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项目位于会泽县农村地区，无相关声环境功能区划，根据《声环境质量标准》（GB3096-2008）要求，项目区声环境执行《声环境质量标准》（GB3096-2008）1类标准，具体见下表。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3.4-1  </w:t>
            </w:r>
            <w:r>
              <w:rPr>
                <w:rFonts w:hint="eastAsia"/>
                <w:color w:val="000000" w:themeColor="text1"/>
                <w14:textFill>
                  <w14:solidFill>
                    <w14:schemeClr w14:val="tx1"/>
                  </w14:solidFill>
                </w14:textFill>
              </w:rPr>
              <w:t xml:space="preserve">声环境质量标准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单位：dB（A）</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47"/>
              <w:gridCol w:w="1992"/>
              <w:gridCol w:w="1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147" w:type="dxa"/>
                </w:tcPr>
                <w:p>
                  <w:pPr>
                    <w:pStyle w:val="29"/>
                    <w:rPr>
                      <w:color w:val="000000" w:themeColor="text1"/>
                      <w14:textFill>
                        <w14:solidFill>
                          <w14:schemeClr w14:val="tx1"/>
                        </w14:solidFill>
                      </w14:textFill>
                    </w:rPr>
                  </w:pPr>
                  <w:bookmarkStart w:id="43" w:name="_Hlk529863116"/>
                  <w:r>
                    <w:rPr>
                      <w:rFonts w:hint="eastAsia"/>
                      <w:color w:val="000000" w:themeColor="text1"/>
                      <w14:textFill>
                        <w14:solidFill>
                          <w14:schemeClr w14:val="tx1"/>
                        </w14:solidFill>
                      </w14:textFill>
                    </w:rPr>
                    <w:t>时段</w:t>
                  </w:r>
                </w:p>
              </w:tc>
              <w:tc>
                <w:tcPr>
                  <w:tcW w:w="199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99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147"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类</w:t>
                  </w:r>
                  <w:r>
                    <w:rPr>
                      <w:color w:val="000000" w:themeColor="text1"/>
                      <w14:textFill>
                        <w14:solidFill>
                          <w14:schemeClr w14:val="tx1"/>
                        </w14:solidFill>
                      </w14:textFill>
                    </w:rPr>
                    <w:t>声环境功能区</w:t>
                  </w:r>
                </w:p>
              </w:tc>
              <w:tc>
                <w:tcPr>
                  <w:tcW w:w="1992"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992"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45</w:t>
                  </w:r>
                </w:p>
              </w:tc>
            </w:tr>
            <w:bookmarkEnd w:id="43"/>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（2）电磁环境控制限值</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工频电场、工频磁场执行《电磁环境控制限值》（GB8702-2014）表1中公众曝露限值，即频率为50Hz时的工频电场强度限值：4000V/m；工频磁感应强度限值：100</w:t>
            </w:r>
            <w:r>
              <w:rPr>
                <w:rFonts w:cs="Times New Roman"/>
                <w:color w:val="000000" w:themeColor="text1"/>
                <w14:textFill>
                  <w14:solidFill>
                    <w14:schemeClr w14:val="tx1"/>
                  </w14:solidFill>
                </w14:textFill>
              </w:rPr>
              <w:t>μT</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）大气环境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农村地区，无相关环境空气功能区划，根据《环境空气质量标准》（GB3095-2012）及其修改单中关于环境空气功能区分类，项目区为农村地区，属于二类环境空气功能区，环境空气质量执行《环境空气质量标准》（GB3095-2012）及其修改单二级标准，标准值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.4-2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环境空气质量标准</w:t>
            </w:r>
          </w:p>
          <w:tbl>
            <w:tblPr>
              <w:tblStyle w:val="20"/>
              <w:tblW w:w="813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2088"/>
              <w:gridCol w:w="2082"/>
              <w:gridCol w:w="1171"/>
              <w:gridCol w:w="2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shd w:val="clear" w:color="auto" w:fill="auto"/>
                  <w:vAlign w:val="center"/>
                </w:tcPr>
                <w:p>
                  <w:pPr>
                    <w:pStyle w:val="29"/>
                    <w:rPr>
                      <w:color w:val="000000" w:themeColor="text1"/>
                      <w14:textFill>
                        <w14:solidFill>
                          <w14:schemeClr w14:val="tx1"/>
                        </w14:solidFill>
                      </w14:textFill>
                    </w:rPr>
                  </w:pPr>
                  <w:bookmarkStart w:id="44" w:name="_Hlk529862609"/>
                  <w:r>
                    <w:rPr>
                      <w:color w:val="000000" w:themeColor="text1"/>
                      <w14:textFill>
                        <w14:solidFill>
                          <w14:schemeClr w14:val="tx1"/>
                        </w14:solidFill>
                      </w14:textFill>
                    </w:rPr>
                    <w:t>序号</w:t>
                  </w:r>
                </w:p>
              </w:tc>
              <w:tc>
                <w:tcPr>
                  <w:tcW w:w="208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2082"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平均时间</w:t>
                  </w:r>
                </w:p>
              </w:tc>
              <w:tc>
                <w:tcPr>
                  <w:tcW w:w="11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浓度限值</w:t>
                  </w:r>
                </w:p>
              </w:tc>
              <w:tc>
                <w:tcPr>
                  <w:tcW w:w="210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执行</w:t>
                  </w:r>
                  <w:r>
                    <w:rPr>
                      <w:color w:val="000000" w:themeColor="text1"/>
                      <w14:textFill>
                        <w14:solidFill>
                          <w14:schemeClr w14:val="tx1"/>
                        </w14:solidFill>
                      </w14:textFill>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二氧化硫（S</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restart"/>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《环境空气质量标准》（GB3095-2012）及其修改单二级标准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48" w:hRule="atLeast"/>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二氧化氮（N</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一氧化碳（C</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w:t>
                  </w: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4mg/m</w:t>
                  </w:r>
                  <w:r>
                    <w:rPr>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臭氧（O</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日最大8小时平均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1小时平均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颗粒物</w:t>
                  </w:r>
                </w:p>
                <w:p>
                  <w:pPr>
                    <w:pStyle w:val="29"/>
                    <w:rPr>
                      <w:color w:val="000000" w:themeColor="text1"/>
                      <w14:textFill>
                        <w14:solidFill>
                          <w14:schemeClr w14:val="tx1"/>
                        </w14:solidFill>
                      </w14:textFill>
                    </w:rPr>
                  </w:pPr>
                  <w:r>
                    <w:rPr>
                      <w:color w:val="000000" w:themeColor="text1"/>
                      <w14:textFill>
                        <w14:solidFill>
                          <w14:schemeClr w14:val="tx1"/>
                        </w14:solidFill>
                      </w14:textFill>
                    </w:rPr>
                    <w:t>（粒径小于10μm）</w:t>
                  </w:r>
                </w:p>
              </w:tc>
              <w:tc>
                <w:tcPr>
                  <w:tcW w:w="2082"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1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1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（粒径</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μm）</w:t>
                  </w: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35</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24小时</w:t>
                  </w:r>
                  <w:r>
                    <w:rPr>
                      <w:color w:val="000000" w:themeColor="text1"/>
                      <w14:textFill>
                        <w14:solidFill>
                          <w14:schemeClr w14:val="tx1"/>
                        </w14:solidFill>
                      </w14:textFill>
                    </w:rPr>
                    <w:t>平均</w:t>
                  </w:r>
                </w:p>
              </w:tc>
              <w:tc>
                <w:tcPr>
                  <w:tcW w:w="11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75</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w:t>
                  </w:r>
                </w:p>
              </w:tc>
              <w:tc>
                <w:tcPr>
                  <w:tcW w:w="2088" w:type="dxa"/>
                  <w:vMerge w:val="restart"/>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总悬浮颗粒物（TSP）</w:t>
                  </w:r>
                </w:p>
              </w:tc>
              <w:tc>
                <w:tcPr>
                  <w:tcW w:w="2082"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1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81" w:type="dxa"/>
                  <w:vMerge w:val="continue"/>
                  <w:shd w:val="clear" w:color="auto" w:fill="auto"/>
                  <w:vAlign w:val="center"/>
                </w:tcPr>
                <w:p>
                  <w:pPr>
                    <w:pStyle w:val="29"/>
                    <w:rPr>
                      <w:color w:val="000000" w:themeColor="text1"/>
                      <w14:textFill>
                        <w14:solidFill>
                          <w14:schemeClr w14:val="tx1"/>
                        </w14:solidFill>
                      </w14:textFill>
                    </w:rPr>
                  </w:pPr>
                </w:p>
              </w:tc>
              <w:tc>
                <w:tcPr>
                  <w:tcW w:w="2088" w:type="dxa"/>
                  <w:vMerge w:val="continue"/>
                  <w:shd w:val="clear" w:color="auto" w:fill="auto"/>
                  <w:vAlign w:val="center"/>
                </w:tcPr>
                <w:p>
                  <w:pPr>
                    <w:pStyle w:val="29"/>
                    <w:rPr>
                      <w:color w:val="000000" w:themeColor="text1"/>
                      <w14:textFill>
                        <w14:solidFill>
                          <w14:schemeClr w14:val="tx1"/>
                        </w14:solidFill>
                      </w14:textFill>
                    </w:rPr>
                  </w:pPr>
                </w:p>
              </w:tc>
              <w:tc>
                <w:tcPr>
                  <w:tcW w:w="2082"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1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300μg/</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09" w:type="dxa"/>
                  <w:vMerge w:val="continue"/>
                  <w:vAlign w:val="center"/>
                </w:tcPr>
                <w:p>
                  <w:pPr>
                    <w:pStyle w:val="29"/>
                    <w:rPr>
                      <w:color w:val="000000" w:themeColor="text1"/>
                      <w14:textFill>
                        <w14:solidFill>
                          <w14:schemeClr w14:val="tx1"/>
                        </w14:solidFill>
                      </w14:textFill>
                    </w:rPr>
                  </w:pPr>
                </w:p>
              </w:tc>
            </w:tr>
            <w:bookmarkEnd w:id="44"/>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）地表水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地表水体为桃家小河、野牛圈河，桃家小河汇入小江，野牛圈河汇入牛栏江。根据《云南省水功能区划（2014年修订）》，小江（寻甸-东川保留区）（清水海出口-入金沙江口）、牛栏江（牛栏江沾益-会泽保留区）（德泽水库坝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黄梨树水文站），2030年水质目标均为</w:t>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t>类，执行《地表水环境质量标准》（GB3838-2002）III类标准。桃家小河、野牛圈河无相关水环境功能区划，桃家小河、野牛圈河现状主要为农田灌溉用水，水环境功能区划参照小江、牛栏江水环境功能区划，即2030年水质目标为</w:t>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t>类，执行《地表水环境质量标准》（GB3838-2002）III类标准，详见下表。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.4-3  </w:t>
            </w:r>
            <w:r>
              <w:rPr>
                <w:rFonts w:hint="eastAsia"/>
                <w:color w:val="000000" w:themeColor="text1"/>
                <w14:textFill>
                  <w14:solidFill>
                    <w14:schemeClr w14:val="tx1"/>
                  </w14:solidFill>
                </w14:textFill>
              </w:rPr>
              <w:t xml:space="preserve">地表水环境质量标准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单位：mg/L</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146"/>
              <w:gridCol w:w="901"/>
              <w:gridCol w:w="885"/>
              <w:gridCol w:w="837"/>
              <w:gridCol w:w="984"/>
              <w:gridCol w:w="984"/>
              <w:gridCol w:w="15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146" w:type="dxa"/>
                  <w:vAlign w:val="center"/>
                </w:tcPr>
                <w:p>
                  <w:pPr>
                    <w:pStyle w:val="2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pH</w:t>
                  </w:r>
                  <w:r>
                    <w:rPr>
                      <w:color w:val="000000" w:themeColor="text1"/>
                      <w14:textFill>
                        <w14:solidFill>
                          <w14:schemeClr w14:val="tx1"/>
                        </w14:solidFill>
                      </w14:textFill>
                    </w:rPr>
                    <w:t>（无量纲）</w:t>
                  </w:r>
                </w:p>
              </w:tc>
              <w:tc>
                <w:tcPr>
                  <w:tcW w:w="901"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88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8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98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总磷</w:t>
                  </w:r>
                </w:p>
              </w:tc>
              <w:tc>
                <w:tcPr>
                  <w:tcW w:w="984"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154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粪大肠菌群数（个/L）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5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标准</w:t>
                  </w:r>
                </w:p>
              </w:tc>
              <w:tc>
                <w:tcPr>
                  <w:tcW w:w="1146"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90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20</w:t>
                  </w:r>
                </w:p>
              </w:tc>
              <w:tc>
                <w:tcPr>
                  <w:tcW w:w="88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p>
              </w:tc>
              <w:tc>
                <w:tcPr>
                  <w:tcW w:w="83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p>
              </w:tc>
              <w:tc>
                <w:tcPr>
                  <w:tcW w:w="98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0.2</w:t>
                  </w:r>
                </w:p>
              </w:tc>
              <w:tc>
                <w:tcPr>
                  <w:tcW w:w="98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0.05</w:t>
                  </w:r>
                </w:p>
              </w:tc>
              <w:tc>
                <w:tcPr>
                  <w:tcW w:w="154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10000</w:t>
                  </w:r>
                </w:p>
              </w:tc>
            </w:tr>
          </w:tbl>
          <w:p>
            <w:pPr>
              <w:pStyle w:val="3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污染物排放标准</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3.4.2.1 施工期污染物排放标准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（1）废气</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项目施工期大气污染物主要为扬尘，排放执行《大气污染物综合排放标准》（GB16297-1996）表2中无组织排放限值，具体标准限值见下表。</w:t>
            </w:r>
          </w:p>
          <w:p>
            <w:pPr>
              <w:pStyle w:val="28"/>
              <w:spacing w:before="1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  大气污染物综合排放标准</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551"/>
              <w:gridCol w:w="1937"/>
              <w:gridCol w:w="34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66"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5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93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c>
                <w:tcPr>
                  <w:tcW w:w="347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监控点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66"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5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93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347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周界外浓度最高点</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（2）噪声排放标准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项目施工期噪声排放执行《建筑施工场界环境噪声排放标准》（GB12523-2011）中表1规定的排放限值，标准限值见下表。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.4-5  </w:t>
            </w:r>
            <w:r>
              <w:rPr>
                <w:rFonts w:hint="eastAsia"/>
                <w:color w:val="000000" w:themeColor="text1"/>
                <w14:textFill>
                  <w14:solidFill>
                    <w14:schemeClr w14:val="tx1"/>
                  </w14:solidFill>
                </w14:textFill>
              </w:rPr>
              <w:t xml:space="preserve">建筑施工场界环境噪声排放限值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单位：dB</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65"/>
              <w:gridCol w:w="40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065"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4066"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065"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p>
              </w:tc>
              <w:tc>
                <w:tcPr>
                  <w:tcW w:w="4066"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gridSpan w:val="2"/>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夜间噪声最大声级超过限值的幅度不得高于15dB。</w:t>
                  </w:r>
                </w:p>
              </w:tc>
            </w:tr>
          </w:tbl>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（3）废水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项目施工期不设施工场地，无施工废水产生，施工人员生活污水经移动式旱厕收集后用于植被恢复绿化肥料，风机基础养护用水蒸发损耗，无废水产生。</w:t>
            </w:r>
          </w:p>
          <w:p>
            <w:pPr>
              <w:pStyle w:val="37"/>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3.4.2.2 运营期污染物排放标准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（1）噪声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kV升压站噪声参照《云南省曲靖市会泽县待补风电场一期（会泽南）项目环境影响报告表》及其批复执行，噪声排放执行《工业企业厂界环境噪声排放标准》（GB12348-2008）1类标准，标准值见下表。</w:t>
            </w:r>
          </w:p>
          <w:p>
            <w:pPr>
              <w:pStyle w:val="28"/>
              <w:spacing w:before="156"/>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表3.4-6  工业企业厂界环境噪声标准        单位：dB（A）</w:t>
            </w:r>
          </w:p>
          <w:tbl>
            <w:tblPr>
              <w:tblStyle w:val="20"/>
              <w:tblW w:w="813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11"/>
              <w:gridCol w:w="2711"/>
              <w:gridCol w:w="2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71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271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270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711"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711"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709"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131" w:type="dxa"/>
                  <w:gridSpan w:val="3"/>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夜间频发噪声的最大声级超过限值的幅度不得高于10dB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，夜间偶发噪声的最大声级超过限值的幅度不得高于15dB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项目运营期依托一期工程，不新增生活污水。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（3）电磁环境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电磁环境控制限值参照《云南省曲靖市会泽县待补风电场一期（会泽南）项目环境影响报告表》及其批复执行，工频电场、工频磁场执行《电磁环境控制限值》（GB8702-2014）表1中公众曝露限值，即频率为50Hz时的工频电场强度限值：4000V/m；工频磁感应强度限值：</w:t>
            </w:r>
            <w:r>
              <w:rPr>
                <w:color w:val="000000" w:themeColor="text1"/>
                <w14:textFill>
                  <w14:solidFill>
                    <w14:schemeClr w14:val="tx1"/>
                  </w14:solidFill>
                </w14:textFill>
              </w:rPr>
              <w:t>100μT</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（4）固体废物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般固体废物执行《一般工业固体废物贮存和填埋污染控制标准》（GB18599-2020）中的相关规定。危险废物执行《危险废物贮存污染控制标准》（GB18597-2023）相关规定。生活垃圾按照《生活垃圾处理技术指南》遵循无害化、减量化、资源化的原则，在项目区内设置带盖垃圾桶收集垃圾，定期把垃圾清运至会泽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其他</w:t>
            </w:r>
          </w:p>
        </w:tc>
        <w:tc>
          <w:tcPr>
            <w:tcW w:w="8377" w:type="dxa"/>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污染物排放总量控制指标：</w:t>
            </w:r>
          </w:p>
          <w:p>
            <w:pPr>
              <w:ind w:firstLine="48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项目运行期依托一期已建升压站及其工作人员，不新增劳动定员，不新增废水；运营期不产生废气。项目不设总量控制指标。</w:t>
            </w:r>
          </w:p>
        </w:tc>
      </w:tr>
    </w:tbl>
    <w:p>
      <w:pPr>
        <w:ind w:firstLine="720"/>
        <w:rPr>
          <w:rFonts w:ascii="楷体_GB2312" w:eastAsia="楷体_GB2312"/>
          <w:color w:val="000000" w:themeColor="text1"/>
          <w:sz w:val="36"/>
          <w:szCs w:val="36"/>
          <w14:textFill>
            <w14:solidFill>
              <w14:schemeClr w14:val="tx1"/>
            </w14:solidFill>
          </w14:textFill>
        </w:rPr>
        <w:sectPr>
          <w:pgSz w:w="11906" w:h="16838"/>
          <w:pgMar w:top="1440" w:right="1531" w:bottom="1440" w:left="1531" w:header="851" w:footer="1077" w:gutter="0"/>
          <w:cols w:space="425" w:num="1"/>
          <w:docGrid w:type="lines" w:linePitch="312" w:charSpace="0"/>
        </w:sectPr>
      </w:pPr>
    </w:p>
    <w:p>
      <w:pPr>
        <w:ind w:firstLine="0" w:firstLineChars="0"/>
        <w:jc w:val="center"/>
        <w:outlineLvl w:val="0"/>
        <w:rPr>
          <w:rFonts w:ascii="黑体" w:hAnsi="黑体" w:eastAsia="黑体"/>
          <w:color w:val="000000" w:themeColor="text1"/>
          <w:sz w:val="30"/>
          <w:szCs w:val="30"/>
          <w14:textFill>
            <w14:solidFill>
              <w14:schemeClr w14:val="tx1"/>
            </w14:solidFill>
          </w14:textFill>
        </w:rPr>
      </w:pPr>
      <w:bookmarkStart w:id="45" w:name="_Toc88744730"/>
      <w:bookmarkStart w:id="46" w:name="_Toc157554962"/>
      <w:r>
        <w:rPr>
          <w:rFonts w:hint="eastAsia" w:ascii="黑体" w:hAnsi="黑体" w:eastAsia="黑体"/>
          <w:color w:val="000000" w:themeColor="text1"/>
          <w:sz w:val="30"/>
          <w:szCs w:val="30"/>
          <w14:textFill>
            <w14:solidFill>
              <w14:schemeClr w14:val="tx1"/>
            </w14:solidFill>
          </w14:textFill>
        </w:rPr>
        <w:t>四、生态环境影响分析</w:t>
      </w:r>
      <w:bookmarkEnd w:id="45"/>
      <w:bookmarkEnd w:id="46"/>
    </w:p>
    <w:tbl>
      <w:tblPr>
        <w:tblStyle w:val="21"/>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施工期生态环境影响分析</w:t>
            </w:r>
          </w:p>
        </w:tc>
        <w:tc>
          <w:tcPr>
            <w:tcW w:w="8436" w:type="dxa"/>
          </w:tcPr>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生态影响</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对土地利用格局的影响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拟建项目占地共</w:t>
            </w:r>
            <w:r>
              <w:rPr>
                <w:color w:val="000000" w:themeColor="text1"/>
                <w14:textFill>
                  <w14:solidFill>
                    <w14:schemeClr w14:val="tx1"/>
                  </w14:solidFill>
                </w14:textFill>
              </w:rPr>
              <w:t>31.1026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。工程占地将造成有林地、草地、耕地等面积的减少。工程建设将直接造成工程区林地资源、草地资源和耕地资源局部</w:t>
            </w:r>
            <w:r>
              <w:rPr>
                <w:rFonts w:hint="eastAsia"/>
                <w:color w:val="000000" w:themeColor="text1"/>
                <w:lang w:val="en-US" w:eastAsia="zh-CN"/>
                <w14:textFill>
                  <w14:solidFill>
                    <w14:schemeClr w14:val="tx1"/>
                  </w14:solidFill>
                </w14:textFill>
              </w:rPr>
              <w:t>数</w:t>
            </w:r>
            <w:r>
              <w:rPr>
                <w:rFonts w:hint="eastAsia"/>
                <w:color w:val="000000" w:themeColor="text1"/>
                <w14:textFill>
                  <w14:solidFill>
                    <w14:schemeClr w14:val="tx1"/>
                  </w14:solidFill>
                </w14:textFill>
              </w:rPr>
              <w:t>量减少。林地资源、草地资源减少将导致当地林产品、草地产品的少量减少，进而影响当地人民的经济收入。耕地资源减少使土地耕作压力增加，直接关乎当地农户的民营生计，将对当地居民的生产和生活造成一定的影响。但工程区这些资源分布广泛，工程建设占用的面积有限，影响不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减少工程建设占地对土地利用的不利影响，建设单位在征地过程中须协调好与当地政府、群众的关系，同时缴纳足额的补偿费，及时恢复临时占地区的植被，将对土地利用的不利影响降到最低限度。综上分析，本项目建设不会使评价区用地格局发生重大变化，对评价区土地利用影响不大。</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对生态系统的影响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）对不同生态系统影响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项目占用针叶林生态系统</w:t>
            </w:r>
            <w:r>
              <w:rPr>
                <w:color w:val="000000" w:themeColor="text1"/>
                <w14:textFill>
                  <w14:solidFill>
                    <w14:schemeClr w14:val="tx1"/>
                  </w14:solidFill>
                </w14:textFill>
              </w:rPr>
              <w:t>159770m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，占总占地面积的</w:t>
            </w:r>
            <w:r>
              <w:rPr>
                <w:color w:val="000000" w:themeColor="text1"/>
                <w14:textFill>
                  <w14:solidFill>
                    <w14:schemeClr w14:val="tx1"/>
                  </w14:solidFill>
                </w14:textFill>
              </w:rPr>
              <w:t>51.37%</w:t>
            </w:r>
            <w:r>
              <w:rPr>
                <w:rFonts w:hint="eastAsia"/>
                <w:color w:val="000000" w:themeColor="text1"/>
                <w14:textFill>
                  <w14:solidFill>
                    <w14:schemeClr w14:val="tx1"/>
                  </w14:solidFill>
                </w14:textFill>
              </w:rPr>
              <w:t>，主要占用植被为受人为干扰影响严重的次生林，受人为干扰大，次生成分高，生物多样性一般，周边还存在大量的相似植被，工程占用的部分占比相对较小，整体来看，工程的建设对评价区针叶林生态系统的影响较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工程占地占用草甸生态系统</w:t>
            </w:r>
            <w:r>
              <w:rPr>
                <w:color w:val="000000" w:themeColor="text1"/>
                <w14:textFill>
                  <w14:solidFill>
                    <w14:schemeClr w14:val="tx1"/>
                  </w14:solidFill>
                </w14:textFill>
              </w:rPr>
              <w:t>58519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，占比为</w:t>
            </w:r>
            <w:r>
              <w:rPr>
                <w:color w:val="000000" w:themeColor="text1"/>
                <w14:textFill>
                  <w14:solidFill>
                    <w14:schemeClr w14:val="tx1"/>
                  </w14:solidFill>
                </w14:textFill>
              </w:rPr>
              <w:t>18.82</w:t>
            </w:r>
            <w:r>
              <w:rPr>
                <w:rFonts w:hint="eastAsia"/>
                <w:color w:val="000000" w:themeColor="text1"/>
                <w14:textFill>
                  <w14:solidFill>
                    <w14:schemeClr w14:val="tx1"/>
                  </w14:solidFill>
                </w14:textFill>
              </w:rPr>
              <w:t>%，主要为羊茅草甸、毛蕨菜草甸，被占用的此类植被受人为干扰严重。工程占用的此类植被较少，且占用的只是一小部分，对该植被类型的影响较小。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工程建设</w:t>
            </w:r>
            <w:r>
              <w:rPr>
                <w:rFonts w:hint="eastAsia"/>
                <w:color w:val="000000" w:themeColor="text1"/>
                <w14:textFill>
                  <w14:solidFill>
                    <w14:schemeClr w14:val="tx1"/>
                  </w14:solidFill>
                </w14:textFill>
              </w:rPr>
              <w:t>占用耕地生态系统</w:t>
            </w:r>
            <w:r>
              <w:rPr>
                <w:color w:val="000000" w:themeColor="text1"/>
                <w14:textFill>
                  <w14:solidFill>
                    <w14:schemeClr w14:val="tx1"/>
                  </w14:solidFill>
                </w14:textFill>
              </w:rPr>
              <w:t>11537m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，占工程总占地面积的3.71%，</w:t>
            </w:r>
            <w:r>
              <w:rPr>
                <w:rFonts w:hint="eastAsia"/>
                <w:color w:val="000000" w:themeColor="text1"/>
                <w14:textFill>
                  <w14:solidFill>
                    <w14:schemeClr w14:val="tx1"/>
                  </w14:solidFill>
                </w14:textFill>
              </w:rPr>
              <w:t>耕地生态系统主要是以玉米为主的旱地作物，</w:t>
            </w:r>
            <w:r>
              <w:rPr>
                <w:color w:val="000000" w:themeColor="text1"/>
                <w14:textFill>
                  <w14:solidFill>
                    <w14:schemeClr w14:val="tx1"/>
                  </w14:solidFill>
                </w14:textFill>
              </w:rPr>
              <w:t>物种较单一，生物多样性</w:t>
            </w:r>
            <w:r>
              <w:rPr>
                <w:rFonts w:hint="eastAsia"/>
                <w:color w:val="000000" w:themeColor="text1"/>
                <w14:textFill>
                  <w14:solidFill>
                    <w14:schemeClr w14:val="tx1"/>
                  </w14:solidFill>
                </w14:textFill>
              </w:rPr>
              <w:t>交叉，对生态系统影响不大</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（2）对生态系统功能的影响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对评价区生态系统生物量的影响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在评价区总面积31.32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范围内，</w:t>
            </w:r>
            <w:r>
              <w:rPr>
                <w:rFonts w:hint="eastAsia"/>
                <w:color w:val="000000" w:themeColor="text1"/>
                <w14:textFill>
                  <w14:solidFill>
                    <w14:schemeClr w14:val="tx1"/>
                  </w14:solidFill>
                </w14:textFill>
              </w:rPr>
              <w:t>总计累计生物量</w:t>
            </w:r>
            <w:r>
              <w:rPr>
                <w:color w:val="000000" w:themeColor="text1"/>
                <w14:textFill>
                  <w14:solidFill>
                    <w14:schemeClr w14:val="tx1"/>
                  </w14:solidFill>
                </w14:textFill>
              </w:rPr>
              <w:t>103349.09t（干重），平均每hm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达到34.29t（干重）。由于</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建设的各种工程占地，会减少评价区生态系统的生物量，对当地生态系统的物质循环和能量流动产生一定程度的负面影响，</w:t>
            </w:r>
            <w:r>
              <w:rPr>
                <w:rFonts w:hint="eastAsia"/>
                <w:color w:val="000000" w:themeColor="text1"/>
                <w14:textFill>
                  <w14:solidFill>
                    <w14:schemeClr w14:val="tx1"/>
                  </w14:solidFill>
                </w14:textFill>
              </w:rPr>
              <w:t>项目建设占用的生物量为</w:t>
            </w:r>
            <w:r>
              <w:rPr>
                <w:color w:val="000000" w:themeColor="text1"/>
                <w14:textFill>
                  <w14:solidFill>
                    <w14:schemeClr w14:val="tx1"/>
                  </w14:solidFill>
                </w14:textFill>
              </w:rPr>
              <w:t>812.21</w:t>
            </w:r>
            <w:r>
              <w:rPr>
                <w:rFonts w:hint="eastAsia"/>
                <w:color w:val="000000" w:themeColor="text1"/>
                <w14:textFill>
                  <w14:solidFill>
                    <w14:schemeClr w14:val="tx1"/>
                  </w14:solidFill>
                </w14:textFill>
              </w:rPr>
              <w:t>t，占评价区总生物量的</w:t>
            </w:r>
            <w:r>
              <w:rPr>
                <w:color w:val="000000" w:themeColor="text1"/>
                <w14:textFill>
                  <w14:solidFill>
                    <w14:schemeClr w14:val="tx1"/>
                  </w14:solidFill>
                </w14:textFill>
              </w:rPr>
              <w:t>0.786</w:t>
            </w:r>
            <w:r>
              <w:rPr>
                <w:rFonts w:hint="eastAsia"/>
                <w:color w:val="000000" w:themeColor="text1"/>
                <w14:textFill>
                  <w14:solidFill>
                    <w14:schemeClr w14:val="tx1"/>
                  </w14:solidFill>
                </w14:textFill>
              </w:rPr>
              <w:t>%。其中，以暖温性针叶林下降最大，达</w:t>
            </w:r>
            <w:r>
              <w:rPr>
                <w:color w:val="000000" w:themeColor="text1"/>
                <w14:textFill>
                  <w14:solidFill>
                    <w14:schemeClr w14:val="tx1"/>
                  </w14:solidFill>
                </w14:textFill>
              </w:rPr>
              <w:t>0.746</w:t>
            </w:r>
            <w:r>
              <w:rPr>
                <w:rFonts w:hint="eastAsia"/>
                <w:color w:val="000000" w:themeColor="text1"/>
                <w14:textFill>
                  <w14:solidFill>
                    <w14:schemeClr w14:val="tx1"/>
                  </w14:solidFill>
                </w14:textFill>
              </w:rPr>
              <w:t>%；亚高山草甸下降</w:t>
            </w:r>
            <w:r>
              <w:rPr>
                <w:color w:val="000000" w:themeColor="text1"/>
                <w14:textFill>
                  <w14:solidFill>
                    <w14:schemeClr w14:val="tx1"/>
                  </w14:solidFill>
                </w14:textFill>
              </w:rPr>
              <w:t>0.030</w:t>
            </w:r>
            <w:r>
              <w:rPr>
                <w:rFonts w:hint="eastAsia"/>
                <w:color w:val="000000" w:themeColor="text1"/>
                <w14:textFill>
                  <w14:solidFill>
                    <w14:schemeClr w14:val="tx1"/>
                  </w14:solidFill>
                </w14:textFill>
              </w:rPr>
              <w:t>%；农田植被下降</w:t>
            </w:r>
            <w:r>
              <w:rPr>
                <w:color w:val="000000" w:themeColor="text1"/>
                <w14:textFill>
                  <w14:solidFill>
                    <w14:schemeClr w14:val="tx1"/>
                  </w14:solidFill>
                </w14:textFill>
              </w:rPr>
              <w:t>0.009</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对评价区生态系统</w:t>
            </w:r>
            <w:r>
              <w:rPr>
                <w:rFonts w:hint="eastAsia"/>
                <w:color w:val="000000" w:themeColor="text1"/>
                <w14:textFill>
                  <w14:solidFill>
                    <w14:schemeClr w14:val="tx1"/>
                  </w14:solidFill>
                </w14:textFill>
              </w:rPr>
              <w:t>生产力</w:t>
            </w:r>
            <w:r>
              <w:rPr>
                <w:color w:val="000000" w:themeColor="text1"/>
                <w14:textFill>
                  <w14:solidFill>
                    <w14:schemeClr w14:val="tx1"/>
                  </w14:solidFill>
                </w14:textFill>
              </w:rPr>
              <w:t>的影响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计算表明，在评价区总面积31.32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范围内，</w:t>
            </w:r>
            <w:r>
              <w:rPr>
                <w:rFonts w:hint="eastAsia"/>
                <w:color w:val="000000" w:themeColor="text1"/>
                <w14:textFill>
                  <w14:solidFill>
                    <w14:schemeClr w14:val="tx1"/>
                  </w14:solidFill>
                </w14:textFill>
              </w:rPr>
              <w:t>总计累计生产力</w:t>
            </w:r>
            <w:r>
              <w:rPr>
                <w:color w:val="000000" w:themeColor="text1"/>
                <w14:textFill>
                  <w14:solidFill>
                    <w14:schemeClr w14:val="tx1"/>
                  </w14:solidFill>
                </w14:textFill>
              </w:rPr>
              <w:t>23365.75t/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（干重），平均每hm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达到7.75t/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（干重）。由于</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建设的各种工程占地，会减少评价区生态系统的</w:t>
            </w:r>
            <w:r>
              <w:rPr>
                <w:rFonts w:hint="eastAsia"/>
                <w:color w:val="000000" w:themeColor="text1"/>
                <w14:textFill>
                  <w14:solidFill>
                    <w14:schemeClr w14:val="tx1"/>
                  </w14:solidFill>
                </w14:textFill>
              </w:rPr>
              <w:t>生产力，</w:t>
            </w:r>
            <w:r>
              <w:rPr>
                <w:color w:val="000000" w:themeColor="text1"/>
                <w14:textFill>
                  <w14:solidFill>
                    <w14:schemeClr w14:val="tx1"/>
                  </w14:solidFill>
                </w14:textFill>
              </w:rPr>
              <w:t>对当地生态系统的物质循环和能量流动产生一定程度的负面影响，</w:t>
            </w:r>
            <w:r>
              <w:rPr>
                <w:rFonts w:hint="eastAsia"/>
                <w:color w:val="000000" w:themeColor="text1"/>
                <w14:textFill>
                  <w14:solidFill>
                    <w14:schemeClr w14:val="tx1"/>
                  </w14:solidFill>
                </w14:textFill>
              </w:rPr>
              <w:t>项目建设占用的生产力总量为</w:t>
            </w:r>
            <w:r>
              <w:rPr>
                <w:color w:val="000000" w:themeColor="text1"/>
                <w14:textFill>
                  <w14:solidFill>
                    <w14:schemeClr w14:val="tx1"/>
                  </w14:solidFill>
                </w14:textFill>
              </w:rPr>
              <w:t>175.99</w:t>
            </w:r>
            <w:r>
              <w:rPr>
                <w:rFonts w:hint="eastAsia"/>
                <w:color w:val="000000" w:themeColor="text1"/>
                <w14:textFill>
                  <w14:solidFill>
                    <w14:schemeClr w14:val="tx1"/>
                  </w14:solidFill>
                </w14:textFill>
              </w:rPr>
              <w:t>t/a，占评价区总生产力的</w:t>
            </w:r>
            <w:r>
              <w:rPr>
                <w:color w:val="000000" w:themeColor="text1"/>
                <w14:textFill>
                  <w14:solidFill>
                    <w14:schemeClr w14:val="tx1"/>
                  </w14:solidFill>
                </w14:textFill>
              </w:rPr>
              <w:t>0.753</w:t>
            </w:r>
            <w:r>
              <w:rPr>
                <w:rFonts w:hint="eastAsia"/>
                <w:color w:val="000000" w:themeColor="text1"/>
                <w14:textFill>
                  <w14:solidFill>
                    <w14:schemeClr w14:val="tx1"/>
                  </w14:solidFill>
                </w14:textFill>
              </w:rPr>
              <w:t>%。其中，以暖温性针叶林下降最大，达</w:t>
            </w:r>
            <w:r>
              <w:rPr>
                <w:color w:val="000000" w:themeColor="text1"/>
                <w14:textFill>
                  <w14:solidFill>
                    <w14:schemeClr w14:val="tx1"/>
                  </w14:solidFill>
                </w14:textFill>
              </w:rPr>
              <w:t>0.698</w:t>
            </w:r>
            <w:r>
              <w:rPr>
                <w:rFonts w:hint="eastAsia"/>
                <w:color w:val="000000" w:themeColor="text1"/>
                <w14:textFill>
                  <w14:solidFill>
                    <w14:schemeClr w14:val="tx1"/>
                  </w14:solidFill>
                </w14:textFill>
              </w:rPr>
              <w:t>%；亚高山草甸下降</w:t>
            </w:r>
            <w:r>
              <w:rPr>
                <w:color w:val="000000" w:themeColor="text1"/>
                <w14:textFill>
                  <w14:solidFill>
                    <w14:schemeClr w14:val="tx1"/>
                  </w14:solidFill>
                </w14:textFill>
              </w:rPr>
              <w:t>0.032</w:t>
            </w:r>
            <w:r>
              <w:rPr>
                <w:rFonts w:hint="eastAsia"/>
                <w:color w:val="000000" w:themeColor="text1"/>
                <w14:textFill>
                  <w14:solidFill>
                    <w14:schemeClr w14:val="tx1"/>
                  </w14:solidFill>
                </w14:textFill>
              </w:rPr>
              <w:t>%；农田植被下降</w:t>
            </w:r>
            <w:r>
              <w:rPr>
                <w:color w:val="000000" w:themeColor="text1"/>
                <w14:textFill>
                  <w14:solidFill>
                    <w14:schemeClr w14:val="tx1"/>
                  </w14:solidFill>
                </w14:textFill>
              </w:rPr>
              <w:t>0.023</w:t>
            </w:r>
            <w:r>
              <w:rPr>
                <w:rFonts w:hint="eastAsia"/>
                <w:color w:val="000000" w:themeColor="text1"/>
                <w14:textFill>
                  <w14:solidFill>
                    <w14:schemeClr w14:val="tx1"/>
                  </w14:solidFill>
                </w14:textFill>
              </w:rPr>
              <w:t>%。</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对植被及植物的影响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）对植物的影响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①对植物资源的影响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程对评价区植物区系的影响主要是工程永久占地和临时用地对评价区内植被的直接破坏，这使得其上生活着的植物全部死亡，主要影响植物为华山松、云南松、小叶栒子、毛蕨菜、翻白草、羊茅等，受影响的植物物种都是本区域的常见种和广布种，并且工程影响到的是植物种群的部分个体，种群的大部分个体在影响区域以外广泛分布，不会导致物种灭绝，也不会改变评价区域的区系性质，不会造成较大的生物多样性流失。因此，经过一定时间，工程对植被及植物的影响将逐步减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②对保护植物的影响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据野外实地调查，调查期间未发现国家级和省级保护植物分布。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③对名木古树的影响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据野外实地调查和相关资料记载，评价区内未发现名木古树。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）对植被的影响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总体上看，各分项工程建设需要占用一定的植被面积。以自然植被而言，项目占地范围内的植被为当地常见植被，且所涉及的植被类型在项目区广泛分布，项目建设会导致部分植物消亡，但不会造成物种灭亡。因此，工程建设对评价区植被类型和面积影响有限。</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对动物资源的影响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（1）对两栖类的影响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调查记录到的两栖动物，绝大部分</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分布范围</w:t>
            </w:r>
            <w:r>
              <w:rPr>
                <w:rFonts w:hint="eastAsia"/>
                <w:color w:val="000000" w:themeColor="text1"/>
                <w14:textFill>
                  <w14:solidFill>
                    <w14:schemeClr w14:val="tx1"/>
                  </w14:solidFill>
                </w14:textFill>
              </w:rPr>
              <w:t>较</w:t>
            </w:r>
            <w:r>
              <w:rPr>
                <w:color w:val="000000" w:themeColor="text1"/>
                <w14:textFill>
                  <w14:solidFill>
                    <w14:schemeClr w14:val="tx1"/>
                  </w14:solidFill>
                </w14:textFill>
              </w:rPr>
              <w:t>广、种群数量稳定</w:t>
            </w:r>
            <w:r>
              <w:rPr>
                <w:rFonts w:hint="eastAsia"/>
                <w:color w:val="000000" w:themeColor="text1"/>
                <w14:textFill>
                  <w14:solidFill>
                    <w14:schemeClr w14:val="tx1"/>
                  </w14:solidFill>
                </w14:textFill>
              </w:rPr>
              <w:t>的物种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由于两栖动物迁徙能力较弱、对环境的依赖性较强，因此受工程影响的方式以栖息地破坏为主。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两栖动物主要栖息在谷地潮湿区域，项目建设主要在海拔较高的干燥山地，两栖动物分布的</w:t>
            </w:r>
            <w:r>
              <w:rPr>
                <w:rFonts w:hint="eastAsia"/>
                <w:color w:val="000000" w:themeColor="text1"/>
                <w:lang w:val="en-US" w:eastAsia="zh-CN"/>
                <w14:textFill>
                  <w14:solidFill>
                    <w14:schemeClr w14:val="tx1"/>
                  </w14:solidFill>
                </w14:textFill>
              </w:rPr>
              <w:t>种</w:t>
            </w:r>
            <w:r>
              <w:rPr>
                <w:rFonts w:hint="eastAsia"/>
                <w:color w:val="000000" w:themeColor="text1"/>
                <w14:textFill>
                  <w14:solidFill>
                    <w14:schemeClr w14:val="tx1"/>
                  </w14:solidFill>
                </w14:textFill>
              </w:rPr>
              <w:t>类和数量很小，工程建设对</w:t>
            </w:r>
            <w:r>
              <w:rPr>
                <w:rFonts w:hint="eastAsia"/>
                <w:color w:val="000000" w:themeColor="text1"/>
                <w:lang w:eastAsia="zh-CN"/>
                <w14:textFill>
                  <w14:solidFill>
                    <w14:schemeClr w14:val="tx1"/>
                  </w14:solidFill>
                </w14:textFill>
              </w:rPr>
              <w:t>其影响</w:t>
            </w:r>
            <w:r>
              <w:rPr>
                <w:rFonts w:hint="eastAsia"/>
                <w:color w:val="000000" w:themeColor="text1"/>
                <w14:textFill>
                  <w14:solidFill>
                    <w14:schemeClr w14:val="tx1"/>
                  </w14:solidFill>
                </w14:textFill>
              </w:rPr>
              <w:t>也小。工程建设对两栖动物的影响主要是电场建设期间由于基础设施的建设可能导致水质的变化等几个方面：由于施工材料的堆放，随雨水冲刷进入水域，造成水质的污染；施工人员产生的生活垃圾、废水如直接排入河道也会造成水域的污染，由于施工会导致水域附近的</w:t>
            </w:r>
            <w:r>
              <w:rPr>
                <w:rFonts w:hint="eastAsia"/>
                <w:color w:val="000000" w:themeColor="text1"/>
                <w:lang w:val="en-US" w:eastAsia="zh-CN"/>
                <w14:textFill>
                  <w14:solidFill>
                    <w14:schemeClr w14:val="tx1"/>
                  </w14:solidFill>
                </w14:textFill>
              </w:rPr>
              <w:t>环</w:t>
            </w:r>
            <w:r>
              <w:rPr>
                <w:rFonts w:hint="eastAsia"/>
                <w:color w:val="000000" w:themeColor="text1"/>
                <w14:textFill>
                  <w14:solidFill>
                    <w14:schemeClr w14:val="tx1"/>
                  </w14:solidFill>
                </w14:textFill>
              </w:rPr>
              <w:t>境发生变化：施工过程会使该区域的人口密度增加，人为活动频繁，如不加强管理施工人员可能捕食一些蛙类，这样就会导致该种群数量暂时减少。另外，如果夜间施工，施工照明也会对两栖类的觅食活动产生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评价区没有记录到国家重点保护的两栖动物，也没有“濒危”级别以上的两栖动物。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（2）对爬行类的影响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现场调查表明，评价区爬行动物现存数量不多，均为常见的物种，施工活动会产生噪声、频繁往来的车流、人流改变了原有的安静环境，对喜欢安静或害怕人群类爬行动物会形成惊吓导致其离开原有的活动范围，会暂时降低影响区内敏感物种数量和降低出现的次数，施工结束后其影响逐渐消除。评价区分布的爬行动物无论种类和数量都十分有限，对种群数量的影响也较小。由于电场建设影响的范围有限，只要采取相应的环保措施，工程对爬行动物的影响轻微，且主要是施工期间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评价区没有记录到国家重点保护的爬行动物，也没有“濒危”级别以上的爬行动物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仅黑眉锦蛇</w:t>
            </w:r>
            <w:r>
              <w:rPr>
                <w:i/>
                <w:color w:val="000000" w:themeColor="text1"/>
                <w14:textFill>
                  <w14:solidFill>
                    <w14:schemeClr w14:val="tx1"/>
                  </w14:solidFill>
                </w14:textFill>
              </w:rPr>
              <w:t>Elaphe</w:t>
            </w:r>
            <w:r>
              <w:rPr>
                <w:rFonts w:hint="eastAsia"/>
                <w:i/>
                <w:color w:val="000000" w:themeColor="text1"/>
                <w14:textFill>
                  <w14:solidFill>
                    <w14:schemeClr w14:val="tx1"/>
                  </w14:solidFill>
                </w14:textFill>
              </w:rPr>
              <w:t xml:space="preserve"> taeniura</w:t>
            </w:r>
            <w:r>
              <w:rPr>
                <w:rFonts w:hint="eastAsia"/>
                <w:color w:val="000000" w:themeColor="text1"/>
                <w14:textFill>
                  <w14:solidFill>
                    <w14:schemeClr w14:val="tx1"/>
                  </w14:solidFill>
                </w14:textFill>
              </w:rPr>
              <w:t>被《中国生物多样性红色名录</w:t>
            </w:r>
            <w:r>
              <w:rPr>
                <w:color w:val="000000" w:themeColor="text1"/>
                <w14:textFill>
                  <w14:solidFill>
                    <w14:schemeClr w14:val="tx1"/>
                  </w14:solidFill>
                </w14:textFill>
              </w:rPr>
              <w:t>-脊椎动物卷</w:t>
            </w:r>
            <w:r>
              <w:rPr>
                <w:rFonts w:hint="eastAsia"/>
                <w:color w:val="000000" w:themeColor="text1"/>
                <w14:textFill>
                  <w14:solidFill>
                    <w14:schemeClr w14:val="tx1"/>
                  </w14:solidFill>
                </w14:textFill>
              </w:rPr>
              <w:t>》列入的易危动物，黑眉锦蛇是区域性常见的物种，其分布范围较广，濒危程度也不高。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（3）对兽类的影响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当地哺乳动物区系成分相对简单</w:t>
            </w:r>
            <w:r>
              <w:rPr>
                <w:color w:val="000000" w:themeColor="text1"/>
                <w14:textFill>
                  <w14:solidFill>
                    <w14:schemeClr w14:val="tx1"/>
                  </w14:solidFill>
                </w14:textFill>
              </w:rPr>
              <w:t>，种群数量较小，</w:t>
            </w:r>
            <w:r>
              <w:rPr>
                <w:rFonts w:hint="eastAsia"/>
                <w:color w:val="000000" w:themeColor="text1"/>
                <w14:textFill>
                  <w14:solidFill>
                    <w14:schemeClr w14:val="tx1"/>
                  </w14:solidFill>
                </w14:textFill>
              </w:rPr>
              <w:t>以</w:t>
            </w:r>
            <w:r>
              <w:rPr>
                <w:color w:val="000000" w:themeColor="text1"/>
                <w14:textFill>
                  <w14:solidFill>
                    <w14:schemeClr w14:val="tx1"/>
                  </w14:solidFill>
                </w14:textFill>
              </w:rPr>
              <w:t>常见的</w:t>
            </w:r>
            <w:r>
              <w:rPr>
                <w:rFonts w:hint="eastAsia"/>
                <w:color w:val="000000" w:themeColor="text1"/>
                <w14:textFill>
                  <w14:solidFill>
                    <w14:schemeClr w14:val="tx1"/>
                  </w14:solidFill>
                </w14:textFill>
              </w:rPr>
              <w:t>物种为主，特别是啮齿目物种，</w:t>
            </w:r>
            <w:r>
              <w:rPr>
                <w:color w:val="000000" w:themeColor="text1"/>
                <w14:textFill>
                  <w14:solidFill>
                    <w14:schemeClr w14:val="tx1"/>
                  </w14:solidFill>
                </w14:textFill>
              </w:rPr>
              <w:t>如几种松鼠</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对兽类的影响主要体现在对动物栖息觅食地所在生态环境的破坏，包括对施工区森林植被的破坏和林木的砍伐，爆破所产生噪声，弃渣场等作业，各种施工人员以及施工机械的干扰等，使评价区及其周边环境发生改变，受影响的主要是适生于灌草丛的小型兽类，如兔类和松鼠等，将迁移至附近受干扰小的区域，在施工区附近，上述兽类栖息适宜度降低，种类和数量将相应减少，而伴随人类生活的一些啮齿目、食虫目其种群数量会有所增加，与此对应，主要以鼠类为食的黄鼬等种群数量也将会有所增加。工程建成后，随着植被的逐渐恢复，生态环境的好转，人为干扰减少，许多外迁的兽类会陆续回到原来的栖息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（4）对鸟类的影响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①鸟类栖息地破坏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风电场施工期间，为满足大型设备、建筑材料等运输的要求，需要在场址范围内以及对新修或扩建道路，此外风电场安装平台的开挖等基建项目也将造成施工区域内鸟类栖息地的减少和分割。</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②噪声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施工期间各种施工机械作业，将对区域内鸟类产生惊吓，尤其是繁殖期的鸟类对噪声影响尤为明显，</w:t>
            </w:r>
            <w:r>
              <w:rPr>
                <w:color w:val="000000" w:themeColor="text1"/>
                <w14:textFill>
                  <w14:solidFill>
                    <w14:schemeClr w14:val="tx1"/>
                  </w14:solidFill>
                </w14:textFill>
              </w:rPr>
              <w:t>在繁殖和哺育时节，施工区域涉及的鸟类巢穴将受到直接破坏影响，部分幼体受到威胁和死亡，导致一定范围和时段内鸟类种群数量下降。对猛禽而言，由于评价区呈长带状分布，而猛禽的活动区域呈大的片状分布，它们都是以在高空中飞翔和盘旋为主要活动方式的鸟类；而对少数地栖鸟类的影响相对要大些，因为它们都是以地面活动为主，树栖为辅，且活动范围不大。</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工程建设对鸟类的影响，将使得鸟类迁移它处，远离施工区范围。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③人为干扰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施工人员的日常生活及工作均会对当地的鸟类产生一定的干扰，妨碍鸟类取食、繁殖等日常活动的进行。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④对重点保护野生动物的影响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项目区周边茂密的植被区为鸟类提供了丰富的栖息、觅食场所，根据调查，评价区内记录有国家二级重点保护鸟类</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种，为普通鵟、松雀鹰、红隼、白腹锦鸡，项目施工区域不是以上4种鸟类的优异生境，对4种保护鸟类的影响较小。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以上4种鸟类具有较强的迁移能力，受干扰后能主动避让干扰源，影响不大。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项目施工区域距离黑颈鹤活动区域约3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km，距离较远，不会对黑颈鹤造成影响。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⑤结论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间对鸟类栖息地的破坏、噪声影响、人为干扰等对项目区域内的鸟类会产生一定影响，但影响不大，且施工期是短暂的，施工期结束，此类影响也将随之结束，待做好相应植被恢复工作后，同时又会给鸟类创造新的栖息地，且大多数鸟类会通过飞翔，短距离的迁移来避免项目施工对其造成伤害。</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所以，总的来说该风电场的建设对鸟类影响不大。</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对景观生态系统的影响</w:t>
            </w:r>
          </w:p>
          <w:p>
            <w:pPr>
              <w:ind w:firstLine="480"/>
              <w:rPr>
                <w:color w:val="000000" w:themeColor="text1"/>
                <w14:textFill>
                  <w14:solidFill>
                    <w14:schemeClr w14:val="tx1"/>
                  </w14:solidFill>
                </w14:textFill>
              </w:rPr>
            </w:pPr>
            <w:bookmarkStart w:id="47" w:name="_Hlk144047409"/>
            <w:r>
              <w:rPr>
                <w:rFonts w:hint="eastAsia"/>
                <w:color w:val="000000" w:themeColor="text1"/>
                <w14:textFill>
                  <w14:solidFill>
                    <w14:schemeClr w14:val="tx1"/>
                  </w14:solidFill>
                </w14:textFill>
              </w:rPr>
              <w:t>施工前后相比，除增加了风机及其箱变设施外，其他景观组成没有变化。各类景观的优势度大多数均有所变动，但总体趋势仍与现状差别不大，所以工程施工后对评价区景观生态系统的结构和功能不会造成大的影响；优势度排序依然是暖温性针叶林、农田景观、居民地景观、亚高山草甸等；但由于道路、风机等建筑物的修建，施工后风机及其它设施景观和道路景观的优势度有较大上升，对评价区现有景观生态体系有一定影响。</w:t>
            </w:r>
            <w:bookmarkEnd w:id="47"/>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水土流失影响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①对本工程的施工建设和运行的影响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程有大量的土石方工程，基础开挖、路基的开挖填筑等施工过程严重影响了这些单元土层的稳定性，为水土流失的加剧创造了条件。工程建设可能导致的水土流失与工程建设的安全息息相关，工程施工产生的临时堆土场如不能及时有效地处理，流失的水土将进入施工现场，影响施工进度，以及施工期的安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②对下游河流的影响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程建设过程中产生的水土流失将随地表径流进入区域水系，最终汇入下游河道，流失的沙土将可能造成河道或水库的淤积，直接影响了河道的行洪能力及水库的蓄水能力，且土石渣的流入将直接影响下游水库水质，给周边及下游居民的生活带来了一定的负面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③降低土壤肥力，对土地资源的影响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由于工程施工扰动了原地貌，引起地表植被损坏，使裸地在雨水的冲刷下引发水土流失，从而带走土壤表层的营养元素，降低土壤肥力，影响植被的生长，对土地资源带来不利影响。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④对生态环境的影响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水土流失本身是一项衡量区域生态环境状况的重要指标，水土流失的加剧，意味着生态环境质量的降低。由于本工程的建设，在施工期间，工程区域特别是风机平台，将产生大量的裸露地表和大量的临时堆土，如果水土保持防护措施不到位，将破坏工程区域的生态环境状况。做好本工程水土保持工作，不仅可以使工程区植被最大限度的得到恢复，还可以抑制原生水土流失的发生和发展。同时，风蚀将造成空气中颗粒物含量增大，影响农业生态环境。</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对公益林的影响</w:t>
            </w:r>
          </w:p>
          <w:p>
            <w:pPr>
              <w:ind w:firstLine="480"/>
              <w:rPr>
                <w:color w:val="000000" w:themeColor="text1"/>
                <w14:textFill>
                  <w14:solidFill>
                    <w14:schemeClr w14:val="tx1"/>
                  </w14:solidFill>
                </w14:textFill>
              </w:rPr>
            </w:pPr>
            <w:bookmarkStart w:id="48" w:name="_Hlk144049686"/>
            <w:r>
              <w:rPr>
                <w:rFonts w:hint="eastAsia"/>
                <w:color w:val="000000" w:themeColor="text1"/>
                <w14:textFill>
                  <w14:solidFill>
                    <w14:schemeClr w14:val="tx1"/>
                  </w14:solidFill>
                </w14:textFill>
              </w:rPr>
              <w:t>根据《林勘》调查结果统计分析，拟建项目不占用国家一级公益林、国家二级公益林，占用省级公益林</w:t>
            </w:r>
            <w:r>
              <w:rPr>
                <w:color w:val="000000" w:themeColor="text1"/>
                <w14:textFill>
                  <w14:solidFill>
                    <w14:schemeClr w14:val="tx1"/>
                  </w14:solidFill>
                </w14:textFill>
              </w:rPr>
              <w:t>5.0925</w:t>
            </w:r>
            <w:r>
              <w:rPr>
                <w:rFonts w:hint="eastAsia"/>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，鉴于工程建设对林地水土保持及经济的功能有一定影响，环评要求工程结束后，通过植被措施逐步恢复其相应功能。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评建议在工程开工建设前必须做好林地林木补偿，并按规定办理林地、草地审批手续，取得审批手续后方可开工建设。工程占用的森林类别、林种、地类最终以具有林业调查规划设计资质的单位作出的调查结果为准。</w:t>
            </w:r>
          </w:p>
          <w:bookmarkEnd w:id="48"/>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.1.8 </w:t>
            </w:r>
            <w:r>
              <w:rPr>
                <w:rFonts w:hint="eastAsia"/>
                <w:color w:val="000000" w:themeColor="text1"/>
                <w14:textFill>
                  <w14:solidFill>
                    <w14:schemeClr w14:val="tx1"/>
                  </w14:solidFill>
                </w14:textFill>
              </w:rPr>
              <w:t>对环境敏感区的影响</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.1.8.1 </w:t>
            </w:r>
            <w:r>
              <w:rPr>
                <w:rFonts w:hint="eastAsia"/>
                <w:color w:val="000000" w:themeColor="text1"/>
                <w14:textFill>
                  <w14:solidFill>
                    <w14:schemeClr w14:val="tx1"/>
                  </w14:solidFill>
                </w14:textFill>
              </w:rPr>
              <w:t>对驾车自然保护区的影响</w:t>
            </w:r>
          </w:p>
          <w:p>
            <w:pPr>
              <w:ind w:firstLine="480"/>
              <w:rPr>
                <w:color w:val="000000" w:themeColor="text1"/>
                <w14:textFill>
                  <w14:solidFill>
                    <w14:schemeClr w14:val="tx1"/>
                  </w14:solidFill>
                </w14:textFill>
              </w:rPr>
            </w:pPr>
            <w:bookmarkStart w:id="49" w:name="_Hlk144047608"/>
            <w:r>
              <w:rPr>
                <w:rFonts w:hint="eastAsia"/>
                <w:color w:val="000000" w:themeColor="text1"/>
                <w14:textFill>
                  <w14:solidFill>
                    <w14:schemeClr w14:val="tx1"/>
                  </w14:solidFill>
                </w14:textFill>
              </w:rPr>
              <w:t>经图形叠置，项目机位与自然保护区最近距离</w:t>
            </w:r>
            <w:r>
              <w:rPr>
                <w:color w:val="000000" w:themeColor="text1"/>
                <w14:textFill>
                  <w14:solidFill>
                    <w14:schemeClr w14:val="tx1"/>
                  </w14:solidFill>
                </w14:textFill>
              </w:rPr>
              <w:t>103.6</w:t>
            </w:r>
            <w:r>
              <w:rPr>
                <w:rFonts w:hint="eastAsia"/>
                <w:color w:val="000000" w:themeColor="text1"/>
                <w14:textFill>
                  <w14:solidFill>
                    <w14:schemeClr w14:val="tx1"/>
                  </w14:solidFill>
                </w14:textFill>
              </w:rPr>
              <w:t>m，施工道路与自然保护区最近距离</w:t>
            </w:r>
            <w:r>
              <w:rPr>
                <w:color w:val="000000" w:themeColor="text1"/>
                <w14:textFill>
                  <w14:solidFill>
                    <w14:schemeClr w14:val="tx1"/>
                  </w14:solidFill>
                </w14:textFill>
              </w:rPr>
              <w:t>27.4</w:t>
            </w:r>
            <w:r>
              <w:rPr>
                <w:rFonts w:hint="eastAsia"/>
                <w:color w:val="000000" w:themeColor="text1"/>
                <w14:textFill>
                  <w14:solidFill>
                    <w14:schemeClr w14:val="tx1"/>
                  </w14:solidFill>
                </w14:textFill>
              </w:rPr>
              <w:t>m，项目不在自然保护区设置永久占地及临时占地，不会对自然保护区造成直接影响。项目可能对会泽驾车省级自然保护区产生的影响主要来源于施工人员随意进入自然保护区内，由于行为不当，对自然保护区内的动植物资源造成一定的不利影响。因此，应采取严格的环境管理措施，对施工人员加强环境教育，避免施工人员进入自然保护区造成影响。</w:t>
            </w:r>
            <w:bookmarkEnd w:id="49"/>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47945" cy="3016885"/>
                  <wp:effectExtent l="19050" t="19050" r="14605" b="12065"/>
                  <wp:docPr id="3744938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9383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48000" cy="3016970"/>
                          </a:xfrm>
                          <a:prstGeom prst="rect">
                            <a:avLst/>
                          </a:prstGeom>
                          <a:noFill/>
                          <a:ln>
                            <a:solidFill>
                              <a:schemeClr val="tx1"/>
                            </a:solidFill>
                          </a:ln>
                        </pic:spPr>
                      </pic:pic>
                    </a:graphicData>
                  </a:graphic>
                </wp:inline>
              </w:drawing>
            </w:r>
          </w:p>
          <w:p>
            <w:pPr>
              <w:pStyle w:val="41"/>
              <w:spacing w:after="163"/>
              <w:rPr>
                <w:color w:val="000000" w:themeColor="text1"/>
                <w14:textFill>
                  <w14:solidFill>
                    <w14:schemeClr w14:val="tx1"/>
                  </w14:solidFill>
                </w14:textFill>
              </w:rPr>
            </w:pPr>
            <w:r>
              <w:rPr>
                <w:rFonts w:hint="eastAsia"/>
                <w:color w:val="000000" w:themeColor="text1"/>
                <w14:textFill>
                  <w14:solidFill>
                    <w14:schemeClr w14:val="tx1"/>
                  </w14:solidFill>
                </w14:textFill>
              </w:rPr>
              <w:t>图4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项目与驾车自然保护区位置关系</w:t>
            </w:r>
          </w:p>
          <w:p>
            <w:pPr>
              <w:pStyle w:val="39"/>
              <w:spacing w:before="163" w:after="163"/>
              <w:rPr>
                <w:color w:val="000000" w:themeColor="text1"/>
                <w14:textFill>
                  <w14:solidFill>
                    <w14:schemeClr w14:val="tx1"/>
                  </w14:solidFill>
                </w14:textFill>
              </w:rPr>
            </w:pPr>
            <w:bookmarkStart w:id="50" w:name="_Hlk152320164"/>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.1.8.2 </w:t>
            </w:r>
            <w:r>
              <w:rPr>
                <w:rFonts w:hint="eastAsia"/>
                <w:color w:val="000000" w:themeColor="text1"/>
                <w14:textFill>
                  <w14:solidFill>
                    <w14:schemeClr w14:val="tx1"/>
                  </w14:solidFill>
                </w14:textFill>
              </w:rPr>
              <w:t>对毛家村水库饮用水水源保护区的影响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经图形叠置，项目机位及新建道路等均避开毛家村水库饮用水水源保护区，项目机位与毛家村水库饮用水水源保护区准保护区最近距离约</w:t>
            </w:r>
            <w:r>
              <w:rPr>
                <w:color w:val="000000" w:themeColor="text1"/>
                <w14:textFill>
                  <w14:solidFill>
                    <w14:schemeClr w14:val="tx1"/>
                  </w14:solidFill>
                </w14:textFill>
              </w:rPr>
              <w:t>21.6</w:t>
            </w:r>
            <w:r>
              <w:rPr>
                <w:rFonts w:hint="eastAsia"/>
                <w:color w:val="000000" w:themeColor="text1"/>
                <w14:textFill>
                  <w14:solidFill>
                    <w14:schemeClr w14:val="tx1"/>
                  </w14:solidFill>
                </w14:textFill>
              </w:rPr>
              <w:t>m，不属于饮用水水源保护区汇水范围，不会破坏饮用水水源保护区植被，不会对饮用水水源造成影响。项目可能对毛家村水库饮用水水源保护区产生的影响主要来源于施工人员随意进入保护区内，由于行为不当，对保护区内的动植物资源造成一定的不利影响，从而降低准保护区水源涵养功能。因此，应采取严格的环境管理措施，对施工人员加强环境教育。</w:t>
            </w:r>
            <w:bookmarkEnd w:id="50"/>
          </w:p>
          <w:p>
            <w:pPr>
              <w:pStyle w:val="41"/>
              <w:spacing w:after="16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12385" cy="4744085"/>
                  <wp:effectExtent l="19050" t="19050" r="12065" b="18415"/>
                  <wp:docPr id="1022056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5655"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16202" cy="4747506"/>
                          </a:xfrm>
                          <a:prstGeom prst="rect">
                            <a:avLst/>
                          </a:prstGeom>
                          <a:noFill/>
                          <a:ln>
                            <a:solidFill>
                              <a:schemeClr val="tx1"/>
                            </a:solidFill>
                          </a:ln>
                        </pic:spPr>
                      </pic:pic>
                    </a:graphicData>
                  </a:graphic>
                </wp:inline>
              </w:drawing>
            </w:r>
          </w:p>
          <w:p>
            <w:pPr>
              <w:pStyle w:val="41"/>
              <w:spacing w:after="163"/>
              <w:rPr>
                <w:color w:val="000000" w:themeColor="text1"/>
                <w14:textFill>
                  <w14:solidFill>
                    <w14:schemeClr w14:val="tx1"/>
                  </w14:solidFill>
                </w14:textFill>
              </w:rPr>
            </w:pPr>
            <w:r>
              <w:rPr>
                <w:rFonts w:hint="eastAsia"/>
                <w:color w:val="000000" w:themeColor="text1"/>
                <w14:textFill>
                  <w14:solidFill>
                    <w14:schemeClr w14:val="tx1"/>
                  </w14:solidFill>
                </w14:textFill>
              </w:rPr>
              <w:t>图4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项目风机与水源准保护区位置关系（a）</w:t>
            </w:r>
          </w:p>
          <w:p>
            <w:pPr>
              <w:pStyle w:val="41"/>
              <w:spacing w:after="16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84775" cy="3471545"/>
                  <wp:effectExtent l="19050" t="19050" r="15875" b="14605"/>
                  <wp:docPr id="12226617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1730"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90771" cy="3475919"/>
                          </a:xfrm>
                          <a:prstGeom prst="rect">
                            <a:avLst/>
                          </a:prstGeom>
                          <a:noFill/>
                          <a:ln>
                            <a:solidFill>
                              <a:schemeClr val="tx1"/>
                            </a:solidFill>
                          </a:ln>
                        </pic:spPr>
                      </pic:pic>
                    </a:graphicData>
                  </a:graphic>
                </wp:inline>
              </w:drawing>
            </w:r>
          </w:p>
          <w:p>
            <w:pPr>
              <w:pStyle w:val="41"/>
              <w:spacing w:after="163"/>
              <w:rPr>
                <w:color w:val="000000" w:themeColor="text1"/>
                <w14:textFill>
                  <w14:solidFill>
                    <w14:schemeClr w14:val="tx1"/>
                  </w14:solidFill>
                </w14:textFill>
              </w:rPr>
            </w:pPr>
            <w:r>
              <w:rPr>
                <w:rFonts w:hint="eastAsia"/>
                <w:color w:val="000000" w:themeColor="text1"/>
                <w14:textFill>
                  <w14:solidFill>
                    <w14:schemeClr w14:val="tx1"/>
                  </w14:solidFill>
                </w14:textFill>
              </w:rPr>
              <w:t>图4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项目风机与水源准保护区位置关系（b）</w:t>
            </w:r>
          </w:p>
          <w:p>
            <w:pPr>
              <w:pStyle w:val="2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24450" cy="4189730"/>
                  <wp:effectExtent l="19050" t="19050" r="19050" b="20320"/>
                  <wp:docPr id="19075530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3054"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28896" cy="4193452"/>
                          </a:xfrm>
                          <a:prstGeom prst="rect">
                            <a:avLst/>
                          </a:prstGeom>
                          <a:noFill/>
                          <a:ln>
                            <a:solidFill>
                              <a:schemeClr val="tx1"/>
                            </a:solidFill>
                          </a:ln>
                        </pic:spPr>
                      </pic:pic>
                    </a:graphicData>
                  </a:graphic>
                </wp:inline>
              </w:drawing>
            </w:r>
          </w:p>
          <w:p>
            <w:pPr>
              <w:pStyle w:val="41"/>
              <w:spacing w:after="163"/>
              <w:rPr>
                <w:color w:val="000000" w:themeColor="text1"/>
                <w14:textFill>
                  <w14:solidFill>
                    <w14:schemeClr w14:val="tx1"/>
                  </w14:solidFill>
                </w14:textFill>
              </w:rPr>
            </w:pPr>
            <w:r>
              <w:rPr>
                <w:rFonts w:hint="eastAsia"/>
                <w:color w:val="000000" w:themeColor="text1"/>
                <w14:textFill>
                  <w14:solidFill>
                    <w14:schemeClr w14:val="tx1"/>
                  </w14:solidFill>
                </w14:textFill>
              </w:rPr>
              <w:t>图4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项目风机与水源准保护区位置关系（c）</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.1.9 </w:t>
            </w:r>
            <w:r>
              <w:rPr>
                <w:rFonts w:hint="eastAsia"/>
                <w:color w:val="000000" w:themeColor="text1"/>
                <w14:textFill>
                  <w14:solidFill>
                    <w14:schemeClr w14:val="tx1"/>
                  </w14:solidFill>
                </w14:textFill>
              </w:rPr>
              <w:t>对生态保护红线的影响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根据会泽县自然资源局《关于云南省曲靖市待补风电场二期项目的选址意见》，待补风电场二期项目占地范围内不涉及占用会泽县生态保护红线。根据项目与“三区三线”划定的生态保护红线叠图分析，项目6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风机及配套风机进场道路紧邻生态保护红线，生态保护红线的主导功能为水土保持，为加强区域生态保护红线的监督管理，环评要求建设单位严格控制施工范围，禁止超范围施工，施工活动要保证在征地红线范围内进行，落实水土保持措施。</w:t>
            </w:r>
          </w:p>
          <w:p>
            <w:pPr>
              <w:pStyle w:val="35"/>
              <w:spacing w:before="163" w:after="163"/>
              <w:rPr>
                <w:color w:val="000000" w:themeColor="text1"/>
                <w14:textFill>
                  <w14:solidFill>
                    <w14:schemeClr w14:val="tx1"/>
                  </w14:solidFill>
                </w14:textFill>
              </w:rPr>
            </w:pPr>
            <w:bookmarkStart w:id="51" w:name="_Toc157549271"/>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.1.10 </w:t>
            </w:r>
            <w:r>
              <w:rPr>
                <w:rFonts w:hint="eastAsia"/>
                <w:color w:val="000000" w:themeColor="text1"/>
                <w14:textFill>
                  <w14:solidFill>
                    <w14:schemeClr w14:val="tx1"/>
                  </w14:solidFill>
                </w14:textFill>
              </w:rPr>
              <w:t>对生物多样性的影响</w:t>
            </w:r>
            <w:bookmarkEnd w:id="51"/>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经对照云南省生物多样性保护战略与行动计划（2012-2030）及云南生物多样性保护优先区域区划图，本工程不涉及其中提出的6个一级优先区域和18个二级优先区域。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根据生态现状调查，项目占地主要为华山松林、云南松林、羊茅草甸、毛蕨菜草甸，生态系统组成成分与结构较简单，生物多样性一般，项目建设不会对区域生物多样性造成明显影响。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声环境影响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（1）场界噪声影响分析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项目施工期噪声主要来源于：场内道路修建、场地平整、风电机组和箱式变压器基础开挖时施工机械噪声；项目运输车辆交通噪声；风电机组吊装机械噪声等。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拟建项目施工机械主要有发电机、振捣器、压路机、挖掘机、装载机、自卸汽车、推土机、挖掘机、吊车等。主要设备源强见下表。</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主要施工设备源强</w:t>
            </w:r>
          </w:p>
          <w:tbl>
            <w:tblPr>
              <w:tblStyle w:val="20"/>
              <w:tblW w:w="819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2213"/>
              <w:gridCol w:w="2888"/>
              <w:gridCol w:w="308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主要噪声源</w:t>
                  </w:r>
                </w:p>
              </w:tc>
              <w:tc>
                <w:tcPr>
                  <w:tcW w:w="288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噪声源强dB（A）</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距离声源距离（m）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压路机</w:t>
                  </w:r>
                </w:p>
              </w:tc>
              <w:tc>
                <w:tcPr>
                  <w:tcW w:w="2888"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81</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装载机</w:t>
                  </w:r>
                </w:p>
              </w:tc>
              <w:tc>
                <w:tcPr>
                  <w:tcW w:w="288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w:t>
                  </w:r>
                </w:p>
              </w:tc>
              <w:tc>
                <w:tcPr>
                  <w:tcW w:w="3089"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挖掘机</w:t>
                  </w:r>
                </w:p>
              </w:tc>
              <w:tc>
                <w:tcPr>
                  <w:tcW w:w="288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4</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混凝土</w:t>
                  </w:r>
                  <w:r>
                    <w:rPr>
                      <w:color w:val="000000" w:themeColor="text1"/>
                      <w14:textFill>
                        <w14:solidFill>
                          <w14:schemeClr w14:val="tx1"/>
                        </w14:solidFill>
                      </w14:textFill>
                    </w:rPr>
                    <w:t>运输车</w:t>
                  </w:r>
                </w:p>
              </w:tc>
              <w:tc>
                <w:tcPr>
                  <w:tcW w:w="288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吊车</w:t>
                  </w:r>
                </w:p>
              </w:tc>
              <w:tc>
                <w:tcPr>
                  <w:tcW w:w="288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发电机</w:t>
                  </w:r>
                </w:p>
              </w:tc>
              <w:tc>
                <w:tcPr>
                  <w:tcW w:w="2888"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98</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Ex>
              <w:tc>
                <w:tcPr>
                  <w:tcW w:w="2213"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混凝土振动器</w:t>
                  </w:r>
                </w:p>
              </w:tc>
              <w:tc>
                <w:tcPr>
                  <w:tcW w:w="2888"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95</w:t>
                  </w:r>
                </w:p>
              </w:tc>
              <w:tc>
                <w:tcPr>
                  <w:tcW w:w="308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上述施工机械噪声源均按点源计，噪声预测按室外点声源在预测点产生的声级计算公式进行预测，预测模式见公式一。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公示一：</w:t>
            </w:r>
            <w:r>
              <w:rPr>
                <w:rFonts w:hint="eastAsia"/>
                <w:i/>
                <w:iCs/>
                <w:color w:val="000000" w:themeColor="text1"/>
                <w14:textFill>
                  <w14:solidFill>
                    <w14:schemeClr w14:val="tx1"/>
                  </w14:solidFill>
                </w14:textFill>
              </w:rPr>
              <w:t>L</w:t>
            </w:r>
            <w:r>
              <w:rPr>
                <w:rFonts w:hint="eastAsia"/>
                <w:i/>
                <w:iCs/>
                <w:color w:val="000000" w:themeColor="text1"/>
                <w:vertAlign w:val="subscript"/>
                <w14:textFill>
                  <w14:solidFill>
                    <w14:schemeClr w14:val="tx1"/>
                  </w14:solidFill>
                </w14:textFill>
              </w:rPr>
              <w:t>p</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r</w:t>
            </w:r>
            <w:r>
              <w:rPr>
                <w:color w:val="000000" w:themeColor="text1"/>
                <w14:textFill>
                  <w14:solidFill>
                    <w14:schemeClr w14:val="tx1"/>
                  </w14:solidFill>
                </w14:textFill>
              </w:rPr>
              <w:t>)</w:t>
            </w:r>
            <w:r>
              <w:rPr>
                <w:rFonts w:hint="eastAsia"/>
                <w:i/>
                <w:iCs/>
                <w:color w:val="000000" w:themeColor="text1"/>
                <w14:textFill>
                  <w14:solidFill>
                    <w14:schemeClr w14:val="tx1"/>
                  </w14:solidFill>
                </w14:textFill>
              </w:rPr>
              <w:t>=L</w:t>
            </w:r>
            <w:r>
              <w:rPr>
                <w:rFonts w:hint="eastAsia"/>
                <w:i/>
                <w:iCs/>
                <w:color w:val="000000" w:themeColor="text1"/>
                <w:vertAlign w:val="subscript"/>
                <w14:textFill>
                  <w14:solidFill>
                    <w14:schemeClr w14:val="tx1"/>
                  </w14:solidFill>
                </w14:textFill>
              </w:rPr>
              <w:t>p</w:t>
            </w:r>
            <w:r>
              <w:rPr>
                <w:rFonts w:hint="eastAsia" w:cs="Times New Roman"/>
                <w:color w:val="000000" w:themeColor="text1"/>
                <w14:textFill>
                  <w14:solidFill>
                    <w14:schemeClr w14:val="tx1"/>
                  </w14:solidFill>
                </w14:textFill>
              </w:rPr>
              <w:t>(</w:t>
            </w:r>
            <w:r>
              <w:rPr>
                <w:rFonts w:hint="eastAsia"/>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lg</w:t>
            </w:r>
            <w:r>
              <w:rPr>
                <w:color w:val="000000" w:themeColor="text1"/>
                <w14:textFill>
                  <w14:solidFill>
                    <w14:schemeClr w14:val="tx1"/>
                  </w14:solidFill>
                </w14:textFill>
              </w:rPr>
              <w:t>(</w:t>
            </w:r>
            <w:r>
              <w:rPr>
                <w:rFonts w:hint="eastAsia"/>
                <w:i/>
                <w:iCs/>
                <w:color w:val="000000" w:themeColor="text1"/>
                <w14:textFill>
                  <w14:solidFill>
                    <w14:schemeClr w14:val="tx1"/>
                  </w14:solidFill>
                </w14:textFill>
              </w:rPr>
              <w:t>r</w:t>
            </w:r>
            <w:r>
              <w:rPr>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w:t>
            </w:r>
          </w:p>
          <w:p>
            <w:pPr>
              <w:ind w:firstLine="1440" w:firstLineChars="600"/>
              <w:rPr>
                <w:color w:val="000000" w:themeColor="text1"/>
                <w14:textFill>
                  <w14:solidFill>
                    <w14:schemeClr w14:val="tx1"/>
                  </w14:solidFill>
                </w14:textFill>
              </w:rPr>
            </w:pPr>
            <w:r>
              <w:rPr>
                <w:rFonts w:hint="eastAsia"/>
                <w:i/>
                <w:iCs/>
                <w:color w:val="000000" w:themeColor="text1"/>
                <w14:textFill>
                  <w14:solidFill>
                    <w14:schemeClr w14:val="tx1"/>
                  </w14:solidFill>
                </w14:textFill>
              </w:rPr>
              <w:t>L</w:t>
            </w:r>
            <w:r>
              <w:rPr>
                <w:rFonts w:hint="eastAsia"/>
                <w:i/>
                <w:iCs/>
                <w:color w:val="000000" w:themeColor="text1"/>
                <w:vertAlign w:val="subscript"/>
                <w14:textFill>
                  <w14:solidFill>
                    <w14:schemeClr w14:val="tx1"/>
                  </w14:solidFill>
                </w14:textFill>
              </w:rPr>
              <w:t>p</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r</w:t>
            </w:r>
            <w:r>
              <w:rPr>
                <w:color w:val="000000" w:themeColor="text1"/>
                <w14:textFill>
                  <w14:solidFill>
                    <w14:schemeClr w14:val="tx1"/>
                  </w14:solidFill>
                </w14:textFill>
              </w:rPr>
              <w:t>)</w:t>
            </w:r>
            <w:r>
              <w:rPr>
                <w:rFonts w:hint="eastAsia"/>
                <w:i/>
                <w:iCs/>
                <w:color w:val="000000" w:themeColor="text1"/>
                <w14:textFill>
                  <w14:solidFill>
                    <w14:schemeClr w14:val="tx1"/>
                  </w14:solidFill>
                </w14:textFill>
              </w:rPr>
              <w:t>——</w:t>
            </w:r>
            <w:r>
              <w:rPr>
                <w:rFonts w:hint="eastAsia"/>
                <w:color w:val="000000" w:themeColor="text1"/>
                <w14:textFill>
                  <w14:solidFill>
                    <w14:schemeClr w14:val="tx1"/>
                  </w14:solidFill>
                </w14:textFill>
              </w:rPr>
              <w:t>预测点处的A声级。</w:t>
            </w:r>
          </w:p>
          <w:p>
            <w:pPr>
              <w:ind w:firstLine="1440" w:firstLineChars="600"/>
              <w:rPr>
                <w:color w:val="000000" w:themeColor="text1"/>
                <w14:textFill>
                  <w14:solidFill>
                    <w14:schemeClr w14:val="tx1"/>
                  </w14:solidFill>
                </w14:textFill>
              </w:rPr>
            </w:pPr>
            <w:r>
              <w:rPr>
                <w:rFonts w:hint="eastAsia"/>
                <w:i/>
                <w:iCs/>
                <w:color w:val="000000" w:themeColor="text1"/>
                <w14:textFill>
                  <w14:solidFill>
                    <w14:schemeClr w14:val="tx1"/>
                  </w14:solidFill>
                </w14:textFill>
              </w:rPr>
              <w:t>L</w:t>
            </w:r>
            <w:r>
              <w:rPr>
                <w:rFonts w:hint="eastAsia"/>
                <w:i/>
                <w:iCs/>
                <w:color w:val="000000" w:themeColor="text1"/>
                <w:vertAlign w:val="subscript"/>
                <w14:textFill>
                  <w14:solidFill>
                    <w14:schemeClr w14:val="tx1"/>
                  </w14:solidFill>
                </w14:textFill>
              </w:rPr>
              <w:t>p</w:t>
            </w:r>
            <w:r>
              <w:rPr>
                <w:rFonts w:hint="eastAsia" w:cs="Times New Roman"/>
                <w:color w:val="000000" w:themeColor="text1"/>
                <w14:textFill>
                  <w14:solidFill>
                    <w14:schemeClr w14:val="tx1"/>
                  </w14:solidFill>
                </w14:textFill>
              </w:rPr>
              <w:t>(</w:t>
            </w:r>
            <w:r>
              <w:rPr>
                <w:rFonts w:hint="eastAsia"/>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)——距声源r</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处的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w:t>
            </w:r>
          </w:p>
          <w:p>
            <w:pPr>
              <w:ind w:firstLine="1440" w:firstLineChars="600"/>
              <w:rPr>
                <w:color w:val="000000" w:themeColor="text1"/>
                <w14:textFill>
                  <w14:solidFill>
                    <w14:schemeClr w14:val="tx1"/>
                  </w14:solidFill>
                </w14:textFill>
              </w:rPr>
            </w:pPr>
            <w:r>
              <w:rPr>
                <w:rFonts w:hint="eastAsia"/>
                <w:i/>
                <w:iCs/>
                <w:color w:val="000000" w:themeColor="text1"/>
                <w14:textFill>
                  <w14:solidFill>
                    <w14:schemeClr w14:val="tx1"/>
                  </w14:solidFill>
                </w14:textFill>
              </w:rPr>
              <w:t>r</w:t>
            </w:r>
            <w:r>
              <w:rPr>
                <w:rFonts w:hint="eastAsia"/>
                <w:color w:val="000000" w:themeColor="text1"/>
                <w14:textFill>
                  <w14:solidFill>
                    <w14:schemeClr w14:val="tx1"/>
                  </w14:solidFill>
                </w14:textFill>
              </w:rPr>
              <w:t>——预测点距离声源的距离，m。</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公式计算出的各种施工机械在不同距离处的噪声预测值见表上述设备噪声经公式计算，预测结果见表</w:t>
            </w:r>
            <w:r>
              <w:rPr>
                <w:color w:val="000000" w:themeColor="text1"/>
                <w14:textFill>
                  <w14:solidFill>
                    <w14:schemeClr w14:val="tx1"/>
                  </w14:solidFill>
                </w14:textFill>
              </w:rPr>
              <w:t>4.2-2</w:t>
            </w:r>
            <w:r>
              <w:rPr>
                <w:rFonts w:hint="eastAsia"/>
                <w:color w:val="000000" w:themeColor="text1"/>
                <w14:textFill>
                  <w14:solidFill>
                    <w14:schemeClr w14:val="tx1"/>
                  </w14:solidFill>
                </w14:textFill>
              </w:rPr>
              <w:t>。</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4.2-2  </w:t>
            </w:r>
            <w:r>
              <w:rPr>
                <w:rFonts w:hint="eastAsia"/>
                <w:color w:val="000000" w:themeColor="text1"/>
                <w14:textFill>
                  <w14:solidFill>
                    <w14:schemeClr w14:val="tx1"/>
                  </w14:solidFill>
                </w14:textFill>
              </w:rPr>
              <w:t>各施工机械噪声值预测成果表</w:t>
            </w:r>
          </w:p>
          <w:tbl>
            <w:tblPr>
              <w:tblStyle w:val="48"/>
              <w:tblW w:w="819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22"/>
              <w:gridCol w:w="485"/>
              <w:gridCol w:w="491"/>
              <w:gridCol w:w="491"/>
              <w:gridCol w:w="491"/>
              <w:gridCol w:w="491"/>
              <w:gridCol w:w="491"/>
              <w:gridCol w:w="491"/>
              <w:gridCol w:w="624"/>
              <w:gridCol w:w="624"/>
              <w:gridCol w:w="624"/>
              <w:gridCol w:w="625"/>
              <w:gridCol w:w="6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Merge w:val="restart"/>
                  <w:vAlign w:val="center"/>
                </w:tcPr>
                <w:p>
                  <w:pPr>
                    <w:pStyle w:val="29"/>
                    <w:autoSpaceDE w:val="0"/>
                    <w:autoSpaceDN w:val="0"/>
                    <w:rPr>
                      <w:color w:val="000000" w:themeColor="text1"/>
                      <w:kern w:val="0"/>
                      <w:lang w:eastAsia="en-US"/>
                      <w14:textFill>
                        <w14:solidFill>
                          <w14:schemeClr w14:val="tx1"/>
                        </w14:solidFill>
                      </w14:textFill>
                    </w:rPr>
                  </w:pPr>
                  <w:r>
                    <w:rPr>
                      <w:color w:val="000000" w:themeColor="text1"/>
                      <w:kern w:val="0"/>
                      <w:lang w:eastAsia="en-US"/>
                      <w14:textFill>
                        <w14:solidFill>
                          <w14:schemeClr w14:val="tx1"/>
                        </w14:solidFill>
                      </w14:textFill>
                    </w:rPr>
                    <w:t>施工机械</w:t>
                  </w:r>
                </w:p>
              </w:tc>
              <w:tc>
                <w:tcPr>
                  <w:tcW w:w="6568" w:type="dxa"/>
                  <w:gridSpan w:val="12"/>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噪声预测值dB（A）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Merge w:val="continue"/>
                  <w:vAlign w:val="center"/>
                </w:tcPr>
                <w:p>
                  <w:pPr>
                    <w:pStyle w:val="29"/>
                    <w:autoSpaceDE w:val="0"/>
                    <w:autoSpaceDN w:val="0"/>
                    <w:rPr>
                      <w:color w:val="000000" w:themeColor="text1"/>
                      <w:kern w:val="0"/>
                      <w:lang w:eastAsia="zh-CN"/>
                      <w14:textFill>
                        <w14:solidFill>
                          <w14:schemeClr w14:val="tx1"/>
                        </w14:solidFill>
                      </w14:textFill>
                    </w:rPr>
                  </w:pP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5m</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10m</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20m</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40m</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50m</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60m</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80m</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100m</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110m</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120m</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150</w:t>
                  </w:r>
                  <w:r>
                    <w:rPr>
                      <w:rFonts w:hint="eastAsia"/>
                      <w:color w:val="000000" w:themeColor="text1"/>
                      <w:kern w:val="0"/>
                      <w:lang w:eastAsia="zh-CN"/>
                      <w14:textFill>
                        <w14:solidFill>
                          <w14:schemeClr w14:val="tx1"/>
                        </w14:solidFill>
                      </w14:textFill>
                    </w:rPr>
                    <w:t>m</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200</w:t>
                  </w:r>
                  <w:r>
                    <w:rPr>
                      <w:rFonts w:hint="eastAsia"/>
                      <w:color w:val="000000" w:themeColor="text1"/>
                      <w:kern w:val="0"/>
                      <w:lang w:eastAsia="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压路机</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81.0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75.0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69.0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62.9</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61.0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59.4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56.9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55.0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53.4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51.5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装载机</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70.0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58.0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51.9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50.0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49.2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48.4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46.5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挖掘机</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84.0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78.0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72.0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65.9</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62.4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59.9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58.0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57.2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56.4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混凝土</w:t>
                  </w:r>
                  <w:r>
                    <w:rPr>
                      <w:color w:val="000000" w:themeColor="text1"/>
                      <w:kern w:val="0"/>
                      <w:lang w:eastAsia="zh-CN"/>
                      <w14:textFill>
                        <w14:solidFill>
                          <w14:schemeClr w14:val="tx1"/>
                        </w14:solidFill>
                      </w14:textFill>
                    </w:rPr>
                    <w:t>运输车</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60.0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48.0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44.4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41.9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40.0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39.2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38.4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36.5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34.0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吊车</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70.0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58.0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51.9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50.0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49.2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48.4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46.5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发电机</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84.0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78.0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72.0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66.0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64.0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62.4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59.9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58.0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57.2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56.4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c>
                <w:tcPr>
                  <w:tcW w:w="1622" w:type="dxa"/>
                  <w:vAlign w:val="center"/>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混凝土振动器</w:t>
                  </w:r>
                </w:p>
              </w:tc>
              <w:tc>
                <w:tcPr>
                  <w:tcW w:w="48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81.0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75.0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69.0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63.0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61.0</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59.4</w:t>
                  </w:r>
                </w:p>
              </w:tc>
              <w:tc>
                <w:tcPr>
                  <w:tcW w:w="491"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56.9</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55.0</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54.2</w:t>
                  </w:r>
                </w:p>
              </w:tc>
              <w:tc>
                <w:tcPr>
                  <w:tcW w:w="624"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53.4</w:t>
                  </w:r>
                </w:p>
              </w:tc>
              <w:tc>
                <w:tcPr>
                  <w:tcW w:w="625"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51.5</w:t>
                  </w:r>
                </w:p>
              </w:tc>
              <w:tc>
                <w:tcPr>
                  <w:tcW w:w="640" w:type="dxa"/>
                  <w:vAlign w:val="center"/>
                </w:tcPr>
                <w:p>
                  <w:pPr>
                    <w:pStyle w:val="29"/>
                    <w:autoSpaceDE w:val="0"/>
                    <w:autoSpaceDN w:val="0"/>
                    <w:rPr>
                      <w:color w:val="000000" w:themeColor="text1"/>
                      <w:kern w:val="0"/>
                      <w:lang w:eastAsia="zh-CN"/>
                      <w14:textFill>
                        <w14:solidFill>
                          <w14:schemeClr w14:val="tx1"/>
                        </w14:solidFill>
                      </w14:textFill>
                    </w:rPr>
                  </w:pPr>
                  <w:r>
                    <w:rPr>
                      <w:rFonts w:eastAsia="等线" w:cs="Times New Roman"/>
                      <w:color w:val="000000" w:themeColor="text1"/>
                      <w:kern w:val="0"/>
                      <w:szCs w:val="21"/>
                      <w:lang w:eastAsia="zh-CN"/>
                      <w14:textFill>
                        <w14:solidFill>
                          <w14:schemeClr w14:val="tx1"/>
                        </w14:solidFill>
                      </w14:textFill>
                    </w:rPr>
                    <w:t>49.0</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项目夜间不施工，根据预测可知，单机施工机械噪声昼间在距施工场地</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m处可满足建筑施工场界环境噪声排放标准要求。如果有多种机械设备同时施工，则噪声影响更大。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）最不利工况下项目施工影响范围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计算最不利情况，即所有声源同时作用工况下，在不同距离处的的噪声贡献值，预测结果见表</w:t>
            </w:r>
            <w:r>
              <w:rPr>
                <w:color w:val="000000" w:themeColor="text1"/>
                <w14:textFill>
                  <w14:solidFill>
                    <w14:schemeClr w14:val="tx1"/>
                  </w14:solidFill>
                </w14:textFill>
              </w:rPr>
              <w:t>4.2-3</w:t>
            </w:r>
            <w:r>
              <w:rPr>
                <w:rFonts w:hint="eastAsia"/>
                <w:color w:val="000000" w:themeColor="text1"/>
                <w14:textFill>
                  <w14:solidFill>
                    <w14:schemeClr w14:val="tx1"/>
                  </w14:solidFill>
                </w14:textFill>
              </w:rPr>
              <w:t>。</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4.2-3</w:t>
            </w:r>
            <w:r>
              <w:rPr>
                <w:rFonts w:hint="eastAsia"/>
                <w:color w:val="000000" w:themeColor="text1"/>
                <w14:textFill>
                  <w14:solidFill>
                    <w14:schemeClr w14:val="tx1"/>
                  </w14:solidFill>
                </w14:textFill>
              </w:rPr>
              <w:t xml:space="preserve">  最不利工况下施工噪声贡献值预测成果</w:t>
            </w:r>
          </w:p>
          <w:tbl>
            <w:tblPr>
              <w:tblStyle w:val="48"/>
              <w:tblW w:w="819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600"/>
              <w:gridCol w:w="604"/>
              <w:gridCol w:w="604"/>
              <w:gridCol w:w="768"/>
              <w:gridCol w:w="768"/>
              <w:gridCol w:w="765"/>
              <w:gridCol w:w="765"/>
              <w:gridCol w:w="768"/>
              <w:gridCol w:w="765"/>
              <w:gridCol w:w="7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c>
                <w:tcPr>
                  <w:tcW w:w="1014" w:type="dxa"/>
                  <w:vMerge w:val="restart"/>
                  <w:vAlign w:val="center"/>
                </w:tcPr>
                <w:p>
                  <w:pPr>
                    <w:pStyle w:val="29"/>
                    <w:autoSpaceDE w:val="0"/>
                    <w:autoSpaceDN w:val="0"/>
                    <w:rPr>
                      <w:color w:val="000000" w:themeColor="text1"/>
                      <w:kern w:val="0"/>
                      <w:lang w:eastAsia="en-US"/>
                      <w14:textFill>
                        <w14:solidFill>
                          <w14:schemeClr w14:val="tx1"/>
                        </w14:solidFill>
                      </w14:textFill>
                    </w:rPr>
                  </w:pPr>
                  <w:r>
                    <w:rPr>
                      <w:color w:val="000000" w:themeColor="text1"/>
                      <w:kern w:val="0"/>
                      <w:lang w:eastAsia="en-US"/>
                      <w14:textFill>
                        <w14:solidFill>
                          <w14:schemeClr w14:val="tx1"/>
                        </w14:solidFill>
                      </w14:textFill>
                    </w:rPr>
                    <w:t>距离</w:t>
                  </w:r>
                </w:p>
              </w:tc>
              <w:tc>
                <w:tcPr>
                  <w:tcW w:w="7176" w:type="dxa"/>
                  <w:gridSpan w:val="10"/>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噪声</w:t>
                  </w:r>
                  <w:r>
                    <w:rPr>
                      <w:color w:val="000000" w:themeColor="text1"/>
                      <w:spacing w:val="-3"/>
                      <w:kern w:val="0"/>
                      <w:lang w:eastAsia="zh-CN"/>
                      <w14:textFill>
                        <w14:solidFill>
                          <w14:schemeClr w14:val="tx1"/>
                        </w14:solidFill>
                      </w14:textFill>
                    </w:rPr>
                    <w:t>预</w:t>
                  </w:r>
                  <w:r>
                    <w:rPr>
                      <w:color w:val="000000" w:themeColor="text1"/>
                      <w:kern w:val="0"/>
                      <w:lang w:eastAsia="zh-CN"/>
                      <w14:textFill>
                        <w14:solidFill>
                          <w14:schemeClr w14:val="tx1"/>
                        </w14:solidFill>
                      </w14:textFill>
                    </w:rPr>
                    <w:t>测值</w:t>
                  </w:r>
                  <w:r>
                    <w:rPr>
                      <w:color w:val="000000" w:themeColor="text1"/>
                      <w:kern w:val="0"/>
                      <w:lang w:eastAsia="zh-CN"/>
                      <w14:textFill>
                        <w14:solidFill>
                          <w14:schemeClr w14:val="tx1"/>
                        </w14:solidFill>
                      </w14:textFill>
                    </w:rPr>
                    <w:tab/>
                  </w:r>
                  <w:r>
                    <w:rPr>
                      <w:rFonts w:eastAsia="Times New Roman"/>
                      <w:color w:val="000000" w:themeColor="text1"/>
                      <w:kern w:val="0"/>
                      <w:lang w:eastAsia="zh-CN"/>
                      <w14:textFill>
                        <w14:solidFill>
                          <w14:schemeClr w14:val="tx1"/>
                        </w14:solidFill>
                      </w14:textFill>
                    </w:rPr>
                    <w:t>dB</w:t>
                  </w:r>
                  <w:r>
                    <w:rPr>
                      <w:rFonts w:hint="eastAsia" w:ascii="宋体" w:hAnsi="宋体" w:cs="宋体"/>
                      <w:color w:val="000000" w:themeColor="text1"/>
                      <w:kern w:val="0"/>
                      <w:lang w:eastAsia="zh-CN"/>
                      <w14:textFill>
                        <w14:solidFill>
                          <w14:schemeClr w14:val="tx1"/>
                        </w14:solidFill>
                      </w14:textFill>
                    </w:rPr>
                    <w:t>（</w:t>
                  </w:r>
                  <w:r>
                    <w:rPr>
                      <w:rFonts w:eastAsia="Times New Roman"/>
                      <w:color w:val="000000" w:themeColor="text1"/>
                      <w:kern w:val="0"/>
                      <w:lang w:eastAsia="zh-CN"/>
                      <w14:textFill>
                        <w14:solidFill>
                          <w14:schemeClr w14:val="tx1"/>
                        </w14:solidFill>
                      </w14:textFill>
                    </w:rPr>
                    <w:t>A</w:t>
                  </w:r>
                  <w:r>
                    <w:rPr>
                      <w:rFonts w:hint="eastAsia" w:ascii="宋体" w:hAnsi="宋体" w:cs="宋体"/>
                      <w:color w:val="000000" w:themeColor="text1"/>
                      <w:kern w:val="0"/>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c>
                <w:tcPr>
                  <w:tcW w:w="1014" w:type="dxa"/>
                  <w:vMerge w:val="continue"/>
                  <w:vAlign w:val="center"/>
                </w:tcPr>
                <w:p>
                  <w:pPr>
                    <w:pStyle w:val="29"/>
                    <w:autoSpaceDE w:val="0"/>
                    <w:autoSpaceDN w:val="0"/>
                    <w:rPr>
                      <w:color w:val="000000" w:themeColor="text1"/>
                      <w:kern w:val="0"/>
                      <w:sz w:val="2"/>
                      <w:szCs w:val="2"/>
                      <w:lang w:eastAsia="zh-CN"/>
                      <w14:textFill>
                        <w14:solidFill>
                          <w14:schemeClr w14:val="tx1"/>
                        </w14:solidFill>
                      </w14:textFill>
                    </w:rPr>
                  </w:pPr>
                </w:p>
              </w:tc>
              <w:tc>
                <w:tcPr>
                  <w:tcW w:w="600"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5m</w:t>
                  </w:r>
                </w:p>
              </w:tc>
              <w:tc>
                <w:tcPr>
                  <w:tcW w:w="604"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10m</w:t>
                  </w:r>
                </w:p>
              </w:tc>
              <w:tc>
                <w:tcPr>
                  <w:tcW w:w="604"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20m</w:t>
                  </w:r>
                </w:p>
              </w:tc>
              <w:tc>
                <w:tcPr>
                  <w:tcW w:w="768"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40m</w:t>
                  </w:r>
                </w:p>
              </w:tc>
              <w:tc>
                <w:tcPr>
                  <w:tcW w:w="768"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50m</w:t>
                  </w:r>
                </w:p>
              </w:tc>
              <w:tc>
                <w:tcPr>
                  <w:tcW w:w="765" w:type="dxa"/>
                  <w:tcBorders>
                    <w:right w:val="single" w:color="auto" w:sz="4" w:space="0"/>
                  </w:tcBorders>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60m</w:t>
                  </w:r>
                </w:p>
              </w:tc>
              <w:tc>
                <w:tcPr>
                  <w:tcW w:w="765" w:type="dxa"/>
                  <w:tcBorders>
                    <w:left w:val="single" w:color="auto" w:sz="4" w:space="0"/>
                  </w:tcBorders>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80m</w:t>
                  </w:r>
                </w:p>
              </w:tc>
              <w:tc>
                <w:tcPr>
                  <w:tcW w:w="768" w:type="dxa"/>
                  <w:tcBorders>
                    <w:left w:val="single" w:color="auto" w:sz="4" w:space="0"/>
                  </w:tcBorders>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100m</w:t>
                  </w:r>
                </w:p>
              </w:tc>
              <w:tc>
                <w:tcPr>
                  <w:tcW w:w="765" w:type="dxa"/>
                  <w:tcBorders>
                    <w:left w:val="single" w:color="auto" w:sz="4" w:space="0"/>
                    <w:right w:val="single" w:color="auto" w:sz="4" w:space="0"/>
                  </w:tcBorders>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110m</w:t>
                  </w:r>
                </w:p>
              </w:tc>
              <w:tc>
                <w:tcPr>
                  <w:tcW w:w="769" w:type="dxa"/>
                  <w:tcBorders>
                    <w:left w:val="single" w:color="auto" w:sz="4" w:space="0"/>
                  </w:tcBorders>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120m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c>
                <w:tcPr>
                  <w:tcW w:w="1014" w:type="dxa"/>
                  <w:vAlign w:val="center"/>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预测值</w:t>
                  </w:r>
                </w:p>
              </w:tc>
              <w:tc>
                <w:tcPr>
                  <w:tcW w:w="600" w:type="dxa"/>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89.2</w:t>
                  </w:r>
                </w:p>
              </w:tc>
              <w:tc>
                <w:tcPr>
                  <w:tcW w:w="604" w:type="dxa"/>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83.2</w:t>
                  </w:r>
                </w:p>
              </w:tc>
              <w:tc>
                <w:tcPr>
                  <w:tcW w:w="604" w:type="dxa"/>
                  <w:vAlign w:val="bottom"/>
                </w:tcPr>
                <w:p>
                  <w:pPr>
                    <w:pStyle w:val="29"/>
                    <w:autoSpaceDE w:val="0"/>
                    <w:autoSpaceDN w:val="0"/>
                    <w:rPr>
                      <w:color w:val="000000" w:themeColor="text1"/>
                      <w:kern w:val="0"/>
                      <w:lang w:eastAsia="zh-CN"/>
                      <w14:textFill>
                        <w14:solidFill>
                          <w14:schemeClr w14:val="tx1"/>
                        </w14:solidFill>
                      </w14:textFill>
                    </w:rPr>
                  </w:pPr>
                  <w:r>
                    <w:rPr>
                      <w:color w:val="000000" w:themeColor="text1"/>
                      <w:kern w:val="0"/>
                      <w:lang w:eastAsia="zh-CN"/>
                      <w14:textFill>
                        <w14:solidFill>
                          <w14:schemeClr w14:val="tx1"/>
                        </w14:solidFill>
                      </w14:textFill>
                    </w:rPr>
                    <w:t>77.2</w:t>
                  </w:r>
                </w:p>
              </w:tc>
              <w:tc>
                <w:tcPr>
                  <w:tcW w:w="768" w:type="dxa"/>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71.2</w:t>
                  </w:r>
                </w:p>
              </w:tc>
              <w:tc>
                <w:tcPr>
                  <w:tcW w:w="768" w:type="dxa"/>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69.2</w:t>
                  </w:r>
                </w:p>
              </w:tc>
              <w:tc>
                <w:tcPr>
                  <w:tcW w:w="765" w:type="dxa"/>
                  <w:tcBorders>
                    <w:right w:val="single" w:color="auto" w:sz="4" w:space="0"/>
                  </w:tcBorders>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67.7</w:t>
                  </w:r>
                </w:p>
              </w:tc>
              <w:tc>
                <w:tcPr>
                  <w:tcW w:w="765" w:type="dxa"/>
                  <w:tcBorders>
                    <w:left w:val="single" w:color="auto" w:sz="4" w:space="0"/>
                  </w:tcBorders>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65.2</w:t>
                  </w:r>
                </w:p>
              </w:tc>
              <w:tc>
                <w:tcPr>
                  <w:tcW w:w="768" w:type="dxa"/>
                  <w:tcBorders>
                    <w:left w:val="single" w:color="auto" w:sz="4" w:space="0"/>
                  </w:tcBorders>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63.2</w:t>
                  </w:r>
                </w:p>
              </w:tc>
              <w:tc>
                <w:tcPr>
                  <w:tcW w:w="765" w:type="dxa"/>
                  <w:tcBorders>
                    <w:left w:val="single" w:color="auto" w:sz="4" w:space="0"/>
                    <w:right w:val="single" w:color="auto" w:sz="4" w:space="0"/>
                  </w:tcBorders>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62.4</w:t>
                  </w:r>
                </w:p>
              </w:tc>
              <w:tc>
                <w:tcPr>
                  <w:tcW w:w="769" w:type="dxa"/>
                  <w:tcBorders>
                    <w:left w:val="single" w:color="auto" w:sz="4" w:space="0"/>
                  </w:tcBorders>
                  <w:vAlign w:val="bottom"/>
                </w:tcPr>
                <w:p>
                  <w:pPr>
                    <w:pStyle w:val="29"/>
                    <w:autoSpaceDE w:val="0"/>
                    <w:autoSpaceDN w:val="0"/>
                    <w:rPr>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61.6</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项目夜间不施工，预测表明：所有声源同时作用时，在仅考虑几何发散的情况下，昼间施工</w:t>
            </w:r>
            <w:r>
              <w:rPr>
                <w:color w:val="000000" w:themeColor="text1"/>
                <w14:textFill>
                  <w14:solidFill>
                    <w14:schemeClr w14:val="tx1"/>
                  </w14:solidFill>
                </w14:textFill>
              </w:rPr>
              <w:t>46</w:t>
            </w:r>
            <w:r>
              <w:rPr>
                <w:rFonts w:hint="eastAsia"/>
                <w:color w:val="000000" w:themeColor="text1"/>
                <w14:textFill>
                  <w14:solidFill>
                    <w14:schemeClr w14:val="tx1"/>
                  </w14:solidFill>
                </w14:textFill>
              </w:rPr>
              <w:t>m处可满足建筑施工场界环境噪声排放标准要求。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（3）项目施工对居民点影响预测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项目风机周边5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m范围内无居民点分布，最不利工况下，对周边居民无影响。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（4）施工交通运输噪声影响分析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根据同类工程作业场噪声监测资料，工程运输车辆噪声源强为73dB</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（距源强5m处）。采用《环境影响评价技术导则 声环境》（HJT2.4-20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）中推荐的公路交通运输噪声预测模式：</w:t>
            </w:r>
          </w:p>
          <w:p>
            <w:pPr>
              <w:pStyle w:val="29"/>
              <w:rPr>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eq</m:t>
                    </m:r>
                    <m:ctrlPr>
                      <w:rPr>
                        <w:rFonts w:ascii="Cambria Math" w:hAnsi="Cambria Math" w:cs="Times New Roman"/>
                        <w:i/>
                        <w:color w:val="000000" w:themeColor="text1"/>
                        <w14:textFill>
                          <w14:solidFill>
                            <w14:schemeClr w14:val="tx1"/>
                          </w14:solidFill>
                        </w14:textFill>
                      </w:rPr>
                    </m:ctrlPr>
                  </m:sub>
                </m:sSub>
                <m:sSub>
                  <m:sSubPr>
                    <m:ctrlPr>
                      <w:rPr>
                        <w:rFonts w:ascii="Cambria Math" w:hAnsi="Cambria Math" w:cs="Times New Roman"/>
                        <w:i/>
                        <w:color w:val="000000" w:themeColor="text1"/>
                        <w14:textFill>
                          <w14:solidFill>
                            <w14:schemeClr w14:val="tx1"/>
                          </w14:solidFill>
                        </w14:textFill>
                      </w:rPr>
                    </m:ctrlPr>
                  </m:sSubPr>
                  <m:e>
                    <m:d>
                      <m:dPr>
                        <m:ctrlPr>
                          <w:rPr>
                            <w:rFonts w:ascii="Cambria Math" w:hAnsi="Cambria Math" w:cs="Times New Roman"/>
                            <w:i/>
                            <w:color w:val="000000" w:themeColor="text1"/>
                            <w14:textFill>
                              <w14:solidFill>
                                <w14:schemeClr w14:val="tx1"/>
                              </w14:solidFill>
                            </w14:textFill>
                          </w:rPr>
                        </m:ctrlPr>
                      </m:dPr>
                      <m:e>
                        <m:r>
                          <w:rPr>
                            <w:rFonts w:ascii="Cambria Math" w:hAnsi="Cambria Math" w:cs="Times New Roman"/>
                            <w:color w:val="000000" w:themeColor="text1"/>
                            <w14:textFill>
                              <w14:solidFill>
                                <w14:schemeClr w14:val="tx1"/>
                              </w14:solidFill>
                            </w14:textFill>
                          </w:rPr>
                          <m:t>ℎ</m:t>
                        </m:r>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i</m:t>
                    </m:r>
                    <m:ctrlPr>
                      <w:rPr>
                        <w:rFonts w:ascii="Cambria Math" w:hAnsi="Cambria Math" w:cs="Times New Roman"/>
                        <w:i/>
                        <w:color w:val="000000" w:themeColor="text1"/>
                        <w14:textFill>
                          <w14:solidFill>
                            <w14:schemeClr w14:val="tx1"/>
                          </w14:solidFill>
                        </w14:textFill>
                      </w:rPr>
                    </m:ctrlPr>
                  </m:sub>
                </m:sSub>
                <m: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i/>
                        <w:color w:val="000000" w:themeColor="text1"/>
                        <w14:textFill>
                          <w14:solidFill>
                            <w14:schemeClr w14:val="tx1"/>
                          </w14:solidFill>
                        </w14:textFill>
                      </w:rPr>
                    </m:ctrlPr>
                  </m:sSubPr>
                  <m:e>
                    <m:d>
                      <m:dPr>
                        <m:ctrlPr>
                          <w:rPr>
                            <w:rFonts w:ascii="Cambria Math" w:hAnsi="Cambria Math" w:cs="Times New Roman"/>
                            <w:i/>
                            <w:color w:val="000000" w:themeColor="text1"/>
                            <w14:textFill>
                              <w14:solidFill>
                                <w14:schemeClr w14:val="tx1"/>
                              </w14:solidFill>
                            </w14:textFill>
                          </w:rPr>
                        </m:ctrlPr>
                      </m:dPr>
                      <m:e>
                        <m:acc>
                          <m:accPr>
                            <m:chr m:val="̅"/>
                            <m:ctrlPr>
                              <w:rPr>
                                <w:rFonts w:ascii="Cambria Math" w:hAnsi="Cambria Math" w:cs="Times New Roman"/>
                                <w:i/>
                                <w:color w:val="000000" w:themeColor="text1"/>
                                <w14:textFill>
                                  <w14:solidFill>
                                    <w14:schemeClr w14:val="tx1"/>
                                  </w14:solidFill>
                                </w14:textFill>
                              </w:rPr>
                            </m:ctrlPr>
                          </m:accPr>
                          <m:e>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0E</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e>
                        </m:acc>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i</m:t>
                    </m:r>
                    <m:ctrlPr>
                      <w:rPr>
                        <w:rFonts w:ascii="Cambria Math" w:hAnsi="Cambria Math" w:cs="Times New Roman"/>
                        <w:i/>
                        <w:color w:val="000000" w:themeColor="text1"/>
                        <w14:textFill>
                          <w14:solidFill>
                            <w14:schemeClr w14:val="tx1"/>
                          </w14:solidFill>
                        </w14:textFill>
                      </w:rPr>
                    </m:ctrlPr>
                  </m:sub>
                </m:sSub>
                <m:r>
                  <w:rPr>
                    <w:rFonts w:ascii="Cambria Math" w:hAnsi="Cambria Math" w:cs="Times New Roman"/>
                    <w:color w:val="000000" w:themeColor="text1"/>
                    <w14:textFill>
                      <w14:solidFill>
                        <w14:schemeClr w14:val="tx1"/>
                      </w14:solidFill>
                    </w14:textFill>
                  </w:rPr>
                  <m:t>+10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color w:val="000000" w:themeColor="text1"/>
                        <w14:textFill>
                          <w14:solidFill>
                            <w14:schemeClr w14:val="tx1"/>
                          </w14:solidFill>
                        </w14:textFill>
                      </w:rPr>
                    </m:ctrlPr>
                  </m:fName>
                  <m:e>
                    <m:d>
                      <m:dPr>
                        <m:ctrlPr>
                          <w:rPr>
                            <w:rFonts w:ascii="Cambria Math" w:hAnsi="Cambria Math" w:cs="Times New Roman"/>
                            <w:i/>
                            <w:color w:val="000000" w:themeColor="text1"/>
                            <w14:textFill>
                              <w14:solidFill>
                                <w14:schemeClr w14:val="tx1"/>
                              </w14:solidFill>
                            </w14:textFill>
                          </w:rPr>
                        </m:ctrlPr>
                      </m:dPr>
                      <m:e>
                        <m:f>
                          <m:fPr>
                            <m:ctrlPr>
                              <w:rPr>
                                <w:rFonts w:ascii="Cambria Math" w:hAnsi="Cambria Math" w:cs="Times New Roman"/>
                                <w:i/>
                                <w:color w:val="000000" w:themeColor="text1"/>
                                <w14:textFill>
                                  <w14:solidFill>
                                    <w14:schemeClr w14:val="tx1"/>
                                  </w14:solidFill>
                                </w14:textFill>
                              </w:rPr>
                            </m:ctrlPr>
                          </m:fPr>
                          <m:num>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N</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i</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V</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i</m:t>
                                </m:r>
                                <m:ctrlPr>
                                  <w:rPr>
                                    <w:rFonts w:ascii="Cambria Math" w:hAnsi="Cambria Math" w:cs="Times New Roman"/>
                                    <w:i/>
                                    <w:color w:val="000000" w:themeColor="text1"/>
                                    <w14:textFill>
                                      <w14:solidFill>
                                        <w14:schemeClr w14:val="tx1"/>
                                      </w14:solidFill>
                                    </w14:textFill>
                                  </w:rPr>
                                </m:ctrlPr>
                              </m:sub>
                            </m:sSub>
                            <m:r>
                              <w:rPr>
                                <w:rFonts w:ascii="Cambria Math" w:hAnsi="Cambria Math" w:cs="Times New Roman"/>
                                <w:color w:val="000000" w:themeColor="text1"/>
                                <w14:textFill>
                                  <w14:solidFill>
                                    <w14:schemeClr w14:val="tx1"/>
                                  </w14:solidFill>
                                </w14:textFill>
                              </w:rPr>
                              <m:t>T</m:t>
                            </m:r>
                            <m:ctrlPr>
                              <w:rPr>
                                <w:rFonts w:ascii="Cambria Math" w:hAnsi="Cambria Math" w:cs="Times New Roman"/>
                                <w:i/>
                                <w:color w:val="000000" w:themeColor="text1"/>
                                <w14:textFill>
                                  <w14:solidFill>
                                    <w14:schemeClr w14:val="tx1"/>
                                  </w14:solidFill>
                                </w14:textFill>
                              </w:rPr>
                            </m:ctrlPr>
                          </m:den>
                        </m:f>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color w:val="000000" w:themeColor="text1"/>
                        <w14:textFill>
                          <w14:solidFill>
                            <w14:schemeClr w14:val="tx1"/>
                          </w14:solidFill>
                        </w14:textFill>
                      </w:rPr>
                    </m:ctrlPr>
                  </m:e>
                </m:func>
                <m: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距离</m:t>
                    </m:r>
                    <m:ctrlPr>
                      <w:rPr>
                        <w:rFonts w:ascii="Cambria Math" w:hAnsi="Cambria Math" w:cs="Times New Roman"/>
                        <w:i/>
                        <w:color w:val="000000" w:themeColor="text1"/>
                        <w14:textFill>
                          <w14:solidFill>
                            <w14:schemeClr w14:val="tx1"/>
                          </w14:solidFill>
                        </w14:textFill>
                      </w:rPr>
                    </m:ctrlPr>
                  </m:sub>
                </m:sSub>
                <m:r>
                  <w:rPr>
                    <w:rFonts w:ascii="Cambria Math" w:hAnsi="Cambria Math" w:cs="Times New Roman"/>
                    <w:color w:val="000000" w:themeColor="text1"/>
                    <w14:textFill>
                      <w14:solidFill>
                        <w14:schemeClr w14:val="tx1"/>
                      </w14:solidFill>
                    </w14:textFill>
                  </w:rPr>
                  <m:t>+10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color w:val="000000" w:themeColor="text1"/>
                        <w14:textFill>
                          <w14:solidFill>
                            <w14:schemeClr w14:val="tx1"/>
                          </w14:solidFill>
                        </w14:textFill>
                      </w:rPr>
                    </m:ctrlPr>
                  </m:fName>
                  <m:e>
                    <m:d>
                      <m:dPr>
                        <m:ctrlPr>
                          <w:rPr>
                            <w:rFonts w:ascii="Cambria Math" w:hAnsi="Cambria Math" w:cs="Times New Roman"/>
                            <w:color w:val="000000" w:themeColor="text1"/>
                            <w14:textFill>
                              <w14:solidFill>
                                <w14:schemeClr w14:val="tx1"/>
                              </w14:solidFill>
                            </w14:textFill>
                          </w:rPr>
                        </m:ctrlPr>
                      </m:dPr>
                      <m:e>
                        <m:f>
                          <m:fPr>
                            <m:ctrlPr>
                              <w:rPr>
                                <w:rFonts w:ascii="Cambria Math" w:hAnsi="Cambria Math" w:cs="Times New Roman"/>
                                <w:color w:val="000000" w:themeColor="text1"/>
                                <w14:textFill>
                                  <w14:solidFill>
                                    <w14:schemeClr w14:val="tx1"/>
                                  </w14:solidFill>
                                </w14:textFill>
                              </w:rPr>
                            </m:ctrlPr>
                          </m:fPr>
                          <m:num>
                            <m:sSub>
                              <m:sSubPr>
                                <m:ctrlPr>
                                  <w:rPr>
                                    <w:rFonts w:ascii="Cambria Math" w:hAnsi="Cambria Math" w:cs="Times New Roman"/>
                                    <w:iCs/>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ψ</m:t>
                                </m:r>
                                <m:ctrlPr>
                                  <w:rPr>
                                    <w:rFonts w:ascii="Cambria Math" w:hAnsi="Cambria Math" w:cs="Times New Roman"/>
                                    <w:iCs/>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1</m:t>
                                </m:r>
                                <m:ctrlPr>
                                  <w:rPr>
                                    <w:rFonts w:ascii="Cambria Math" w:hAnsi="Cambria Math" w:cs="Times New Roman"/>
                                    <w:iCs/>
                                    <w:color w:val="000000" w:themeColor="text1"/>
                                    <w14:textFill>
                                      <w14:solidFill>
                                        <w14:schemeClr w14:val="tx1"/>
                                      </w14:solidFill>
                                    </w14:textFill>
                                  </w:rPr>
                                </m:ctrlPr>
                              </m:sub>
                            </m:sSub>
                            <m: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iCs/>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ψ</m:t>
                                </m:r>
                                <m:ctrlPr>
                                  <w:rPr>
                                    <w:rFonts w:ascii="Cambria Math" w:hAnsi="Cambria Math" w:cs="Times New Roman"/>
                                    <w:iCs/>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2</m:t>
                                </m:r>
                                <m:ctrlPr>
                                  <w:rPr>
                                    <w:rFonts w:ascii="Cambria Math" w:hAnsi="Cambria Math" w:cs="Times New Roman"/>
                                    <w:iCs/>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r>
                              <w:rPr>
                                <w:rFonts w:ascii="Cambria Math" w:hAnsi="Cambria Math" w:cs="Times New Roman"/>
                                <w:color w:val="000000" w:themeColor="text1"/>
                                <w14:textFill>
                                  <w14:solidFill>
                                    <w14:schemeClr w14:val="tx1"/>
                                  </w14:solidFill>
                                </w14:textFill>
                              </w:rPr>
                              <m:t>π</m:t>
                            </m:r>
                            <m:ctrlPr>
                              <w:rPr>
                                <w:rFonts w:ascii="Cambria Math" w:hAnsi="Cambria Math" w:cs="Times New Roman"/>
                                <w:color w:val="000000" w:themeColor="text1"/>
                                <w14:textFill>
                                  <w14:solidFill>
                                    <w14:schemeClr w14:val="tx1"/>
                                  </w14:solidFill>
                                </w14:textFill>
                              </w:rPr>
                            </m:ctrlPr>
                          </m:den>
                        </m:f>
                        <m:ctrlPr>
                          <w:rPr>
                            <w:rFonts w:ascii="Cambria Math" w:hAnsi="Cambria Math" w:cs="Times New Roman"/>
                            <w:color w:val="000000" w:themeColor="text1"/>
                            <w14:textFill>
                              <w14:solidFill>
                                <w14:schemeClr w14:val="tx1"/>
                              </w14:solidFill>
                            </w14:textFill>
                          </w:rPr>
                        </m:ctrlPr>
                      </m:e>
                    </m:d>
                    <m:ctrlPr>
                      <w:rPr>
                        <w:rFonts w:ascii="Cambria Math" w:hAnsi="Cambria Math" w:cs="Times New Roman"/>
                        <w:color w:val="000000" w:themeColor="text1"/>
                        <w14:textFill>
                          <w14:solidFill>
                            <w14:schemeClr w14:val="tx1"/>
                          </w14:solidFill>
                        </w14:textFill>
                      </w:rPr>
                    </m:ctrlPr>
                  </m:e>
                </m:func>
                <m:r>
                  <m:rPr>
                    <m:sty m:val="p"/>
                  </m:rPr>
                  <w:rPr>
                    <w:rFonts w:ascii="Cambria Math" w:hAnsi="Cambria Math" w:cs="Times New Roman"/>
                    <w:color w:val="000000" w:themeColor="text1"/>
                    <w14:textFill>
                      <w14:solidFill>
                        <w14:schemeClr w14:val="tx1"/>
                      </w14:solidFill>
                    </w14:textFill>
                  </w:rPr>
                  <m:t>+∆</m:t>
                </m:r>
                <m:r>
                  <w:rPr>
                    <w:rFonts w:ascii="Cambria Math" w:hAnsi="Cambria Math" w:cs="Times New Roman"/>
                    <w:color w:val="000000" w:themeColor="text1"/>
                    <w14:textFill>
                      <w14:solidFill>
                        <w14:schemeClr w14:val="tx1"/>
                      </w14:solidFill>
                    </w14:textFill>
                  </w:rPr>
                  <m:t>L</m:t>
                </m:r>
                <m:r>
                  <m:rPr>
                    <m:sty m:val="p"/>
                  </m:rPr>
                  <w:rPr>
                    <w:rFonts w:ascii="Cambria Math" w:hAnsi="Cambria Math" w:cs="Times New Roman"/>
                    <w:color w:val="000000" w:themeColor="text1"/>
                    <w14:textFill>
                      <w14:solidFill>
                        <w14:schemeClr w14:val="tx1"/>
                      </w14:solidFill>
                    </w14:textFill>
                  </w:rPr>
                  <m:t>−16</m:t>
                </m:r>
              </m:oMath>
            </m:oMathPara>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m:oMath>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eq</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i</m:t>
                  </m:r>
                  <m:ctrlPr>
                    <w:rPr>
                      <w:rFonts w:ascii="Cambria Math" w:hAnsi="Cambria Math"/>
                      <w:i/>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—第i类车的小时等效声级，dB(A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ind w:firstLine="1200" w:firstLineChars="500"/>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w:rPr>
                      <w:rFonts w:hint="eastAsia" w:ascii="Cambria Math" w:hAnsi="Cambria Math"/>
                      <w:color w:val="000000" w:themeColor="text1"/>
                      <w14:textFill>
                        <w14:solidFill>
                          <w14:schemeClr w14:val="tx1"/>
                        </w14:solidFill>
                      </w14:textFill>
                    </w:rPr>
                    <m:t>(</m:t>
                  </m:r>
                  <m:bar>
                    <m:barPr>
                      <m:pos m:val="top"/>
                      <m:ctrlPr>
                        <w:rPr>
                          <w:rFonts w:ascii="Cambria Math" w:hAnsi="Cambria Math"/>
                          <w:i/>
                          <w:color w:val="000000" w:themeColor="text1"/>
                          <w14:textFill>
                            <w14:solidFill>
                              <w14:schemeClr w14:val="tx1"/>
                            </w14:solidFill>
                          </w14:textFill>
                        </w:rPr>
                      </m:ctrlPr>
                    </m:barPr>
                    <m:e>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OE</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e>
                  </m:bar>
                  <m:r>
                    <w:rPr>
                      <w:rFonts w:hint="eastAsia"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i</m:t>
                  </m:r>
                  <m:ctrlPr>
                    <w:rPr>
                      <w:rFonts w:ascii="Cambria Math" w:hAnsi="Cambria Math"/>
                      <w:i/>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—第i类车速度为Vi，km/h；水平距离为7.5米处的能量平均A声级，dB(A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N</w:t>
            </w:r>
            <w:r>
              <w:rPr>
                <w:rFonts w:hint="eastAsia"/>
                <w:i/>
                <w:iCs/>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—昼间，夜间通过某个预测点的第i类车平均小时车流量，辆/h；</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V</w:t>
            </w:r>
            <w:r>
              <w:rPr>
                <w:rFonts w:hint="eastAsia"/>
                <w:i/>
                <w:iCs/>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—第i类车的平均车速，km/h；</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—计算等效声级的时间，1h；</w:t>
            </w:r>
          </w:p>
          <w:p>
            <w:pPr>
              <w:ind w:firstLine="1260" w:firstLineChars="600"/>
              <w:rPr>
                <w:color w:val="000000" w:themeColor="text1"/>
                <w14:textFill>
                  <w14:solidFill>
                    <w14:schemeClr w14:val="tx1"/>
                  </w14:solidFill>
                </w14:textFill>
              </w:rPr>
            </w:pPr>
            <m:oMath>
              <m:sSub>
                <m:sSubPr>
                  <m:ctrlPr>
                    <w:rPr>
                      <w:rFonts w:ascii="Cambria Math" w:hAnsi="Cambria Math" w:cs="Times New Roman"/>
                      <w:i/>
                      <w:color w:val="000000" w:themeColor="text1"/>
                      <w:sz w:val="2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sz w:val="2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距离</m:t>
                  </m:r>
                  <m:ctrlPr>
                    <w:rPr>
                      <w:rFonts w:ascii="Cambria Math" w:hAnsi="Cambria Math" w:cs="Times New Roman"/>
                      <w:i/>
                      <w:color w:val="000000" w:themeColor="text1"/>
                      <w:sz w:val="21"/>
                      <w14:textFill>
                        <w14:solidFill>
                          <w14:schemeClr w14:val="tx1"/>
                        </w14:solidFill>
                      </w14:textFill>
                    </w:rPr>
                  </m:ctrlPr>
                </m:sub>
              </m:sSub>
            </m:oMath>
            <w:r>
              <w:rPr>
                <w:rFonts w:hint="eastAsia"/>
                <w:color w:val="000000" w:themeColor="text1"/>
                <w14:textFill>
                  <w14:solidFill>
                    <w14:schemeClr w14:val="tx1"/>
                  </w14:solidFill>
                </w14:textFill>
              </w:rPr>
              <w:t>—距离衰减量，dB(A)，小时车流量大于等于300辆/小时：</w:t>
            </w:r>
            <m:oMath>
              <m:sSub>
                <m:sSubPr>
                  <m:ctrlPr>
                    <w:rPr>
                      <w:rFonts w:ascii="Cambria Math" w:hAnsi="Cambria Math" w:cs="Times New Roman"/>
                      <w:i/>
                      <w:color w:val="000000" w:themeColor="text1"/>
                      <w:sz w:val="2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sz w:val="2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距离</m:t>
                  </m:r>
                  <m:ctrlPr>
                    <w:rPr>
                      <w:rFonts w:ascii="Cambria Math" w:hAnsi="Cambria Math" w:cs="Times New Roman"/>
                      <w:i/>
                      <w:color w:val="000000" w:themeColor="text1"/>
                      <w:sz w:val="21"/>
                      <w14:textFill>
                        <w14:solidFill>
                          <w14:schemeClr w14:val="tx1"/>
                        </w14:solidFill>
                      </w14:textFill>
                    </w:rPr>
                  </m:ctrlPr>
                </m:sub>
              </m:sSub>
              <m:r>
                <w:rPr>
                  <w:rFonts w:ascii="Cambria Math" w:hAnsi="Cambria Math" w:cs="Times New Roman"/>
                  <w:color w:val="000000" w:themeColor="text1"/>
                  <w:sz w:val="21"/>
                  <w14:textFill>
                    <w14:solidFill>
                      <w14:schemeClr w14:val="tx1"/>
                    </w14:solidFill>
                  </w14:textFill>
                </w:rPr>
                <m:t>=10</m:t>
              </m:r>
              <m:r>
                <m:rPr>
                  <m:sty m:val="p"/>
                </m:rPr>
                <w:rPr>
                  <w:rFonts w:ascii="Cambria Math" w:hAnsi="Cambria Math" w:cs="Times New Roman"/>
                  <w:color w:val="000000" w:themeColor="text1"/>
                  <w:sz w:val="21"/>
                  <w14:textFill>
                    <w14:solidFill>
                      <w14:schemeClr w14:val="tx1"/>
                    </w14:solidFill>
                  </w14:textFill>
                </w:rPr>
                <m:t>lg⁡</m:t>
              </m:r>
              <m:r>
                <w:rPr>
                  <w:rFonts w:ascii="Cambria Math" w:hAnsi="Cambria Math" w:cs="Times New Roman"/>
                  <w:color w:val="000000" w:themeColor="text1"/>
                  <w:sz w:val="21"/>
                  <w14:textFill>
                    <w14:solidFill>
                      <w14:schemeClr w14:val="tx1"/>
                    </w14:solidFill>
                  </w14:textFill>
                </w:rPr>
                <m:t>(7.5/r)</m:t>
              </m:r>
            </m:oMath>
            <w:r>
              <w:rPr>
                <w:rFonts w:hint="eastAsia"/>
                <w:color w:val="000000" w:themeColor="text1"/>
                <w:sz w:val="21"/>
                <w14:textFill>
                  <w14:solidFill>
                    <w14:schemeClr w14:val="tx1"/>
                  </w14:solidFill>
                </w14:textFill>
              </w:rPr>
              <w:t>，</w:t>
            </w:r>
            <w:r>
              <w:rPr>
                <w:rFonts w:hint="eastAsia"/>
                <w:color w:val="000000" w:themeColor="text1"/>
                <w14:textFill>
                  <w14:solidFill>
                    <w14:schemeClr w14:val="tx1"/>
                  </w14:solidFill>
                </w14:textFill>
              </w:rPr>
              <w:t>小时车流量大于等于300辆/小时：</w:t>
            </w:r>
            <m:oMath>
              <m:sSub>
                <m:sSubPr>
                  <m:ctrlPr>
                    <w:rPr>
                      <w:rFonts w:ascii="Cambria Math" w:hAnsi="Cambria Math" w:cs="Times New Roman"/>
                      <w:i/>
                      <w:color w:val="000000" w:themeColor="text1"/>
                      <w:sz w:val="2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sz w:val="2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距离</m:t>
                  </m:r>
                  <m:ctrlPr>
                    <w:rPr>
                      <w:rFonts w:ascii="Cambria Math" w:hAnsi="Cambria Math" w:cs="Times New Roman"/>
                      <w:i/>
                      <w:color w:val="000000" w:themeColor="text1"/>
                      <w:sz w:val="21"/>
                      <w14:textFill>
                        <w14:solidFill>
                          <w14:schemeClr w14:val="tx1"/>
                        </w14:solidFill>
                      </w14:textFill>
                    </w:rPr>
                  </m:ctrlPr>
                </m:sub>
              </m:sSub>
              <m:r>
                <w:rPr>
                  <w:rFonts w:ascii="Cambria Math" w:hAnsi="Cambria Math" w:cs="Times New Roman"/>
                  <w:color w:val="000000" w:themeColor="text1"/>
                  <w:sz w:val="21"/>
                  <w14:textFill>
                    <w14:solidFill>
                      <w14:schemeClr w14:val="tx1"/>
                    </w14:solidFill>
                  </w14:textFill>
                </w:rPr>
                <m:t>=15</m:t>
              </m:r>
              <m:r>
                <m:rPr>
                  <m:sty m:val="p"/>
                </m:rPr>
                <w:rPr>
                  <w:rFonts w:ascii="Cambria Math" w:hAnsi="Cambria Math" w:cs="Times New Roman"/>
                  <w:color w:val="000000" w:themeColor="text1"/>
                  <w:sz w:val="21"/>
                  <w14:textFill>
                    <w14:solidFill>
                      <w14:schemeClr w14:val="tx1"/>
                    </w14:solidFill>
                  </w14:textFill>
                </w:rPr>
                <m:t>lg⁡</m:t>
              </m:r>
              <m:r>
                <w:rPr>
                  <w:rFonts w:ascii="Cambria Math" w:hAnsi="Cambria Math" w:cs="Times New Roman"/>
                  <w:color w:val="000000" w:themeColor="text1"/>
                  <w:sz w:val="21"/>
                  <w14:textFill>
                    <w14:solidFill>
                      <w14:schemeClr w14:val="tx1"/>
                    </w14:solidFill>
                  </w14:textFill>
                </w:rPr>
                <m:t>(7.5/r)</m:t>
              </m:r>
            </m:oMath>
            <w:r>
              <w:rPr>
                <w:rFonts w:hint="eastAsia"/>
                <w:color w:val="000000" w:themeColor="text1"/>
                <w:sz w:val="21"/>
                <w14:textFill>
                  <w14:solidFill>
                    <w14:schemeClr w14:val="tx1"/>
                  </w14:solidFill>
                </w14:textFill>
              </w:rPr>
              <w:t>；</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r</w:t>
            </w:r>
            <w:r>
              <w:rPr>
                <w:rFonts w:hint="eastAsia"/>
                <w:color w:val="000000" w:themeColor="text1"/>
                <w14:textFill>
                  <w14:solidFill>
                    <w14:schemeClr w14:val="tx1"/>
                  </w14:solidFill>
                </w14:textFill>
              </w:rPr>
              <w:t>—从车道中心线到预测点的距离，m；适用于r＞7.5m预测点的噪声预测。</w:t>
            </w:r>
          </w:p>
          <w:p>
            <w:pPr>
              <w:ind w:firstLine="1200" w:firstLineChars="500"/>
              <w:rPr>
                <w:color w:val="000000" w:themeColor="text1"/>
                <w14:textFill>
                  <w14:solidFill>
                    <w14:schemeClr w14:val="tx1"/>
                  </w14:solidFill>
                </w14:textFill>
              </w:rPr>
            </w:pPr>
            <w:r>
              <w:rPr>
                <w:i/>
                <w:iCs/>
                <w:color w:val="000000" w:themeColor="text1"/>
                <w14:textFill>
                  <w14:solidFill>
                    <w14:schemeClr w14:val="tx1"/>
                  </w14:solidFill>
                </w14:textFill>
              </w:rPr>
              <w:t>ψ</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i/>
                <w:iCs/>
                <w:color w:val="000000" w:themeColor="text1"/>
                <w14:textFill>
                  <w14:solidFill>
                    <w14:schemeClr w14:val="tx1"/>
                  </w14:solidFill>
                </w14:textFill>
              </w:rPr>
              <w:t>ψ</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—预测点到有限长路段两端的张角，弧度；</w:t>
            </w:r>
          </w:p>
          <w:p>
            <w:pPr>
              <w:ind w:firstLine="1200" w:firstLineChars="500"/>
              <w:rPr>
                <w:color w:val="000000" w:themeColor="text1"/>
                <w14:textFill>
                  <w14:solidFill>
                    <w14:schemeClr w14:val="tx1"/>
                  </w14:solidFill>
                </w14:textFill>
              </w:rPr>
            </w:pPr>
            <m:oMath>
              <m:r>
                <m:rPr>
                  <m:sty m:val="p"/>
                </m:rPr>
                <w:rPr>
                  <w:rFonts w:ascii="Cambria Math" w:hAnsi="Cambria Math" w:cs="Times New Roman"/>
                  <w:color w:val="000000" w:themeColor="text1"/>
                  <w14:textFill>
                    <w14:solidFill>
                      <w14:schemeClr w14:val="tx1"/>
                    </w14:solidFill>
                  </w14:textFill>
                </w:rPr>
                <m:t>∆</m:t>
              </m:r>
              <m:r>
                <w:rPr>
                  <w:rFonts w:ascii="Cambria Math" w:hAnsi="Cambria Math" w:cs="Times New Roman"/>
                  <w:color w:val="000000" w:themeColor="text1"/>
                  <w14:textFill>
                    <w14:solidFill>
                      <w14:schemeClr w14:val="tx1"/>
                    </w14:solidFill>
                  </w14:textFill>
                </w:rPr>
                <m:t>L</m:t>
              </m:r>
            </m:oMath>
            <w:r>
              <w:rPr>
                <w:rFonts w:hint="eastAsia"/>
                <w:color w:val="000000" w:themeColor="text1"/>
                <w14:textFill>
                  <w14:solidFill>
                    <w14:schemeClr w14:val="tx1"/>
                  </w14:solidFill>
                </w14:textFill>
              </w:rPr>
              <w:t>—由其他因素引起的修正量，dB(A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项目运输车辆均为大型车，类比一期风电场项目施工情况可知，小时车流量约为20辆/小时。运输车辆不同距离处声压级的计算结果见下表。</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.2-4  </w:t>
            </w:r>
            <w:r>
              <w:rPr>
                <w:rFonts w:hint="eastAsia"/>
                <w:color w:val="000000" w:themeColor="text1"/>
                <w14:textFill>
                  <w14:solidFill>
                    <w14:schemeClr w14:val="tx1"/>
                  </w14:solidFill>
                </w14:textFill>
              </w:rPr>
              <w:t>施工运输噪声衰减计算结果dB</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w:t>
            </w:r>
          </w:p>
          <w:tbl>
            <w:tblPr>
              <w:tblStyle w:val="21"/>
              <w:tblW w:w="81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1540"/>
              <w:gridCol w:w="622"/>
              <w:gridCol w:w="850"/>
              <w:gridCol w:w="850"/>
              <w:gridCol w:w="850"/>
              <w:gridCol w:w="850"/>
              <w:gridCol w:w="850"/>
              <w:gridCol w:w="8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4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距离</w:t>
                  </w:r>
                </w:p>
              </w:tc>
              <w:tc>
                <w:tcPr>
                  <w:tcW w:w="62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m</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0m</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0m</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0m</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0m</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0m</w:t>
                  </w:r>
                </w:p>
              </w:tc>
              <w:tc>
                <w:tcPr>
                  <w:tcW w:w="84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2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4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载重汽车</w:t>
                  </w:r>
                </w:p>
              </w:tc>
              <w:tc>
                <w:tcPr>
                  <w:tcW w:w="62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73</w:t>
                  </w:r>
                </w:p>
              </w:tc>
              <w:tc>
                <w:tcPr>
                  <w:tcW w:w="850"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68.3</w:t>
                  </w:r>
                </w:p>
              </w:tc>
              <w:tc>
                <w:tcPr>
                  <w:tcW w:w="850"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63.2</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8.6</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5.0</w:t>
                  </w:r>
                </w:p>
              </w:tc>
              <w:tc>
                <w:tcPr>
                  <w:tcW w:w="85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2.9</w:t>
                  </w:r>
                </w:p>
              </w:tc>
              <w:tc>
                <w:tcPr>
                  <w:tcW w:w="84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0.3</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从表上表中可看出，距声源</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0m处时（噪声约为</w:t>
            </w:r>
            <w:r>
              <w:rPr>
                <w:color w:val="000000" w:themeColor="text1"/>
                <w14:textFill>
                  <w14:solidFill>
                    <w14:schemeClr w14:val="tx1"/>
                  </w14:solidFill>
                </w14:textFill>
              </w:rPr>
              <w:t>55.0</w:t>
            </w:r>
            <w:r>
              <w:rPr>
                <w:rFonts w:hint="eastAsia"/>
                <w:color w:val="000000" w:themeColor="text1"/>
                <w14:textFill>
                  <w14:solidFill>
                    <w14:schemeClr w14:val="tx1"/>
                  </w14:solidFill>
                </w14:textFill>
              </w:rPr>
              <w:t>dB）方能满足《声环境质量标准》（GB3096-2008）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类标准中的昼间</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dB（A）的标准，拟建项目运输道路两侧有声环境敏感点马家沧房、大龙潭、车鲁箐等，敏感点声环境无法达到《声环境质量标准》（GB3096-2008）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类标准中的昼间</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dB（A）的标准。项目施工期</w:t>
            </w:r>
            <w:r>
              <w:rPr>
                <w:rFonts w:hint="eastAsia"/>
                <w:color w:val="000000" w:themeColor="text1"/>
                <w:lang w:val="en-US" w:eastAsia="zh-CN"/>
                <w14:textFill>
                  <w14:solidFill>
                    <w14:schemeClr w14:val="tx1"/>
                  </w14:solidFill>
                </w14:textFill>
              </w:rPr>
              <w:t>间</w:t>
            </w:r>
            <w:r>
              <w:rPr>
                <w:rFonts w:hint="eastAsia"/>
                <w:color w:val="000000" w:themeColor="text1"/>
                <w14:textFill>
                  <w14:solidFill>
                    <w14:schemeClr w14:val="tx1"/>
                  </w14:solidFill>
                </w14:textFill>
              </w:rPr>
              <w:t>，物料及机械设备运输车辆经过各村庄时会对村庄产生一定影响。但根据项目特点，项目施工点较为分散，各风机机组施工期间较短，运输量较小。施工期</w:t>
            </w:r>
            <w:r>
              <w:rPr>
                <w:rFonts w:hint="eastAsia"/>
                <w:color w:val="000000" w:themeColor="text1"/>
                <w:lang w:val="en-US" w:eastAsia="zh-CN"/>
                <w14:textFill>
                  <w14:solidFill>
                    <w14:schemeClr w14:val="tx1"/>
                  </w14:solidFill>
                </w14:textFill>
              </w:rPr>
              <w:t>间</w:t>
            </w:r>
            <w:r>
              <w:rPr>
                <w:rFonts w:hint="eastAsia"/>
                <w:color w:val="000000" w:themeColor="text1"/>
                <w14:textFill>
                  <w14:solidFill>
                    <w14:schemeClr w14:val="tx1"/>
                  </w14:solidFill>
                </w14:textFill>
              </w:rPr>
              <w:t>的交通噪声影响是暂时，在严格控制车速、禁止夜间运输、禁止鸣笛的前提下，交通运输噪声对沿线居民点的影响不大。</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地表水影响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（1）材料运输和堆放对水环境的影响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项目的修建，施工道路路基的填筑、各种筑路材料的运输等均会产生扬尘，这些尘埃可能会随风飘落到附近的水体中，对其水质产生一定程度的不利影响。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施工期由于建筑材料的堆放和管理不当，特别是易流失的物资如土方等露天堆放，遇暴雨时将可能被冲刷进入水体。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此外，一些施工用材如油料等在其堆放地若不采取有效的贮存保管措施或是由于管理不善，将有可能被降水带入河中造成水质污染。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对施工材料采取覆盖及洒水降尘等措施后，可有效降低材料运输和堆放对沿线水体的影响。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为减少料场初期雨水对水环境的影响，环评提出以下要求：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①设置篷布对施工材料进行遮盖，减少原辅料流失。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②在临时堆土场设置篷布遮盖及沉砂池，减少水土流失。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（2）施工废水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项目不设施工场地，无施</w:t>
            </w:r>
            <w:r>
              <w:rPr>
                <w:rFonts w:hint="eastAsia"/>
                <w:color w:val="000000" w:themeColor="text1"/>
                <w:lang w:val="en-US" w:eastAsia="zh-CN"/>
                <w14:textFill>
                  <w14:solidFill>
                    <w14:schemeClr w14:val="tx1"/>
                  </w14:solidFill>
                </w14:textFill>
              </w:rPr>
              <w:t>工</w:t>
            </w:r>
            <w:r>
              <w:rPr>
                <w:rFonts w:hint="eastAsia"/>
                <w:color w:val="000000" w:themeColor="text1"/>
                <w14:textFill>
                  <w14:solidFill>
                    <w14:schemeClr w14:val="tx1"/>
                  </w14:solidFill>
                </w14:textFill>
              </w:rPr>
              <w:t>废水产生。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（3）施工期生活污水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项目位于会泽县农村地区，项目区不设施工营地，施工人员仅在现场进行简单的清洁后返回住宿地，项目施工期施工人员清洁用水按量</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L/d</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人）计；平均每天施工人员约</w:t>
            </w:r>
            <w:r>
              <w:rPr>
                <w:color w:val="000000" w:themeColor="text1"/>
                <w14:textFill>
                  <w14:solidFill>
                    <w14:schemeClr w14:val="tx1"/>
                  </w14:solidFill>
                </w14:textFill>
              </w:rPr>
              <w:t>110</w:t>
            </w:r>
            <w:r>
              <w:rPr>
                <w:rFonts w:hint="eastAsia"/>
                <w:color w:val="000000" w:themeColor="text1"/>
                <w14:textFill>
                  <w14:solidFill>
                    <w14:schemeClr w14:val="tx1"/>
                  </w14:solidFill>
                </w14:textFill>
              </w:rPr>
              <w:t>人，生活用水量为</w:t>
            </w:r>
            <w:r>
              <w:rPr>
                <w:color w:val="000000" w:themeColor="text1"/>
                <w14:textFill>
                  <w14:solidFill>
                    <w14:schemeClr w14:val="tx1"/>
                  </w14:solidFill>
                </w14:textFill>
              </w:rPr>
              <w:t>1.1m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，产污系数按</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计，则产生生活污水约</w:t>
            </w:r>
            <w:r>
              <w:rPr>
                <w:color w:val="000000" w:themeColor="text1"/>
                <w14:textFill>
                  <w14:solidFill>
                    <w14:schemeClr w14:val="tx1"/>
                  </w14:solidFill>
                </w14:textFill>
              </w:rPr>
              <w:t>0.88m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本工程施工工人主要为周边村民，其食宿均依托自家民房，生活污水依托自建既有的环保设施（旱厕）收集后用作农肥；环评要求：在施工现场的风机平台设置临时旱厕（移动式旱厕），用于收集施工现场人员产生的排泄物，定期清运用作植被恢复和场地绿化肥料，并在工程结束后进行拆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）混凝土养护废水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风机基础混凝土养护一般为浇筑后7d~14d，废水产生时间短，废水量小且分散，主要污染物为悬浮物，SS浓度约为200mg/L~2000mg/L。养护废水一般在喷洒后即被吸收和蒸发。不会对周边水体造成影响。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）对毛家村水库饮用水水源保护区的影响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待补风电场二期项目受周边敏感因素限制，规划范围内已无其他可选机位。为满足《云南省在适宜地区适度开发利用新能源规划》中的装机规模要求，最终确定可安装的总装机台数仅</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台，风机选址具有唯一性。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经图形叠置，项目机位及新建道路等均避开毛家村水库饮用水水源保护区，项目机位与毛家村水库饮用水水源保护区准保护区最近距离约</w:t>
            </w:r>
            <w:r>
              <w:rPr>
                <w:color w:val="000000" w:themeColor="text1"/>
                <w14:textFill>
                  <w14:solidFill>
                    <w14:schemeClr w14:val="tx1"/>
                  </w14:solidFill>
                </w14:textFill>
              </w:rPr>
              <w:t>21.6</w:t>
            </w:r>
            <w:r>
              <w:rPr>
                <w:rFonts w:hint="eastAsia"/>
                <w:color w:val="000000" w:themeColor="text1"/>
                <w14:textFill>
                  <w14:solidFill>
                    <w14:schemeClr w14:val="tx1"/>
                  </w14:solidFill>
                </w14:textFill>
              </w:rPr>
              <w:t>m，不属于饮用水水源保护区汇水范围，不会破坏饮用水水源保护区植被，不会对饮用水水源造成影响。项目可能对毛家村水库饮用水水源保护区产生的影响主要来源于施工人员随意进入保护区内，由于行为不当，对保护区内的动植物资源造成一定的不利影响，从而降低准保护区水源涵养功能。因此，应采取严格的环境管理措施，对施工人员加强环境教育。</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大气环境影响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（1）风机基础施工扬尘影响分析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施工期对大气环境影响最大的是施工扬尘。施工扬尘污染主要产生于平整场地、挖土填方、物料装卸和运输等环节。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扬尘最大产生时间将出现在土方开挖阶段。本项目开挖的土石方尽量用于回填，多余土石方的清运至一期弃渣场，施工现场不可避免地会有临时堆场，且施工场地泥土风干后随着车辆的碾压和行驶，在区域内易带起扬尘，污染环境。因此，必须做到施工现场及时清理，临时堆场应有覆盖措施，减少二次扬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施工扬尘是人们十分关注的问题。施工起尘量的多少随风力的大小、物料的干湿程度、作业的文明程度等因素而变化，影响可达150~300m。施工扬尘的影响是暂时的，项目一结束，污染影响也就随之而停止。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根据北京环境科学研究院对建筑工程施工工地的扬尘测定结果，在风速为2.4m/s时，建筑施工扬尘的影响范围为其下风向150m之内，被影响地区的TSP浓度日平均值为0.491mg/m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，为上风向对照点的1.5倍，相当于环境空气二级标准的1.6倍。在干燥和风速较大的天气情况下，施工现场近地面粉尘浓度会超过环境空气二级标准中日平均值0.3mg/m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的1~40倍。项目属于风电项目，选址均位于风力资源较好的区域，容易产生扬尘，需采取措施减少扬尘产生。</w:t>
            </w:r>
          </w:p>
          <w:p>
            <w:pPr>
              <w:ind w:firstLine="480"/>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（2）交通运输扬尘影响分析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施工期间交通运输将产生扬尘，汽车产生的道路扬尘量与车速、车型、车流量、风速、道路表面积尘量、尘土湿度等因素有关。根据交通</w:t>
            </w:r>
            <w:r>
              <w:rPr>
                <w:rFonts w:hint="eastAsia"/>
                <w:color w:val="000000" w:themeColor="text1"/>
                <w:lang w:val="en-US" w:eastAsia="zh-CN"/>
                <w14:textFill>
                  <w14:solidFill>
                    <w14:schemeClr w14:val="tx1"/>
                  </w14:solidFill>
                </w14:textFill>
              </w:rPr>
              <w:t>运输</w:t>
            </w:r>
            <w:r>
              <w:rPr>
                <w:rFonts w:hint="eastAsia"/>
                <w:color w:val="000000" w:themeColor="text1"/>
                <w14:textFill>
                  <w14:solidFill>
                    <w14:schemeClr w14:val="tx1"/>
                  </w14:solidFill>
                </w14:textFill>
              </w:rPr>
              <w:t>部公路研究所对施工现场车辆扬尘监测结果，下风向150m处的扬尘瞬时浓度可达到3.49mg/m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。此外，物料拉运或堆放过程中，遮盖不严密也会产生粉尘污染。在运输高峰时期，运输车辆产生的扬尘会对道路周边居民产生一定的不利影响。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（3）弃渣场扬尘影响分析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项目弃渣依托一期弃渣场，弃渣过程中若未采取防护措施，将会产生扬尘影响，《水土保持方案报告书》中明确提出对渣场进行先挡后弃，及时压实等措施，可减少弃渣扬尘的产生。根据现场调查，项目依托一期</w:t>
            </w:r>
            <w:r>
              <w:rPr>
                <w:rFonts w:hint="eastAsia"/>
                <w:color w:val="000000" w:themeColor="text1"/>
                <w:lang w:val="en-US" w:eastAsia="zh-CN"/>
                <w14:textFill>
                  <w14:solidFill>
                    <w14:schemeClr w14:val="tx1"/>
                  </w14:solidFill>
                </w14:textFill>
              </w:rPr>
              <w:t>弃</w:t>
            </w:r>
            <w:r>
              <w:rPr>
                <w:rFonts w:hint="eastAsia"/>
                <w:color w:val="000000" w:themeColor="text1"/>
                <w14:textFill>
                  <w14:solidFill>
                    <w14:schemeClr w14:val="tx1"/>
                  </w14:solidFill>
                </w14:textFill>
              </w:rPr>
              <w:t>渣场周边500m范围内均无居民点分布，施工期弃渣场扬尘不会对周边居民点产生影响。项目弃渣作业扬尘的影响是暂时的，将随施工结束而消失。随着施工结束、水土保持和生态恢复工程的实施，弃渣扬尘影响也将消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施工期扬尘影响是暂时的，随着施工的完成以及水土保持和生态恢复工程的实施，这些影响也将消失，不会对周围环境产生较大的影响。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固体废物影响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施工期的固体废物主要为施工弃土及施工人员产生的少量生活垃圾。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（1）施工弃渣</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根据《水土保持方案报告书》，施工产生的表土临时堆存在各风机安装平台的临时堆土点，施工结束后用作绿化覆土；拟建项目产生弃渣</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，由于待补风电场一期工程土建工程已完工且未产生弃渣，批复的</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个弃渣场均未启用，秉持着资源合理利用的原则，将二期工程产生的所有弃渣全部运至一期工程已批的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弃渣场内进行堆存，一期工程</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弃渣场位于驾车乡，设计容量为</w:t>
            </w:r>
            <w:r>
              <w:rPr>
                <w:color w:val="000000" w:themeColor="text1"/>
                <w14:textFill>
                  <w14:solidFill>
                    <w14:schemeClr w14:val="tx1"/>
                  </w14:solidFill>
                </w14:textFill>
              </w:rPr>
              <w:t>19.80</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，能够满足二期工程所有弃渣堆存要求，二期项目不另设弃渣场。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（2）施工期生活垃圾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个月，平均施工人数</w:t>
            </w:r>
            <w:r>
              <w:rPr>
                <w:color w:val="000000" w:themeColor="text1"/>
                <w14:textFill>
                  <w14:solidFill>
                    <w14:schemeClr w14:val="tx1"/>
                  </w14:solidFill>
                </w14:textFill>
              </w:rPr>
              <w:t>110</w:t>
            </w:r>
            <w:r>
              <w:rPr>
                <w:rFonts w:hint="eastAsia"/>
                <w:color w:val="000000" w:themeColor="text1"/>
                <w14:textFill>
                  <w14:solidFill>
                    <w14:schemeClr w14:val="tx1"/>
                  </w14:solidFill>
                </w14:textFill>
              </w:rPr>
              <w:t>人/d，项目不设施工营地及施工场地，施工现场生活垃圾产生量按每人每天0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kg计算，项目施工期将产生</w:t>
            </w:r>
            <w:r>
              <w:rPr>
                <w:color w:val="000000" w:themeColor="text1"/>
                <w14:textFill>
                  <w14:solidFill>
                    <w14:schemeClr w14:val="tx1"/>
                  </w14:solidFill>
                </w14:textFill>
              </w:rPr>
              <w:t>5.94</w:t>
            </w:r>
            <w:r>
              <w:rPr>
                <w:rFonts w:hint="eastAsia"/>
                <w:color w:val="000000" w:themeColor="text1"/>
                <w14:textFill>
                  <w14:solidFill>
                    <w14:schemeClr w14:val="tx1"/>
                  </w14:solidFill>
                </w14:textFill>
              </w:rPr>
              <w:t>t生活垃圾，生活垃圾成分较复杂，垃圾中有机物易腐烂，会发出恶臭，特别在温度较高季节，随意堆放的生活垃圾将为蚊子、苍蝇和鼠类的孳生提供场所。垃圾中有害物质可能随尘粒飘扬</w:t>
            </w:r>
            <w:r>
              <w:rPr>
                <w:rFonts w:hint="eastAsia"/>
                <w:color w:val="000000" w:themeColor="text1"/>
                <w:lang w:val="en-US" w:eastAsia="zh-CN"/>
                <w14:textFill>
                  <w14:solidFill>
                    <w14:schemeClr w14:val="tx1"/>
                  </w14:solidFill>
                </w14:textFill>
              </w:rPr>
              <w:t>在</w:t>
            </w:r>
            <w:r>
              <w:rPr>
                <w:rFonts w:hint="eastAsia"/>
                <w:color w:val="000000" w:themeColor="text1"/>
                <w14:textFill>
                  <w14:solidFill>
                    <w14:schemeClr w14:val="tx1"/>
                  </w14:solidFill>
                </w14:textFill>
              </w:rPr>
              <w:t>空</w:t>
            </w:r>
            <w:r>
              <w:rPr>
                <w:rFonts w:hint="eastAsia"/>
                <w:color w:val="000000" w:themeColor="text1"/>
                <w:lang w:val="en-US" w:eastAsia="zh-CN"/>
                <w14:textFill>
                  <w14:solidFill>
                    <w14:schemeClr w14:val="tx1"/>
                  </w14:solidFill>
                </w14:textFill>
              </w:rPr>
              <w:t>气</w:t>
            </w:r>
            <w:r>
              <w:rPr>
                <w:rFonts w:hint="eastAsia"/>
                <w:color w:val="000000" w:themeColor="text1"/>
                <w14:textFill>
                  <w14:solidFill>
                    <w14:schemeClr w14:val="tx1"/>
                  </w14:solidFill>
                </w14:textFill>
              </w:rPr>
              <w:t>中，污染环境、传播疾病，影响人群健康。在施工人员集中分布区域，设置垃圾箱和垃圾池，对施工期的垃圾统一收集后运至会泽县垃圾处理场进行处理。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根据类比，施工人员粪便产生量按0.25kg/人天计算，产生粪便量共计2</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kg/d，项目区设置移动旱厕，定期清掏后用作植被恢复肥料。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运营期生态环境影响分析</w:t>
            </w:r>
          </w:p>
        </w:tc>
        <w:tc>
          <w:tcPr>
            <w:tcW w:w="8436" w:type="dxa"/>
          </w:tcPr>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生态影响</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.6.1 </w:t>
            </w:r>
            <w:r>
              <w:rPr>
                <w:rFonts w:hint="eastAsia"/>
                <w:color w:val="000000" w:themeColor="text1"/>
                <w14:textFill>
                  <w14:solidFill>
                    <w14:schemeClr w14:val="tx1"/>
                  </w14:solidFill>
                </w14:textFill>
              </w:rPr>
              <w:t>对植被、植物资源的影响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工程运营期，临时占地的自然环境植被和植物资源会得到一定程度的恢复，工程对当地自然环境的负面影响也将会明显减少。但是，由于场内道路的修建及风机塔的定期维护，林区的人员流动会有所增加，这可能会对当地的森林植被、植物资源和植物区结构带来一定的负面影响，但影响程度很小。</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.6.2 </w:t>
            </w:r>
            <w:r>
              <w:rPr>
                <w:rFonts w:hint="eastAsia"/>
                <w:color w:val="000000" w:themeColor="text1"/>
                <w14:textFill>
                  <w14:solidFill>
                    <w14:schemeClr w14:val="tx1"/>
                  </w14:solidFill>
                </w14:textFill>
              </w:rPr>
              <w:t>对陆生动物的影响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哺乳类、爬行类和两栖类来说，风机产生的噪声会在短时间内影响其活动和交流，野生动物分布的种类和数量将会减少。但周围附近适宜生境较多，上述不良影响对于陆生动物在长期来看会造成种群数量的下降，但是其影响的性质并不严重，不会造成动物种类的灭绝，也不会使动物在这一区域绝迹。</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.6.3 </w:t>
            </w:r>
            <w:r>
              <w:rPr>
                <w:rFonts w:hint="eastAsia"/>
                <w:color w:val="000000" w:themeColor="text1"/>
                <w14:textFill>
                  <w14:solidFill>
                    <w14:schemeClr w14:val="tx1"/>
                  </w14:solidFill>
                </w14:textFill>
              </w:rPr>
              <w:t>对鸟类的影响</w:t>
            </w:r>
          </w:p>
          <w:p>
            <w:pPr>
              <w:pStyle w:val="37"/>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.6.3.1 </w:t>
            </w:r>
            <w:bookmarkStart w:id="52" w:name="_Hlk147398120"/>
            <w:r>
              <w:rPr>
                <w:rFonts w:hint="eastAsia"/>
                <w:color w:val="000000" w:themeColor="text1"/>
                <w14:textFill>
                  <w14:solidFill>
                    <w14:schemeClr w14:val="tx1"/>
                  </w14:solidFill>
                </w14:textFill>
              </w:rPr>
              <w:t>鸟撞</w:t>
            </w:r>
            <w:r>
              <w:rPr>
                <w:rFonts w:hint="eastAsia"/>
                <w:color w:val="000000" w:themeColor="text1"/>
                <w:lang w:val="en-US" w:eastAsia="zh-CN"/>
                <w14:textFill>
                  <w14:solidFill>
                    <w14:schemeClr w14:val="tx1"/>
                  </w14:solidFill>
                </w14:textFill>
              </w:rPr>
              <w:t>击</w:t>
            </w:r>
            <w:r>
              <w:rPr>
                <w:rFonts w:hint="eastAsia"/>
                <w:color w:val="000000" w:themeColor="text1"/>
                <w14:textFill>
                  <w14:solidFill>
                    <w14:schemeClr w14:val="tx1"/>
                  </w14:solidFill>
                </w14:textFill>
              </w:rPr>
              <w:t>影响</w:t>
            </w:r>
            <w:bookmarkEnd w:id="5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经核实，本拟建项目区域不涉及云南己知候鸟迁徙的主要通道。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风电场对鸟类影响最严重的一种后果是，鸟类飞行过程中由于不能避让风电机或场内的电线，而被撞死或撞伤。鸟撞</w:t>
            </w:r>
            <w:r>
              <w:rPr>
                <w:rFonts w:hint="eastAsia"/>
                <w:color w:val="000000" w:themeColor="text1"/>
                <w:lang w:val="en-US" w:eastAsia="zh-CN"/>
                <w14:textFill>
                  <w14:solidFill>
                    <w14:schemeClr w14:val="tx1"/>
                  </w14:solidFill>
                </w14:textFill>
              </w:rPr>
              <w:t>击</w:t>
            </w:r>
            <w:r>
              <w:rPr>
                <w:rFonts w:hint="eastAsia"/>
                <w:color w:val="000000" w:themeColor="text1"/>
                <w14:textFill>
                  <w14:solidFill>
                    <w14:schemeClr w14:val="tx1"/>
                  </w14:solidFill>
                </w14:textFill>
              </w:rPr>
              <w:t>的发生的可能性与鸟类个体大小有关，个体较大的鸟类由于自身惯性大而来不及避让旋转的风叶，往往可能发生相撞，相关研究表明：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除个别例外的情况，多数风力发电场周围猛禽鸟类的死亡率很小。美国的一项研究表明，由于风电机组运转造成的鸟类的伤害占各种鸟类伤害事件的0.01%~0.02%；2003年西班牙内瓦拉省的统计数据表明，安装在18个风电场的692台风电机组造成鸟类伤亡的总数是89只，平均每台0.13只。</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际上雀形目鸟类是与风电机撞击较多的鸟类，它们占鸟类死亡数量的80%左右。场区除松雀鹰、普通鵟、红隼等几种为猛禽个体稍大外，其他均为个体较小的雀形目种类，它们对运转的风机有一定的避让能力，发生相撞的可能较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由于本工程不涉及己知候鸟迁徙的主要通道，故本风电场运营后对夜间迁徙的候鸟造成影响较小。而场区常见的鸟类无论在它们的活动空间高度和密度上一般都不会与风电机发生冲突，发生相撞的可能较小。</w:t>
            </w:r>
          </w:p>
          <w:p>
            <w:pPr>
              <w:pStyle w:val="37"/>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.6.3.2 </w:t>
            </w:r>
            <w:r>
              <w:rPr>
                <w:rFonts w:hint="eastAsia"/>
                <w:color w:val="000000" w:themeColor="text1"/>
                <w14:textFill>
                  <w14:solidFill>
                    <w14:schemeClr w14:val="tx1"/>
                  </w14:solidFill>
                </w14:textFill>
              </w:rPr>
              <w:t>栖息地的减少的影响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占地占用一定面积的植被，运行初期鸟类将对整个风力发电场区都有明显的避让行为。运行一段时间后，鸟类能够对运行的风电机发生习惯化，又会重新进入风电场区周边活动，同时，项目区周边仍有广泛适宜的生境和栖息地，因此，风电场不会对鸟类栖息地产生明显的不利影响。</w:t>
            </w:r>
          </w:p>
          <w:p>
            <w:pPr>
              <w:pStyle w:val="37"/>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 xml:space="preserve"> 噪声影响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机组内部及其运转过程中会因叶片旋转产生噪声。在风电场运行初期，这些噪声对鸟类的影响比较明显，周边的鸟类会因噪声影响而远离风机；运行一段时间后，鸟类会对这种有规律的声音逐渐适应，噪声对其活动的影响将日益减少。</w:t>
            </w:r>
          </w:p>
          <w:p>
            <w:pPr>
              <w:pStyle w:val="37"/>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.6.3.4 </w:t>
            </w:r>
            <w:r>
              <w:rPr>
                <w:rFonts w:hint="eastAsia"/>
                <w:color w:val="000000" w:themeColor="text1"/>
                <w14:textFill>
                  <w14:solidFill>
                    <w14:schemeClr w14:val="tx1"/>
                  </w14:solidFill>
                </w14:textFill>
              </w:rPr>
              <w:t>人为干扰影响分析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风电场内工作人员的日常巡护和一些不当的行为（如捕鸟、捡卵等）可能会对当地的鸟类产生一定的干扰，应加强环保教育和管控。</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 对重点保护动物的影响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调查区内共有国家Ⅱ级重点保护鸟类普通鵟、松雀鹰、红隼、白腹锦鸡等</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种。工程建设对动物的影响主要表现在对其栖息地破坏和侵占方面。就该工程评价区内所分布的</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种国家II级保护鸟类而言有多种生境跨度即可栖息于多种生境类型中，单一生境的破坏和减少对其影响有限。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项目的建设过程中，在场区活动的啮齿目动物会吸引松雀鹰、普通鵟、红隼等猛禽前来捕食，它们经常在高海拔山脊上借助气流翱翔，发现猎物时会专注于猎物，然后以很快的速度俯冲下来进行捕食，在这个过程中，可能会忽略对风电机的避让，从而发生相撞，且一旦发生鸟撞将直接导致猛禽死亡。然而，啮齿类动物主要分布于平地或半山区的农田或灌草丛生境下，它们的栖息地多不在安装风电机的山脊区域，保护鸟类的觅食主要集中于较低的谷地或半山区，其与风电机相撞的危险较小，因此，项目建设对其产生的影响不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白腹锦鸡常在地面行走、筑巢繁殖，基本不会造成鸟撞影响，运营期影响主要为风机噪声干扰，但白腹锦鸡具有较强的迁移能力，受干扰后能主动避让干扰源，故影响不大。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项目建设将影响和破坏的鸟类的生境，对动物有一定影响，但就上述</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种国家II级保护鸟类而言，都有较强的迁移能力，它们在工程建设的过程中，会主动迁移到临近的相似生境中，达到避害的目的。所以，工程建设对这些保护动物的影响有限。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项目与黑颈鹤活动区较近的风机为</w:t>
            </w:r>
            <w:r>
              <w:rPr>
                <w:color w:val="000000" w:themeColor="text1"/>
                <w14:textFill>
                  <w14:solidFill>
                    <w14:schemeClr w14:val="tx1"/>
                  </w14:solidFill>
                </w14:textFill>
              </w:rPr>
              <w:t>47</w:t>
            </w:r>
            <w:r>
              <w:rPr>
                <w:rFonts w:hint="eastAsia"/>
                <w:color w:val="000000" w:themeColor="text1"/>
                <w14:textFill>
                  <w14:solidFill>
                    <w14:schemeClr w14:val="tx1"/>
                  </w14:solidFill>
                </w14:textFill>
              </w:rPr>
              <w:t>风机，距离黑颈鹤记录分布点约</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.2km，但风机位于山脊，黑颈鹤活动区域多为农田区域，项目风机未占用有历史记录及本次调查记录中黑颈鹤越冬活动区域，对黑颈鹤影响很小。项目北面4</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km分布有黑颈鹤自然保护区，保护区周边8</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km属于黑颈鹤活动范围，但鸟类活动常沿沟谷等地形飞行，项目风机均位于山峰顶部，对黑颈鹤的影响很小。</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电磁辐射</w:t>
            </w:r>
          </w:p>
          <w:p>
            <w:pPr>
              <w:ind w:firstLine="480"/>
              <w:rPr>
                <w:color w:val="000000" w:themeColor="text1"/>
                <w14:textFill>
                  <w14:solidFill>
                    <w14:schemeClr w14:val="tx1"/>
                  </w14:solidFill>
                </w14:textFill>
              </w:rPr>
            </w:pPr>
            <w:bookmarkStart w:id="53" w:name="_Hlk76223516"/>
            <w:r>
              <w:rPr>
                <w:rFonts w:hint="eastAsia"/>
                <w:color w:val="000000" w:themeColor="text1"/>
                <w14:textFill>
                  <w14:solidFill>
                    <w14:schemeClr w14:val="tx1"/>
                  </w14:solidFill>
                </w14:textFill>
              </w:rPr>
              <w:t>根据《电磁辐射环境保护管理办法》（原国家环境保护局令第18号）、《电磁环境控制限值》（GB8072-2014）和《关于35千伏送、变电系统建设项目环境管理有关问题的复函》，拟建项目涉及的35kV电缆线路属于电磁辐射豁免水平，其产生的电磁环境影响较小；因此，本次评价仅对升压站的电磁环境影响进行评价。</w:t>
            </w:r>
            <w:bookmarkEnd w:id="5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电磁专项评价结论：</w:t>
            </w:r>
            <w:r>
              <w:rPr>
                <w:rFonts w:hint="eastAsia"/>
                <w:color w:val="000000" w:themeColor="text1"/>
                <w14:textFill>
                  <w14:solidFill>
                    <w14:schemeClr w14:val="tx1"/>
                  </w14:solidFill>
                </w14:textFill>
              </w:rPr>
              <w:t>二期项目建成后，2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kV升压站围墙外电磁环境满足《电磁环境控制限值》（GB8702-2014）中工频电场强度公众曝露控制限值4000V/m和工频磁感应强度公众曝露控制限值100</w:t>
            </w:r>
            <w:r>
              <w:rPr>
                <w:color w:val="000000" w:themeColor="text1"/>
                <w14:textFill>
                  <w14:solidFill>
                    <w14:schemeClr w14:val="tx1"/>
                  </w14:solidFill>
                </w14:textFill>
              </w:rPr>
              <w:t>μ</w:t>
            </w:r>
            <w:r>
              <w:rPr>
                <w:rFonts w:hint="eastAsia"/>
                <w:color w:val="000000" w:themeColor="text1"/>
                <w14:textFill>
                  <w14:solidFill>
                    <w14:schemeClr w14:val="tx1"/>
                  </w14:solidFill>
                </w14:textFill>
              </w:rPr>
              <w:t>T的要求。</w:t>
            </w:r>
          </w:p>
          <w:p>
            <w:pPr>
              <w:pStyle w:val="34"/>
              <w:spacing w:before="163" w:after="163"/>
              <w:rPr>
                <w:color w:val="000000" w:themeColor="text1"/>
                <w14:textFill>
                  <w14:solidFill>
                    <w14:schemeClr w14:val="tx1"/>
                  </w14:solidFill>
                </w14:textFill>
              </w:rPr>
            </w:pPr>
            <w:r>
              <w:rPr>
                <w:color w:val="000000" w:themeColor="text1"/>
                <w14:textFill>
                  <w14:solidFill>
                    <w14:schemeClr w14:val="tx1"/>
                  </w14:solidFill>
                </w14:textFill>
              </w:rPr>
              <w:t xml:space="preserve">4.8 </w:t>
            </w:r>
            <w:r>
              <w:rPr>
                <w:rFonts w:hint="eastAsia"/>
                <w:color w:val="000000" w:themeColor="text1"/>
                <w14:textFill>
                  <w14:solidFill>
                    <w14:schemeClr w14:val="tx1"/>
                  </w14:solidFill>
                </w14:textFill>
              </w:rPr>
              <w:t>噪声影响分析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拟建项目运营期噪声主要为风机噪声、升压站噪声。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（1）风机噪声影响分析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力发电机组在运转过程中产生的噪声主要来自叶片扫风产生的空气动力学噪声，其源自叶片周围的气流作用；另外一种是机组内部机械运转产生的机械噪声，源自风机机械结构间的相对运动及其动态响应。根据《环境影响评价技术导则 声环境》（HJ2.4-2021）的规定“在声环境影响评价中，声源中心到预测点之间的距离超过声源最大几何尺寸2倍时，可将该声源近似为点声源”。根据项目可行性研究报告，本次规划拟采用的风机单机容量为</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MW（</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台）和6.</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MW（</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台）的机型，风机轮毂高度均为1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5m，叶轮直径</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m，可将风机声源点近似为点声源。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风机厂家提供的数据，机型容量提升与机组噪声特性无明显关系，机组的实际噪声水平与项目的环境条件、风况以及机组的自身情况等多种因素有关，主要由轮毂高度风速区间的中心值决定，根据厂家提供的风机机组噪声报告，在风速</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.0m/s~1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m/s之间时，风机噪声源强值范围在</w:t>
            </w:r>
            <w:r>
              <w:rPr>
                <w:color w:val="000000" w:themeColor="text1"/>
                <w14:textFill>
                  <w14:solidFill>
                    <w14:schemeClr w14:val="tx1"/>
                  </w14:solidFill>
                </w14:textFill>
              </w:rPr>
              <w:t>103.8</w:t>
            </w:r>
            <w:r>
              <w:rPr>
                <w:rFonts w:hint="eastAsia"/>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~107.8</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之间，总体上风机噪声与风机轮毂高度的风速成正比，当风速达到一定程度时趋于稳定。本项目风电场区风机的最大平均风速为</w:t>
            </w:r>
            <w:r>
              <w:rPr>
                <w:color w:val="000000" w:themeColor="text1"/>
                <w14:textFill>
                  <w14:solidFill>
                    <w14:schemeClr w14:val="tx1"/>
                  </w14:solidFill>
                </w14:textFill>
              </w:rPr>
              <w:t>8.5</w:t>
            </w:r>
            <w:r>
              <w:rPr>
                <w:rFonts w:hint="eastAsia"/>
                <w:color w:val="000000" w:themeColor="text1"/>
                <w14:textFill>
                  <w14:solidFill>
                    <w14:schemeClr w14:val="tx1"/>
                  </w14:solidFill>
                </w14:textFill>
              </w:rPr>
              <w:t>m/s，对应噪声源强值为10</w:t>
            </w:r>
            <w:r>
              <w:rPr>
                <w:color w:val="000000" w:themeColor="text1"/>
                <w14:textFill>
                  <w14:solidFill>
                    <w14:schemeClr w14:val="tx1"/>
                  </w14:solidFill>
                </w14:textFill>
              </w:rPr>
              <w:t>7.89</w:t>
            </w:r>
            <w:r>
              <w:rPr>
                <w:rFonts w:hint="eastAsia"/>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，本次评价按最不利情况取</w:t>
            </w:r>
            <w:r>
              <w:rPr>
                <w:color w:val="000000" w:themeColor="text1"/>
                <w14:textFill>
                  <w14:solidFill>
                    <w14:schemeClr w14:val="tx1"/>
                  </w14:solidFill>
                </w14:textFill>
              </w:rPr>
              <w:t>107.89</w:t>
            </w:r>
            <w:r>
              <w:rPr>
                <w:rFonts w:hint="eastAsia"/>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进行预测。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由于本项目相邻两台风机的距离大于</w:t>
            </w:r>
            <w:r>
              <w:rPr>
                <w:color w:val="000000" w:themeColor="text1"/>
                <w14:textFill>
                  <w14:solidFill>
                    <w14:schemeClr w14:val="tx1"/>
                  </w14:solidFill>
                </w14:textFill>
              </w:rPr>
              <w:t>320m</w:t>
            </w:r>
            <w:r>
              <w:rPr>
                <w:rFonts w:hint="eastAsia"/>
                <w:color w:val="000000" w:themeColor="text1"/>
                <w14:textFill>
                  <w14:solidFill>
                    <w14:schemeClr w14:val="tx1"/>
                  </w14:solidFill>
                </w14:textFill>
              </w:rPr>
              <w:t>，噪声叠加作用较小，因此风机噪声影响使用噪声衰减模式进行单点预测，项目风机布置主要布置于山脊，且风机轮毂高度在</w:t>
            </w:r>
            <w:r>
              <w:rPr>
                <w:color w:val="000000" w:themeColor="text1"/>
                <w14:textFill>
                  <w14:solidFill>
                    <w14:schemeClr w14:val="tx1"/>
                  </w14:solidFill>
                </w14:textFill>
              </w:rPr>
              <w:t>115m</w:t>
            </w:r>
            <w:r>
              <w:rPr>
                <w:rFonts w:hint="eastAsia"/>
                <w:color w:val="000000" w:themeColor="text1"/>
                <w14:textFill>
                  <w14:solidFill>
                    <w14:schemeClr w14:val="tx1"/>
                  </w14:solidFill>
                </w14:textFill>
              </w:rPr>
              <w:t>。由于风力发电机组噪声源位于空中，噪声反射和障碍物均可以忽略，且噪声传播没有特定方向。因此，从声学角度与声传播的大范围、大视野看，风力发电机组噪声源传播的空间可视为自由声场，根据《环境影响评价技术导则声环境》（</w:t>
            </w:r>
            <w:r>
              <w:rPr>
                <w:color w:val="000000" w:themeColor="text1"/>
                <w14:textFill>
                  <w14:solidFill>
                    <w14:schemeClr w14:val="tx1"/>
                  </w14:solidFill>
                </w14:textFill>
              </w:rPr>
              <w:t>HJ2.4-2021</w:t>
            </w:r>
            <w:r>
              <w:rPr>
                <w:rFonts w:hint="eastAsia"/>
                <w:color w:val="000000" w:themeColor="text1"/>
                <w14:textFill>
                  <w14:solidFill>
                    <w14:schemeClr w14:val="tx1"/>
                  </w14:solidFill>
                </w14:textFill>
              </w:rPr>
              <w:t>）进行噪声预测计算。</w:t>
            </w:r>
          </w:p>
          <w:p>
            <w:pPr>
              <w:ind w:firstLine="0" w:firstLineChars="0"/>
              <w:jc w:val="center"/>
              <w:rPr>
                <w:i/>
                <w:iCs/>
                <w:color w:val="000000" w:themeColor="text1"/>
                <w14:textFill>
                  <w14:solidFill>
                    <w14:schemeClr w14:val="tx1"/>
                  </w14:solidFill>
                </w14:textFill>
              </w:rPr>
            </w:pPr>
            <w:r>
              <w:rPr>
                <w:rFonts w:hint="eastAsia"/>
                <w:i/>
                <w:iCs/>
                <w:color w:val="000000" w:themeColor="text1"/>
                <w14:textFill>
                  <w14:solidFill>
                    <w14:schemeClr w14:val="tx1"/>
                  </w14:solidFill>
                </w14:textFill>
              </w:rPr>
              <w:t>L</w:t>
            </w:r>
            <w:r>
              <w:rPr>
                <w:rFonts w:hint="eastAsia"/>
                <w:i/>
                <w:iCs/>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r</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=L</w:t>
            </w:r>
            <w:r>
              <w:rPr>
                <w:rFonts w:hint="eastAsia"/>
                <w:i/>
                <w:iCs/>
                <w:color w:val="000000" w:themeColor="text1"/>
                <w:vertAlign w:val="subscript"/>
                <w14:textFill>
                  <w14:solidFill>
                    <w14:schemeClr w14:val="tx1"/>
                  </w14:solidFill>
                </w14:textFill>
              </w:rPr>
              <w:t>A</w:t>
            </w:r>
            <w:r>
              <w:rPr>
                <w:rFonts w:hint="eastAsia"/>
                <w:i/>
                <w:iCs/>
                <w:color w:val="000000" w:themeColor="text1"/>
                <w14:textFill>
                  <w14:solidFill>
                    <w14:schemeClr w14:val="tx1"/>
                  </w14:solidFill>
                </w14:textFill>
              </w:rPr>
              <w:t>w–</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lg</w:t>
            </w:r>
            <w:r>
              <w:rPr>
                <w:rFonts w:hint="eastAsia"/>
                <w:i/>
                <w:iCs/>
                <w:color w:val="000000" w:themeColor="text1"/>
                <w14:textFill>
                  <w14:solidFill>
                    <w14:schemeClr w14:val="tx1"/>
                  </w14:solidFill>
                </w14:textFill>
              </w:rPr>
              <w:t>r-</w:t>
            </w:r>
            <w:r>
              <w:rPr>
                <w:color w:val="000000" w:themeColor="text1"/>
                <w14:textFill>
                  <w14:solidFill>
                    <w14:schemeClr w14:val="tx1"/>
                  </w14:solidFill>
                </w14:textFill>
              </w:rPr>
              <w:t>11</w:t>
            </w:r>
          </w:p>
          <w:p>
            <w:pPr>
              <w:ind w:firstLine="480"/>
              <w:rPr>
                <w:color w:val="000000" w:themeColor="text1"/>
                <w14:textFill>
                  <w14:solidFill>
                    <w14:schemeClr w14:val="tx1"/>
                  </w14:solidFill>
                </w14:textFill>
              </w:rPr>
            </w:pPr>
            <w:r>
              <w:rPr>
                <w:rFonts w:hint="eastAsia"/>
                <w:iCs/>
                <w:color w:val="000000" w:themeColor="text1"/>
                <w14:textFill>
                  <w14:solidFill>
                    <w14:schemeClr w14:val="tx1"/>
                  </w14:solidFill>
                </w14:textFill>
              </w:rPr>
              <w:t>式中</w:t>
            </w:r>
            <w:r>
              <w:rPr>
                <w:iCs/>
                <w:color w:val="000000" w:themeColor="text1"/>
                <w14:textFill>
                  <w14:solidFill>
                    <w14:schemeClr w14:val="tx1"/>
                  </w14:solidFill>
                </w14:textFill>
              </w:rPr>
              <w:t>：</w:t>
            </w:r>
            <w:r>
              <w:rPr>
                <w:rFonts w:hint="eastAsia"/>
                <w:i/>
                <w:iCs/>
                <w:color w:val="000000" w:themeColor="text1"/>
                <w14:textFill>
                  <w14:solidFill>
                    <w14:schemeClr w14:val="tx1"/>
                  </w14:solidFill>
                </w14:textFill>
              </w:rPr>
              <w:t>L</w:t>
            </w:r>
            <w:r>
              <w:rPr>
                <w:i/>
                <w:iCs/>
                <w:color w:val="000000" w:themeColor="text1"/>
                <w14:textFill>
                  <w14:solidFill>
                    <w14:schemeClr w14:val="tx1"/>
                  </w14:solidFill>
                </w14:textFill>
              </w:rPr>
              <w:t>A(r)</w:t>
            </w:r>
            <w:r>
              <w:rPr>
                <w:rFonts w:hint="eastAsia"/>
                <w:i/>
                <w:iCs/>
                <w:color w:val="000000" w:themeColor="text1"/>
                <w14:textFill>
                  <w14:solidFill>
                    <w14:schemeClr w14:val="tx1"/>
                  </w14:solidFill>
                </w14:textFill>
              </w:rPr>
              <w:t>——</w:t>
            </w:r>
            <w:r>
              <w:rPr>
                <w:rFonts w:hint="eastAsia"/>
                <w:color w:val="000000" w:themeColor="text1"/>
                <w14:textFill>
                  <w14:solidFill>
                    <w14:schemeClr w14:val="tx1"/>
                  </w14:solidFill>
                </w14:textFill>
              </w:rPr>
              <w:t>距离声源r米处的A声级；</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AW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声功率级，取</w:t>
            </w:r>
            <w:r>
              <w:rPr>
                <w:color w:val="000000" w:themeColor="text1"/>
                <w14:textFill>
                  <w14:solidFill>
                    <w14:schemeClr w14:val="tx1"/>
                  </w14:solidFill>
                </w14:textFill>
              </w:rPr>
              <w:t>107.89</w:t>
            </w:r>
            <w:r>
              <w:rPr>
                <w:rFonts w:hint="eastAsia"/>
                <w:color w:val="000000" w:themeColor="text1"/>
                <w14:textFill>
                  <w14:solidFill>
                    <w14:schemeClr w14:val="tx1"/>
                  </w14:solidFill>
                </w14:textFill>
              </w:rPr>
              <w:t>dB（A）；</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r</w:t>
            </w:r>
            <w:r>
              <w:rPr>
                <w:rFonts w:hint="eastAsia"/>
                <w:color w:val="000000" w:themeColor="text1"/>
                <w14:textFill>
                  <w14:solidFill>
                    <w14:schemeClr w14:val="tx1"/>
                  </w14:solidFill>
                </w14:textFill>
              </w:rPr>
              <w:t>——预测点距离声源的距离，m。</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经公式计算，单台风机运行噪声水平方向上的噪声预测结果如下表。</w:t>
            </w:r>
          </w:p>
          <w:p>
            <w:pPr>
              <w:pStyle w:val="28"/>
              <w:spacing w:before="163"/>
              <w:rPr>
                <w:color w:val="000000" w:themeColor="text1"/>
                <w14:textFill>
                  <w14:solidFill>
                    <w14:schemeClr w14:val="tx1"/>
                  </w14:solidFill>
                </w14:textFill>
              </w:rPr>
            </w:pPr>
            <w:bookmarkStart w:id="54" w:name="_Hlk154132120"/>
            <w:r>
              <w:rPr>
                <w:rFonts w:hint="eastAsia"/>
                <w:color w:val="000000" w:themeColor="text1"/>
                <w14:textFill>
                  <w14:solidFill>
                    <w14:schemeClr w14:val="tx1"/>
                  </w14:solidFill>
                </w14:textFill>
              </w:rPr>
              <w:t>表</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风机噪声随距离衰减情况</w:t>
            </w:r>
          </w:p>
          <w:tbl>
            <w:tblPr>
              <w:tblStyle w:val="20"/>
              <w:tblW w:w="81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640"/>
              <w:gridCol w:w="640"/>
              <w:gridCol w:w="640"/>
              <w:gridCol w:w="640"/>
              <w:gridCol w:w="639"/>
              <w:gridCol w:w="639"/>
              <w:gridCol w:w="639"/>
              <w:gridCol w:w="639"/>
              <w:gridCol w:w="639"/>
              <w:gridCol w:w="639"/>
              <w:gridCol w:w="6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160" w:type="dxa"/>
                  <w:shd w:val="clear" w:color="auto" w:fill="auto"/>
                  <w:vAlign w:val="center"/>
                </w:tcPr>
                <w:p>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水平距离</w:t>
                  </w:r>
                </w:p>
                <w:p>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m</w:t>
                  </w:r>
                  <w:r>
                    <w:rPr>
                      <w:rFonts w:hint="eastAsia" w:ascii="宋体" w:hAnsi="宋体" w:cs="宋体"/>
                      <w:color w:val="000000" w:themeColor="text1"/>
                      <w:kern w:val="0"/>
                      <w:sz w:val="21"/>
                      <w:szCs w:val="21"/>
                      <w14:textFill>
                        <w14:solidFill>
                          <w14:schemeClr w14:val="tx1"/>
                        </w14:solidFill>
                      </w14:textFill>
                    </w:rPr>
                    <w:t>）</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50</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100</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150</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200</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250</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300</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hint="eastAsia" w:eastAsia="等线" w:cs="Times New Roman"/>
                      <w:color w:val="000000" w:themeColor="text1"/>
                      <w:kern w:val="0"/>
                      <w:sz w:val="21"/>
                      <w:szCs w:val="21"/>
                      <w14:textFill>
                        <w14:solidFill>
                          <w14:schemeClr w14:val="tx1"/>
                        </w14:solidFill>
                      </w14:textFill>
                    </w:rPr>
                    <w:t>3</w:t>
                  </w:r>
                  <w:r>
                    <w:rPr>
                      <w:rFonts w:eastAsia="等线" w:cs="Times New Roman"/>
                      <w:color w:val="000000" w:themeColor="text1"/>
                      <w:kern w:val="0"/>
                      <w:sz w:val="21"/>
                      <w:szCs w:val="21"/>
                      <w14:textFill>
                        <w14:solidFill>
                          <w14:schemeClr w14:val="tx1"/>
                        </w14:solidFill>
                      </w14:textFill>
                    </w:rPr>
                    <w:t>50</w:t>
                  </w:r>
                </w:p>
              </w:tc>
              <w:tc>
                <w:tcPr>
                  <w:tcW w:w="639" w:type="dxa"/>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375</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400</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450</w:t>
                  </w:r>
                </w:p>
              </w:tc>
              <w:tc>
                <w:tcPr>
                  <w:tcW w:w="636"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160" w:type="dxa"/>
                  <w:shd w:val="clear" w:color="auto" w:fill="auto"/>
                  <w:vAlign w:val="center"/>
                </w:tcPr>
                <w:p>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噪声值</w:t>
                  </w:r>
                </w:p>
                <w:p>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54.9</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53.2</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51.4</w:t>
                  </w:r>
                </w:p>
              </w:tc>
              <w:tc>
                <w:tcPr>
                  <w:tcW w:w="640"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49.6</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48.1</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46.8</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45.6</w:t>
                  </w:r>
                </w:p>
              </w:tc>
              <w:tc>
                <w:tcPr>
                  <w:tcW w:w="639" w:type="dxa"/>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45.0</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44.5</w:t>
                  </w:r>
                </w:p>
              </w:tc>
              <w:tc>
                <w:tcPr>
                  <w:tcW w:w="639"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43.6</w:t>
                  </w:r>
                </w:p>
              </w:tc>
              <w:tc>
                <w:tcPr>
                  <w:tcW w:w="636" w:type="dxa"/>
                  <w:shd w:val="clear" w:color="auto" w:fill="auto"/>
                  <w:vAlign w:val="center"/>
                </w:tcPr>
                <w:p>
                  <w:pPr>
                    <w:widowControl/>
                    <w:spacing w:line="240" w:lineRule="auto"/>
                    <w:ind w:firstLine="0" w:firstLineChars="0"/>
                    <w:jc w:val="center"/>
                    <w:rPr>
                      <w:rFonts w:eastAsia="等线" w:cs="Times New Roman"/>
                      <w:color w:val="000000" w:themeColor="text1"/>
                      <w:kern w:val="0"/>
                      <w:sz w:val="21"/>
                      <w:szCs w:val="21"/>
                      <w14:textFill>
                        <w14:solidFill>
                          <w14:schemeClr w14:val="tx1"/>
                        </w14:solidFill>
                      </w14:textFill>
                    </w:rPr>
                  </w:pPr>
                  <w:r>
                    <w:rPr>
                      <w:rFonts w:eastAsia="等线" w:cs="Times New Roman"/>
                      <w:color w:val="000000" w:themeColor="text1"/>
                      <w:sz w:val="21"/>
                      <w:szCs w:val="21"/>
                      <w14:textFill>
                        <w14:solidFill>
                          <w14:schemeClr w14:val="tx1"/>
                        </w14:solidFill>
                      </w14:textFill>
                    </w:rPr>
                    <w:t>42.7</w:t>
                  </w:r>
                </w:p>
              </w:tc>
            </w:tr>
            <w:bookmarkEnd w:id="54"/>
          </w:tbl>
          <w:p>
            <w:pPr>
              <w:ind w:firstLine="480"/>
              <w:rPr>
                <w:color w:val="000000" w:themeColor="text1"/>
                <w14:textFill>
                  <w14:solidFill>
                    <w14:schemeClr w14:val="tx1"/>
                  </w14:solidFill>
                </w14:textFill>
              </w:rPr>
            </w:pPr>
            <w:bookmarkStart w:id="55" w:name="_Hlk154132145"/>
            <w:r>
              <w:rPr>
                <w:rFonts w:hint="eastAsia"/>
                <w:color w:val="000000" w:themeColor="text1"/>
                <w14:textFill>
                  <w14:solidFill>
                    <w14:schemeClr w14:val="tx1"/>
                  </w14:solidFill>
                </w14:textFill>
              </w:rPr>
              <w:t>由预测结果可知，风机周围噪声随风机距离的增加而减小，风机噪声分别在距离风机水平距离</w:t>
            </w:r>
            <w:r>
              <w:rPr>
                <w:color w:val="000000" w:themeColor="text1"/>
                <w14:textFill>
                  <w14:solidFill>
                    <w14:schemeClr w14:val="tx1"/>
                  </w14:solidFill>
                </w14:textFill>
              </w:rPr>
              <w:t>49m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375</w:t>
            </w:r>
            <w:r>
              <w:rPr>
                <w:rFonts w:hint="eastAsia"/>
                <w:color w:val="000000" w:themeColor="text1"/>
                <w14:textFill>
                  <w14:solidFill>
                    <w14:schemeClr w14:val="tx1"/>
                  </w14:solidFill>
                </w14:textFill>
              </w:rPr>
              <w:t>m处可满足《声环境质量标准》（GB309-2008）1类区昼间及夜间标准限值。</w:t>
            </w:r>
            <w:bookmarkEnd w:id="5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项目风机周边5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m范围内无敏感目标分布，项目风机对敏感点环境影响较小。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环评要求建设单位在运营期对风电场周边距离风机较近的敏感目标（</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00m范围内的敏感目标）进行跟踪监测，保证区域噪声在运营期昼夜均能稳定达标，若监测到敏感点处噪声不能稳定达标，则应采取相应的降噪措施，必要时降低产生影响的风机运行功率，以确保各敏感点噪声稳定达标。此外，环评要求设置3</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5m的噪声防护距离，风机机位3</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范围内不得新建居民区，并告知项目所在地乡镇、村委会。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为进一步减少风机噪声对周边环境噪声的影响，建设单位还应做到：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风机厂商在制造时尽可能采取降噪措施：在所选风机机型满足条件的情况，尽可能选用隔音防震型、变速齿轮箱为减噪型、机舱内表面贴覆阻尼隔声材料、叶片用减速叶片、叶片加装后缘锯齿降噪等。建设单位在采购设备时，要求厂家提供降噪措施说明，并且选用正规厂家生产的低噪声设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②提高安装精度，加强运行期管理，使齿轮和轴承保持良好的润滑条件。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）升压站噪声影响分析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本次在一期2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kV升压站安装1台1</w:t>
            </w:r>
            <w:r>
              <w:rPr>
                <w:color w:val="000000" w:themeColor="text1"/>
                <w14:textFill>
                  <w14:solidFill>
                    <w14:schemeClr w14:val="tx1"/>
                  </w14:solidFill>
                </w14:textFill>
              </w:rPr>
              <w:t>90MVA</w:t>
            </w:r>
            <w:r>
              <w:rPr>
                <w:rFonts w:hint="eastAsia"/>
                <w:color w:val="000000" w:themeColor="text1"/>
                <w14:textFill>
                  <w14:solidFill>
                    <w14:schemeClr w14:val="tx1"/>
                  </w14:solidFill>
                </w14:textFill>
              </w:rPr>
              <w:t>主变，升压站目前已安装1台</w:t>
            </w:r>
            <w:r>
              <w:rPr>
                <w:color w:val="000000" w:themeColor="text1"/>
                <w14:textFill>
                  <w14:solidFill>
                    <w14:schemeClr w14:val="tx1"/>
                  </w14:solidFill>
                </w14:textFill>
              </w:rPr>
              <w:t>190MVA</w:t>
            </w:r>
            <w:r>
              <w:rPr>
                <w:rFonts w:hint="eastAsia"/>
                <w:color w:val="000000" w:themeColor="text1"/>
                <w14:textFill>
                  <w14:solidFill>
                    <w14:schemeClr w14:val="tx1"/>
                  </w14:solidFill>
                </w14:textFill>
              </w:rPr>
              <w:t>主变，单台主变噪声值约为</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，两台主变叠加源强约7</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。本次理论计算拟按点声源衰减模式，计算噪声源至厂界处的距离衰减，公式如下：</w:t>
            </w:r>
          </w:p>
          <w:p>
            <w:pPr>
              <w:ind w:firstLine="0" w:firstLineChars="0"/>
              <w:jc w:val="center"/>
              <w:rPr>
                <w:i/>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p0</w:t>
            </w:r>
            <w:r>
              <w:rPr>
                <w:i/>
                <w:color w:val="000000" w:themeColor="text1"/>
                <w14:textFill>
                  <w14:solidFill>
                    <w14:schemeClr w14:val="tx1"/>
                  </w14:solidFill>
                </w14:textFill>
              </w:rPr>
              <w:t>-20lg</w:t>
            </w: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r/r</w:t>
            </w:r>
            <w:r>
              <w:rPr>
                <w:rFonts w:hint="eastAsia"/>
                <w:i/>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w:t>
            </w:r>
            <w:r>
              <w:rPr>
                <w:i/>
                <w:color w:val="000000" w:themeColor="text1"/>
                <w14:textFill>
                  <w14:solidFill>
                    <w14:schemeClr w14:val="tx1"/>
                  </w14:solidFill>
                </w14:textFill>
              </w:rPr>
              <w:t>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rFonts w:hint="eastAsia"/>
                <w:i/>
                <w:color w:val="000000" w:themeColor="text1"/>
                <w14:textFill>
                  <w14:solidFill>
                    <w14:schemeClr w14:val="tx1"/>
                  </w14:solidFill>
                </w14:textFill>
              </w:rPr>
              <w:t>L</w:t>
            </w:r>
            <w:r>
              <w:rPr>
                <w:rFonts w:hint="eastAsia"/>
                <w:i/>
                <w:color w:val="000000" w:themeColor="text1"/>
                <w:vertAlign w:val="subscript"/>
                <w14:textFill>
                  <w14:solidFill>
                    <w14:schemeClr w14:val="tx1"/>
                  </w14:solidFill>
                </w14:textFill>
              </w:rPr>
              <w:t>p</w:t>
            </w:r>
            <w:r>
              <w:rPr>
                <w:rFonts w:hint="eastAsia"/>
                <w:color w:val="000000" w:themeColor="text1"/>
                <w14:textFill>
                  <w14:solidFill>
                    <w14:schemeClr w14:val="tx1"/>
                  </w14:solidFill>
                </w14:textFill>
              </w:rPr>
              <w:t>—预测点声压级，dB(A)；</w:t>
            </w:r>
          </w:p>
          <w:p>
            <w:pPr>
              <w:ind w:firstLine="1200" w:firstLineChars="500"/>
              <w:rPr>
                <w:color w:val="000000" w:themeColor="text1"/>
                <w14:textFill>
                  <w14:solidFill>
                    <w14:schemeClr w14:val="tx1"/>
                  </w14:solidFill>
                </w14:textFill>
              </w:rPr>
            </w:pPr>
            <w:r>
              <w:rPr>
                <w:rFonts w:hint="eastAsia"/>
                <w:i/>
                <w:color w:val="000000" w:themeColor="text1"/>
                <w14:textFill>
                  <w14:solidFill>
                    <w14:schemeClr w14:val="tx1"/>
                  </w14:solidFill>
                </w14:textFill>
              </w:rPr>
              <w:t>L</w:t>
            </w:r>
            <w:r>
              <w:rPr>
                <w:rFonts w:hint="eastAsia"/>
                <w:i/>
                <w:color w:val="000000" w:themeColor="text1"/>
                <w:vertAlign w:val="subscript"/>
                <w14:textFill>
                  <w14:solidFill>
                    <w14:schemeClr w14:val="tx1"/>
                  </w14:solidFill>
                </w14:textFill>
              </w:rPr>
              <w:t>p0</w:t>
            </w:r>
            <w:r>
              <w:rPr>
                <w:rFonts w:hint="eastAsia"/>
                <w:color w:val="000000" w:themeColor="text1"/>
                <w14:textFill>
                  <w14:solidFill>
                    <w14:schemeClr w14:val="tx1"/>
                  </w14:solidFill>
                </w14:textFill>
              </w:rPr>
              <w:t>—已知参考点声级，dB(A)；</w:t>
            </w:r>
          </w:p>
          <w:p>
            <w:pPr>
              <w:ind w:firstLine="1200" w:firstLineChars="500"/>
              <w:rPr>
                <w:color w:val="000000" w:themeColor="text1"/>
                <w14:textFill>
                  <w14:solidFill>
                    <w14:schemeClr w14:val="tx1"/>
                  </w14:solidFill>
                </w14:textFill>
              </w:rPr>
            </w:pPr>
            <w:r>
              <w:rPr>
                <w:rFonts w:hint="eastAsia"/>
                <w:i/>
                <w:color w:val="000000" w:themeColor="text1"/>
                <w14:textFill>
                  <w14:solidFill>
                    <w14:schemeClr w14:val="tx1"/>
                  </w14:solidFill>
                </w14:textFill>
              </w:rPr>
              <w:t>r</w:t>
            </w:r>
            <w:r>
              <w:rPr>
                <w:rFonts w:hint="eastAsia"/>
                <w:color w:val="000000" w:themeColor="text1"/>
                <w14:textFill>
                  <w14:solidFill>
                    <w14:schemeClr w14:val="tx1"/>
                  </w14:solidFill>
                </w14:textFill>
              </w:rPr>
              <w:t>—预测点至声源设备距离，m；</w:t>
            </w:r>
          </w:p>
          <w:p>
            <w:pPr>
              <w:ind w:firstLine="1200" w:firstLineChars="500"/>
              <w:rPr>
                <w:color w:val="000000" w:themeColor="text1"/>
                <w14:textFill>
                  <w14:solidFill>
                    <w14:schemeClr w14:val="tx1"/>
                  </w14:solidFill>
                </w14:textFill>
              </w:rPr>
            </w:pPr>
            <w:r>
              <w:rPr>
                <w:rFonts w:hint="eastAsia"/>
                <w:i/>
                <w:color w:val="000000" w:themeColor="text1"/>
                <w14:textFill>
                  <w14:solidFill>
                    <w14:schemeClr w14:val="tx1"/>
                  </w14:solidFill>
                </w14:textFill>
              </w:rPr>
              <w:t>r</w:t>
            </w:r>
            <w:r>
              <w:rPr>
                <w:rFonts w:hint="eastAsia"/>
                <w:i/>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—已知参考点到声源距离，m。</w:t>
            </w:r>
          </w:p>
          <w:p>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L</w:t>
            </w:r>
            <w:r>
              <w:rPr>
                <w:rFonts w:hint="eastAsia"/>
                <w:color w:val="000000" w:themeColor="text1"/>
                <w14:textFill>
                  <w14:solidFill>
                    <w14:schemeClr w14:val="tx1"/>
                  </w14:solidFill>
                </w14:textFill>
              </w:rPr>
              <w:t>—隔音衰减因素，设备减震、厂房隔声，取</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dB（A）。</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经公式计算，预测结果见表4.</w:t>
            </w:r>
            <w:r>
              <w:rPr>
                <w:color w:val="000000" w:themeColor="text1"/>
                <w14:textFill>
                  <w14:solidFill>
                    <w14:schemeClr w14:val="tx1"/>
                  </w14:solidFill>
                </w14:textFill>
              </w:rPr>
              <w:t>8-2</w:t>
            </w:r>
            <w:r>
              <w:rPr>
                <w:rFonts w:hint="eastAsia"/>
                <w:color w:val="000000" w:themeColor="text1"/>
                <w14:textFill>
                  <w14:solidFill>
                    <w14:schemeClr w14:val="tx1"/>
                  </w14:solidFill>
                </w14:textFill>
              </w:rPr>
              <w:t>。</w:t>
            </w:r>
          </w:p>
          <w:p>
            <w:pPr>
              <w:pStyle w:val="28"/>
              <w:spacing w:before="163"/>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8-2  </w:t>
            </w:r>
            <w:r>
              <w:rPr>
                <w:rFonts w:hint="eastAsia"/>
                <w:color w:val="000000" w:themeColor="text1"/>
                <w14:textFill>
                  <w14:solidFill>
                    <w14:schemeClr w14:val="tx1"/>
                  </w14:solidFill>
                </w14:textFill>
              </w:rPr>
              <w:t xml:space="preserve">升压站不同厂界处预测结果一览表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单位：dB(A)</w:t>
            </w:r>
          </w:p>
          <w:tbl>
            <w:tblPr>
              <w:tblStyle w:val="21"/>
              <w:tblW w:w="81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7"/>
              <w:gridCol w:w="800"/>
              <w:gridCol w:w="1561"/>
              <w:gridCol w:w="1561"/>
              <w:gridCol w:w="1561"/>
              <w:gridCol w:w="15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47" w:type="dxa"/>
                  <w:gridSpan w:val="2"/>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噪声设备</w:t>
                  </w:r>
                </w:p>
              </w:tc>
              <w:tc>
                <w:tcPr>
                  <w:tcW w:w="156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东厂界</w:t>
                  </w:r>
                </w:p>
              </w:tc>
              <w:tc>
                <w:tcPr>
                  <w:tcW w:w="156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西厂界</w:t>
                  </w:r>
                </w:p>
              </w:tc>
              <w:tc>
                <w:tcPr>
                  <w:tcW w:w="1561"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南厂界</w:t>
                  </w:r>
                </w:p>
              </w:tc>
              <w:tc>
                <w:tcPr>
                  <w:tcW w:w="1560"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47" w:type="dxa"/>
                  <w:gridSpan w:val="2"/>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与厂界距离/m</w:t>
                  </w:r>
                </w:p>
              </w:tc>
              <w:tc>
                <w:tcPr>
                  <w:tcW w:w="1561"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30</w:t>
                  </w:r>
                </w:p>
              </w:tc>
              <w:tc>
                <w:tcPr>
                  <w:tcW w:w="1561"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30</w:t>
                  </w:r>
                </w:p>
              </w:tc>
              <w:tc>
                <w:tcPr>
                  <w:tcW w:w="1561"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26</w:t>
                  </w:r>
                </w:p>
              </w:tc>
              <w:tc>
                <w:tcPr>
                  <w:tcW w:w="1560"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47" w:type="dxa"/>
                  <w:gridSpan w:val="2"/>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预测值</w:t>
                  </w:r>
                </w:p>
              </w:tc>
              <w:tc>
                <w:tcPr>
                  <w:tcW w:w="1561"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43.5</w:t>
                  </w:r>
                </w:p>
              </w:tc>
              <w:tc>
                <w:tcPr>
                  <w:tcW w:w="1561"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43.5</w:t>
                  </w:r>
                </w:p>
              </w:tc>
              <w:tc>
                <w:tcPr>
                  <w:tcW w:w="1561"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44.7</w:t>
                  </w:r>
                </w:p>
              </w:tc>
              <w:tc>
                <w:tcPr>
                  <w:tcW w:w="1560" w:type="dxa"/>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47" w:type="dxa"/>
                  <w:vMerge w:val="restart"/>
                  <w:tcBorders>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背景值</w:t>
                  </w:r>
                </w:p>
              </w:tc>
              <w:tc>
                <w:tcPr>
                  <w:tcW w:w="800" w:type="dxa"/>
                  <w:tcBorders>
                    <w:left w:val="single" w:color="auto" w:sz="4" w:space="0"/>
                  </w:tcBorders>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561"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4</w:t>
                  </w:r>
                  <w:r>
                    <w:rPr>
                      <w:rFonts w:eastAsia="等线" w:cs="Times New Roman"/>
                      <w:color w:val="000000" w:themeColor="text1"/>
                      <w:szCs w:val="21"/>
                      <w14:textFill>
                        <w14:solidFill>
                          <w14:schemeClr w14:val="tx1"/>
                        </w14:solidFill>
                      </w14:textFill>
                    </w:rPr>
                    <w:t>5.7</w:t>
                  </w:r>
                </w:p>
              </w:tc>
              <w:tc>
                <w:tcPr>
                  <w:tcW w:w="1561"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4</w:t>
                  </w:r>
                  <w:r>
                    <w:rPr>
                      <w:rFonts w:eastAsia="等线" w:cs="Times New Roman"/>
                      <w:color w:val="000000" w:themeColor="text1"/>
                      <w:szCs w:val="21"/>
                      <w14:textFill>
                        <w14:solidFill>
                          <w14:schemeClr w14:val="tx1"/>
                        </w14:solidFill>
                      </w14:textFill>
                    </w:rPr>
                    <w:t>7.5</w:t>
                  </w:r>
                </w:p>
              </w:tc>
              <w:tc>
                <w:tcPr>
                  <w:tcW w:w="1561"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4</w:t>
                  </w:r>
                  <w:r>
                    <w:rPr>
                      <w:rFonts w:eastAsia="等线" w:cs="Times New Roman"/>
                      <w:color w:val="000000" w:themeColor="text1"/>
                      <w:szCs w:val="21"/>
                      <w14:textFill>
                        <w14:solidFill>
                          <w14:schemeClr w14:val="tx1"/>
                        </w14:solidFill>
                      </w14:textFill>
                    </w:rPr>
                    <w:t>9.3</w:t>
                  </w:r>
                </w:p>
              </w:tc>
              <w:tc>
                <w:tcPr>
                  <w:tcW w:w="1560"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4</w:t>
                  </w:r>
                  <w:r>
                    <w:rPr>
                      <w:rFonts w:eastAsia="等线" w:cs="Times New Roman"/>
                      <w:color w:val="000000" w:themeColor="text1"/>
                      <w:szCs w:val="21"/>
                      <w14:textFill>
                        <w14:solidFill>
                          <w14:schemeClr w14:val="tx1"/>
                        </w14:solidFill>
                      </w14:textFill>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47" w:type="dxa"/>
                  <w:vMerge w:val="continue"/>
                  <w:tcBorders>
                    <w:right w:val="single" w:color="auto" w:sz="4" w:space="0"/>
                  </w:tcBorders>
                  <w:vAlign w:val="center"/>
                </w:tcPr>
                <w:p>
                  <w:pPr>
                    <w:pStyle w:val="29"/>
                    <w:rPr>
                      <w:color w:val="000000" w:themeColor="text1"/>
                      <w14:textFill>
                        <w14:solidFill>
                          <w14:schemeClr w14:val="tx1"/>
                        </w14:solidFill>
                      </w14:textFill>
                    </w:rPr>
                  </w:pPr>
                </w:p>
              </w:tc>
              <w:tc>
                <w:tcPr>
                  <w:tcW w:w="800" w:type="dxa"/>
                  <w:tcBorders>
                    <w:left w:val="single" w:color="auto" w:sz="4" w:space="0"/>
                  </w:tcBorders>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561"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3</w:t>
                  </w:r>
                  <w:r>
                    <w:rPr>
                      <w:rFonts w:eastAsia="等线" w:cs="Times New Roman"/>
                      <w:color w:val="000000" w:themeColor="text1"/>
                      <w:szCs w:val="21"/>
                      <w14:textFill>
                        <w14:solidFill>
                          <w14:schemeClr w14:val="tx1"/>
                        </w14:solidFill>
                      </w14:textFill>
                    </w:rPr>
                    <w:t>8.4</w:t>
                  </w:r>
                </w:p>
              </w:tc>
              <w:tc>
                <w:tcPr>
                  <w:tcW w:w="1561"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3</w:t>
                  </w:r>
                  <w:r>
                    <w:rPr>
                      <w:rFonts w:eastAsia="等线" w:cs="Times New Roman"/>
                      <w:color w:val="000000" w:themeColor="text1"/>
                      <w:szCs w:val="21"/>
                      <w14:textFill>
                        <w14:solidFill>
                          <w14:schemeClr w14:val="tx1"/>
                        </w14:solidFill>
                      </w14:textFill>
                    </w:rPr>
                    <w:t>8.2</w:t>
                  </w:r>
                </w:p>
              </w:tc>
              <w:tc>
                <w:tcPr>
                  <w:tcW w:w="1561"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3</w:t>
                  </w:r>
                  <w:r>
                    <w:rPr>
                      <w:rFonts w:eastAsia="等线" w:cs="Times New Roman"/>
                      <w:color w:val="000000" w:themeColor="text1"/>
                      <w:szCs w:val="21"/>
                      <w14:textFill>
                        <w14:solidFill>
                          <w14:schemeClr w14:val="tx1"/>
                        </w14:solidFill>
                      </w14:textFill>
                    </w:rPr>
                    <w:t>8.7</w:t>
                  </w:r>
                </w:p>
              </w:tc>
              <w:tc>
                <w:tcPr>
                  <w:tcW w:w="1560" w:type="dxa"/>
                  <w:vAlign w:val="center"/>
                </w:tcPr>
                <w:p>
                  <w:pPr>
                    <w:pStyle w:val="29"/>
                    <w:rPr>
                      <w:rFonts w:eastAsia="等线" w:cs="Times New Roman"/>
                      <w:color w:val="000000" w:themeColor="text1"/>
                      <w:szCs w:val="21"/>
                      <w14:textFill>
                        <w14:solidFill>
                          <w14:schemeClr w14:val="tx1"/>
                        </w14:solidFill>
                      </w14:textFill>
                    </w:rPr>
                  </w:pPr>
                  <w:r>
                    <w:rPr>
                      <w:rFonts w:hint="eastAsia" w:eastAsia="等线" w:cs="Times New Roman"/>
                      <w:color w:val="000000" w:themeColor="text1"/>
                      <w:szCs w:val="21"/>
                      <w14:textFill>
                        <w14:solidFill>
                          <w14:schemeClr w14:val="tx1"/>
                        </w14:solidFill>
                      </w14:textFill>
                    </w:rPr>
                    <w:t>3</w:t>
                  </w:r>
                  <w:r>
                    <w:rPr>
                      <w:rFonts w:eastAsia="等线" w:cs="Times New Roman"/>
                      <w:color w:val="000000" w:themeColor="text1"/>
                      <w:szCs w:val="21"/>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47" w:type="dxa"/>
                  <w:vMerge w:val="restart"/>
                  <w:tcBorders>
                    <w:right w:val="single" w:color="auto" w:sz="4" w:space="0"/>
                  </w:tcBorders>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叠加值</w:t>
                  </w:r>
                </w:p>
              </w:tc>
              <w:tc>
                <w:tcPr>
                  <w:tcW w:w="800" w:type="dxa"/>
                  <w:tcBorders>
                    <w:left w:val="single" w:color="auto" w:sz="4" w:space="0"/>
                  </w:tcBorders>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5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47.7</w:t>
                  </w:r>
                </w:p>
              </w:tc>
              <w:tc>
                <w:tcPr>
                  <w:tcW w:w="15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48.9</w:t>
                  </w:r>
                </w:p>
              </w:tc>
              <w:tc>
                <w:tcPr>
                  <w:tcW w:w="15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50.6</w:t>
                  </w:r>
                </w:p>
              </w:tc>
              <w:tc>
                <w:tcPr>
                  <w:tcW w:w="1560"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47" w:type="dxa"/>
                  <w:vMerge w:val="continue"/>
                  <w:tcBorders>
                    <w:right w:val="single" w:color="auto" w:sz="4" w:space="0"/>
                  </w:tcBorders>
                </w:tcPr>
                <w:p>
                  <w:pPr>
                    <w:pStyle w:val="29"/>
                    <w:rPr>
                      <w:color w:val="000000" w:themeColor="text1"/>
                      <w14:textFill>
                        <w14:solidFill>
                          <w14:schemeClr w14:val="tx1"/>
                        </w14:solidFill>
                      </w14:textFill>
                    </w:rPr>
                  </w:pPr>
                </w:p>
              </w:tc>
              <w:tc>
                <w:tcPr>
                  <w:tcW w:w="800" w:type="dxa"/>
                  <w:tcBorders>
                    <w:left w:val="single" w:color="auto" w:sz="4" w:space="0"/>
                  </w:tcBorders>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5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44.6</w:t>
                  </w:r>
                </w:p>
              </w:tc>
              <w:tc>
                <w:tcPr>
                  <w:tcW w:w="15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44.6</w:t>
                  </w:r>
                </w:p>
              </w:tc>
              <w:tc>
                <w:tcPr>
                  <w:tcW w:w="1561"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45.7</w:t>
                  </w:r>
                </w:p>
              </w:tc>
              <w:tc>
                <w:tcPr>
                  <w:tcW w:w="1560" w:type="dxa"/>
                  <w:vAlign w:val="bottom"/>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43.4</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由上表可知，升压站在厂界处噪声预测值满足《工业企业厂界环境噪声排放标准》（GB12348-2008）中1类标准限值要求。</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固体废物</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.9.1 </w:t>
            </w:r>
            <w:r>
              <w:rPr>
                <w:rFonts w:hint="eastAsia"/>
                <w:color w:val="000000" w:themeColor="text1"/>
                <w14:textFill>
                  <w14:solidFill>
                    <w14:schemeClr w14:val="tx1"/>
                  </w14:solidFill>
                </w14:textFill>
              </w:rPr>
              <w:t>一般固废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（1）生活垃圾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本期工程不新建升压站，运营期风电场运行管理人员依托一期2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kV升压站，不新增工作人员，无新增生活垃圾产生。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（2）报废配件、设备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风电机组为密闭系统，正常运转时无固体废物产生。升压站营运期产生的报废的设备和配件等检修废物量很少，约0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t/a。检修废物收集后临时贮存在一期2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kV升压站，废旧玻璃钢材料和包装物外卖给废品收购公司综合利用，废轴承由厂家回收处置。</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.9.2 </w:t>
            </w:r>
            <w:r>
              <w:rPr>
                <w:rFonts w:hint="eastAsia"/>
                <w:color w:val="000000" w:themeColor="text1"/>
                <w14:textFill>
                  <w14:solidFill>
                    <w14:schemeClr w14:val="tx1"/>
                  </w14:solidFill>
                </w14:textFill>
              </w:rPr>
              <w:t>危险废物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（1）检修废油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检修的废油，包括发电机前、后轴承润滑油脂、变桨减速器润滑油、偏航轴承、齿面、变桨轴承润滑油、箱变液压油和主变液压油（主要成分矿物油和锂皂基、锂-钙复合基为主的危险废弃物），根据《国家危险废物名录》2021版，废物类别为HW08-900-249-08（其他生产、销售、使用过程中产生的废矿物油及含矿物油废物），检修产生的废油量约</w:t>
            </w:r>
            <w:r>
              <w:rPr>
                <w:color w:val="000000" w:themeColor="text1"/>
                <w14:textFill>
                  <w14:solidFill>
                    <w14:schemeClr w14:val="tx1"/>
                  </w14:solidFill>
                </w14:textFill>
              </w:rPr>
              <w:t>0.15t/a</w:t>
            </w:r>
            <w:r>
              <w:rPr>
                <w:rFonts w:hint="eastAsia"/>
                <w:color w:val="000000" w:themeColor="text1"/>
                <w14:textFill>
                  <w14:solidFill>
                    <w14:schemeClr w14:val="tx1"/>
                  </w14:solidFill>
                </w14:textFill>
              </w:rPr>
              <w:t>。本项目产生的检修废油经收集后，依托一期2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kV升压站危废暂存设施暂存后，委托有危废处置资质的单位定期清运妥善处置。一期危废暂存间面积</w:t>
            </w:r>
            <w:r>
              <w:rPr>
                <w:color w:val="000000" w:themeColor="text1"/>
                <w14:textFill>
                  <w14:solidFill>
                    <w14:schemeClr w14:val="tx1"/>
                  </w14:solidFill>
                </w14:textFill>
              </w:rPr>
              <w:t>49.5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，一期废油产生量约0</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t/a，危废暂存间能够满足一期及二期废油暂存要求。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根据现状调查，一期2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设置有一间危废暂存库，现状调查其防渗措施能满足《危险废物贮存污染控制标准》（GB18597-2023）相关规定。本次环评也要求建设单位危废暂存间设置及危废处置必须严格按照《危险废物贮存污染控制标准》（GB18597-2023）有关规定执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（2）主变变压器油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项目在一期2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kV升压站安装</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MVA的主变压器，根据建设单位提供资料可知，</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MVA变压器油重约</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t，变压器油密度为895kg/m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，则变压器油量约为</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；若变压器发生漏油事故，排入一期已建事故油池，一期事故油池容积</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，能够满足事故状态下单台主变</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的油量，确保事故油不泄露，满足《火力发电厂与变电站设计防火标准》（</w:t>
            </w:r>
            <w:r>
              <w:rPr>
                <w:color w:val="000000" w:themeColor="text1"/>
                <w14:textFill>
                  <w14:solidFill>
                    <w14:schemeClr w14:val="tx1"/>
                  </w14:solidFill>
                </w14:textFill>
              </w:rPr>
              <w:t>GB50229-2019</w:t>
            </w:r>
            <w:r>
              <w:rPr>
                <w:rFonts w:hint="eastAsia"/>
                <w:color w:val="000000" w:themeColor="text1"/>
                <w14:textFill>
                  <w14:solidFill>
                    <w14:schemeClr w14:val="tx1"/>
                  </w14:solidFill>
                </w14:textFill>
              </w:rPr>
              <w:t>）中相关要求。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若变压器发生漏油事故，其变压器油进入主变下方集油坑，经排油管道排入总事故油池，事故油池设置有油水分离装置，进入事故油池的变压器油经油水分离后，约92%的事故油经有资质单位处理设施处理后属合格变压器油，即约为</w:t>
            </w:r>
            <w:r>
              <w:rPr>
                <w:color w:val="000000" w:themeColor="text1"/>
                <w14:textFill>
                  <w14:solidFill>
                    <w14:schemeClr w14:val="tx1"/>
                  </w14:solidFill>
                </w14:textFill>
              </w:rPr>
              <w:t>49.68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变压器油抽回变压器中继续使用，剩余的8%的变压器为废油不能使用，即2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kV升压站产生事故油约</w:t>
            </w:r>
            <w:r>
              <w:rPr>
                <w:color w:val="000000" w:themeColor="text1"/>
                <w14:textFill>
                  <w14:solidFill>
                    <w14:schemeClr w14:val="tx1"/>
                  </w14:solidFill>
                </w14:textFill>
              </w:rPr>
              <w:t>4.32</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次（折合</w:t>
            </w:r>
            <w:r>
              <w:rPr>
                <w:color w:val="000000" w:themeColor="text1"/>
                <w14:textFill>
                  <w14:solidFill>
                    <w14:schemeClr w14:val="tx1"/>
                  </w14:solidFill>
                </w14:textFill>
              </w:rPr>
              <w:t>3.87</w:t>
            </w:r>
            <w:r>
              <w:rPr>
                <w:rFonts w:hint="eastAsia"/>
                <w:color w:val="000000" w:themeColor="text1"/>
                <w14:textFill>
                  <w14:solidFill>
                    <w14:schemeClr w14:val="tx1"/>
                  </w14:solidFill>
                </w14:textFill>
              </w:rPr>
              <w:t>t/次），委托有危废处理资质的单位处理。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（3）箱变变压器油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在非正常情况下，箱变可能产生变压器油泄漏，箱变排油一侧设置集油池，事故状态下，泄漏的废油进入集油池收集，及时委托有危废处置资质的单位及时清运处置。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本项目每台风电场箱变基础内配套设置事故集油池，箱变配套集油池容积不小于</w:t>
            </w:r>
            <w:r>
              <w:rPr>
                <w:color w:val="000000" w:themeColor="text1"/>
                <w14:textFill>
                  <w14:solidFill>
                    <w14:schemeClr w14:val="tx1"/>
                  </w14:solidFill>
                </w14:textFill>
              </w:rPr>
              <w:t>3m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，根据建设单位提供资料，本项目箱式变压器油量约为</w:t>
            </w:r>
            <w:r>
              <w:rPr>
                <w:color w:val="000000" w:themeColor="text1"/>
                <w14:textFill>
                  <w14:solidFill>
                    <w14:schemeClr w14:val="tx1"/>
                  </w14:solidFill>
                </w14:textFill>
              </w:rPr>
              <w:t>2.5t</w:t>
            </w:r>
            <w:r>
              <w:rPr>
                <w:rFonts w:hint="eastAsia"/>
                <w:color w:val="000000" w:themeColor="text1"/>
                <w14:textFill>
                  <w14:solidFill>
                    <w14:schemeClr w14:val="tx1"/>
                  </w14:solidFill>
                </w14:textFill>
              </w:rPr>
              <w:t>（环烷基变压器油密度约</w:t>
            </w:r>
            <w:r>
              <w:rPr>
                <w:color w:val="000000" w:themeColor="text1"/>
                <w14:textFill>
                  <w14:solidFill>
                    <w14:schemeClr w14:val="tx1"/>
                  </w14:solidFill>
                </w14:textFill>
              </w:rPr>
              <w:t>895kg/m</w:t>
            </w:r>
            <w:r>
              <w:rPr>
                <w:rFonts w:hint="eastAsia"/>
                <w:color w:val="000000" w:themeColor="text1"/>
                <w14:textFill>
                  <w14:solidFill>
                    <w14:schemeClr w14:val="tx1"/>
                  </w14:solidFill>
                </w14:textFill>
              </w:rPr>
              <w:t>³，故油体积为</w:t>
            </w:r>
            <w:r>
              <w:rPr>
                <w:color w:val="000000" w:themeColor="text1"/>
                <w14:textFill>
                  <w14:solidFill>
                    <w14:schemeClr w14:val="tx1"/>
                  </w14:solidFill>
                </w14:textFill>
              </w:rPr>
              <w:t>2.79m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），项目设置的箱变集油池能满足事故状态下</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的箱变容油量，确保事故油不泄露，满足《火力发电厂与变电站设计防火标准》（</w:t>
            </w:r>
            <w:r>
              <w:rPr>
                <w:color w:val="000000" w:themeColor="text1"/>
                <w14:textFill>
                  <w14:solidFill>
                    <w14:schemeClr w14:val="tx1"/>
                  </w14:solidFill>
                </w14:textFill>
              </w:rPr>
              <w:t>GB50229-2019</w:t>
            </w:r>
            <w:r>
              <w:rPr>
                <w:rFonts w:hint="eastAsia"/>
                <w:color w:val="000000" w:themeColor="text1"/>
                <w14:textFill>
                  <w14:solidFill>
                    <w14:schemeClr w14:val="tx1"/>
                  </w14:solidFill>
                </w14:textFill>
              </w:rPr>
              <w:t>）中相关要求。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综上所述，项目运营期产生的固废能得到妥善处置，对周围环境影响较小。项目固体废物产生及处置情况见下表。</w:t>
            </w:r>
          </w:p>
          <w:p>
            <w:pPr>
              <w:pStyle w:val="28"/>
              <w:spacing w:before="163"/>
              <w:rPr>
                <w:color w:val="000000" w:themeColor="text1"/>
                <w14:textFill>
                  <w14:solidFill>
                    <w14:schemeClr w14:val="tx1"/>
                  </w14:solidFill>
                </w14:textFill>
              </w:rPr>
            </w:pP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.9-1  </w:t>
            </w:r>
            <w:r>
              <w:rPr>
                <w:rFonts w:hint="eastAsia"/>
                <w:color w:val="000000" w:themeColor="text1"/>
                <w14:textFill>
                  <w14:solidFill>
                    <w14:schemeClr w14:val="tx1"/>
                  </w14:solidFill>
                </w14:textFill>
              </w:rPr>
              <w:t>项目固体废物产生及处置情况一览表</w:t>
            </w:r>
          </w:p>
          <w:tbl>
            <w:tblPr>
              <w:tblStyle w:val="21"/>
              <w:tblW w:w="81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6"/>
              <w:gridCol w:w="1910"/>
              <w:gridCol w:w="1032"/>
              <w:gridCol w:w="40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9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固废类型</w:t>
                  </w:r>
                </w:p>
              </w:tc>
              <w:tc>
                <w:tcPr>
                  <w:tcW w:w="19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40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9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19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报废设备、配件</w:t>
                  </w:r>
                </w:p>
              </w:tc>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t/a</w:t>
                  </w:r>
                </w:p>
              </w:tc>
              <w:tc>
                <w:tcPr>
                  <w:tcW w:w="40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厂家回收或外售综合利用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96" w:type="dxa"/>
                  <w:vMerge w:val="restart"/>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9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检修废油</w:t>
                  </w:r>
                </w:p>
              </w:tc>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t/a</w:t>
                  </w:r>
                </w:p>
              </w:tc>
              <w:tc>
                <w:tcPr>
                  <w:tcW w:w="40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危废暂存间暂存，委托资质单位处置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96" w:type="dxa"/>
                  <w:vMerge w:val="continue"/>
                  <w:vAlign w:val="center"/>
                </w:tcPr>
                <w:p>
                  <w:pPr>
                    <w:pStyle w:val="29"/>
                    <w:rPr>
                      <w:color w:val="000000" w:themeColor="text1"/>
                      <w14:textFill>
                        <w14:solidFill>
                          <w14:schemeClr w14:val="tx1"/>
                        </w14:solidFill>
                      </w14:textFill>
                    </w:rPr>
                  </w:pPr>
                </w:p>
              </w:tc>
              <w:tc>
                <w:tcPr>
                  <w:tcW w:w="19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主变压器油</w:t>
                  </w:r>
                </w:p>
              </w:tc>
              <w:tc>
                <w:tcPr>
                  <w:tcW w:w="103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3.87</w:t>
                  </w:r>
                  <w:r>
                    <w:rPr>
                      <w:rFonts w:hint="eastAsia"/>
                      <w:color w:val="000000" w:themeColor="text1"/>
                      <w14:textFill>
                        <w14:solidFill>
                          <w14:schemeClr w14:val="tx1"/>
                        </w14:solidFill>
                      </w14:textFill>
                    </w:rPr>
                    <w:t>t/次</w:t>
                  </w:r>
                </w:p>
              </w:tc>
              <w:tc>
                <w:tcPr>
                  <w:tcW w:w="40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事故油池收集，委托资质单位处置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96" w:type="dxa"/>
                  <w:vMerge w:val="continue"/>
                  <w:vAlign w:val="center"/>
                </w:tcPr>
                <w:p>
                  <w:pPr>
                    <w:pStyle w:val="29"/>
                    <w:rPr>
                      <w:color w:val="000000" w:themeColor="text1"/>
                      <w14:textFill>
                        <w14:solidFill>
                          <w14:schemeClr w14:val="tx1"/>
                        </w14:solidFill>
                      </w14:textFill>
                    </w:rPr>
                  </w:pPr>
                </w:p>
              </w:tc>
              <w:tc>
                <w:tcPr>
                  <w:tcW w:w="1910"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箱变废油</w:t>
                  </w:r>
                </w:p>
              </w:tc>
              <w:tc>
                <w:tcPr>
                  <w:tcW w:w="103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t/次</w:t>
                  </w:r>
                </w:p>
              </w:tc>
              <w:tc>
                <w:tcPr>
                  <w:tcW w:w="40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集油池收集，委托资质单位处置</w:t>
                  </w:r>
                </w:p>
              </w:tc>
            </w:tr>
          </w:tbl>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.10 </w:t>
            </w:r>
            <w:r>
              <w:rPr>
                <w:rFonts w:hint="eastAsia"/>
                <w:color w:val="000000" w:themeColor="text1"/>
                <w14:textFill>
                  <w14:solidFill>
                    <w14:schemeClr w14:val="tx1"/>
                  </w14:solidFill>
                </w14:textFill>
              </w:rPr>
              <w:t>风险分析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（1）风险识别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结合拟建项目特点可知，拟建项目主要的环境风险主要为变压器油泄漏、危废暂存间检修废油泄漏、火灾风险。风险物质主要为变压器事故油、检修废油。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（2）环境风险潜势初判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①Q值计算方法</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计算所涉及的每种危险物质在项目区内的最大存在总量与其在《建设项目环境风险评价技术导则》（HJ/169-2018）中附录B中对应的临界量的比值Q</w:t>
            </w:r>
          </w:p>
          <w:p>
            <w:pPr>
              <w:ind w:firstLine="480"/>
              <w:rPr>
                <w:color w:val="000000" w:themeColor="text1"/>
                <w14:textFill>
                  <w14:solidFill>
                    <w14:schemeClr w14:val="tx1"/>
                  </w14:solidFill>
                </w14:textFill>
              </w:rPr>
            </w:pPr>
            <m:oMathPara>
              <m:oMath>
                <m:r>
                  <w:rPr>
                    <w:rFonts w:ascii="Cambria Math" w:hAnsi="Cambria Math"/>
                    <w:color w:val="000000" w:themeColor="text1"/>
                    <w14:textFill>
                      <w14:solidFill>
                        <w14:schemeClr w14:val="tx1"/>
                      </w14:solidFill>
                    </w14:textFill>
                  </w:rPr>
                  <m:t>Q=</m:t>
                </m:r>
                <m:f>
                  <m:fPr>
                    <m:ctrlPr>
                      <w:rPr>
                        <w:rFonts w:ascii="Cambria Math" w:hAnsi="Cambria Math"/>
                        <w:i/>
                        <w:color w:val="000000" w:themeColor="text1"/>
                        <w14:textFill>
                          <w14:solidFill>
                            <w14:schemeClr w14:val="tx1"/>
                          </w14:solidFill>
                        </w14:textFill>
                      </w:rPr>
                    </m:ctrlPr>
                  </m:fPr>
                  <m:num>
                    <m:sSub>
                      <m:sSubPr>
                        <m:ctrlPr>
                          <w:rPr>
                            <w:rFonts w:ascii="Cambria Math" w:hAnsi="Cambria Math"/>
                            <w:i/>
                            <w:color w:val="000000" w:themeColor="text1"/>
                            <w14:textFill>
                              <w14:solidFill>
                                <w14:schemeClr w14:val="tx1"/>
                              </w14:solidFill>
                            </w14:textFill>
                          </w:rPr>
                        </m:ctrlPr>
                      </m:sSubPr>
                      <m:e>
                        <m:r>
                          <w:rPr>
                            <w:rFonts w:hint="eastAsia"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sSub>
                      <m:sSubPr>
                        <m:ctrlPr>
                          <w:rPr>
                            <w:rFonts w:ascii="Cambria Math" w:hAnsi="Cambria Math"/>
                            <w:i/>
                            <w:color w:val="000000" w:themeColor="text1"/>
                            <w14:textFill>
                              <w14:solidFill>
                                <w14:schemeClr w14:val="tx1"/>
                              </w14:solidFill>
                            </w14:textFill>
                          </w:rPr>
                        </m:ctrlPr>
                      </m:sSubPr>
                      <m:e>
                        <m:r>
                          <w:rPr>
                            <w:rFonts w:hint="eastAsia"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w:rPr>
                    <w:rFonts w:hint="eastAsia" w:ascii="Cambria Math" w:hAnsi="Cambria Math"/>
                    <w:color w:val="000000" w:themeColor="text1"/>
                    <w14:textFill>
                      <w14:solidFill>
                        <w14:schemeClr w14:val="tx1"/>
                      </w14:solidFill>
                    </w14:textFill>
                  </w:rPr>
                  <m:t>……</m:t>
                </m:r>
                <m: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sSub>
                      <m:sSubPr>
                        <m:ctrlPr>
                          <w:rPr>
                            <w:rFonts w:ascii="Cambria Math" w:hAnsi="Cambria Math"/>
                            <w:i/>
                            <w:color w:val="000000" w:themeColor="text1"/>
                            <w14:textFill>
                              <w14:solidFill>
                                <w14:schemeClr w14:val="tx1"/>
                              </w14:solidFill>
                            </w14:textFill>
                          </w:rPr>
                        </m:ctrlPr>
                      </m:sSubPr>
                      <m:e>
                        <m:r>
                          <w:rPr>
                            <w:rFonts w:hint="eastAsia"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w:rPr>
                            <w:rFonts w:hint="eastAsia"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i/>
                            <w:color w:val="000000" w:themeColor="text1"/>
                            <w14:textFill>
                              <w14:solidFill>
                                <w14:schemeClr w14:val="tx1"/>
                              </w14:solidFill>
                            </w14:textFill>
                          </w:rPr>
                        </m:ctrlPr>
                      </m:e>
                      <m:sub>
                        <m:r>
                          <w:rPr>
                            <w:rFonts w:hint="eastAsia"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oMath>
            </m:oMathPara>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rFonts w:hint="eastAsia"/>
                <w:i/>
                <w:iCs/>
                <w:color w:val="000000" w:themeColor="text1"/>
                <w14:textFill>
                  <w14:solidFill>
                    <w14:schemeClr w14:val="tx1"/>
                  </w14:solidFill>
                </w14:textFill>
              </w:rPr>
              <w:t>q</w:t>
            </w:r>
            <w:r>
              <w:rPr>
                <w:i/>
                <w:iCs/>
                <w:color w:val="000000" w:themeColor="text1"/>
                <w:vertAlign w:val="subscript"/>
                <w14:textFill>
                  <w14:solidFill>
                    <w14:schemeClr w14:val="tx1"/>
                  </w14:solidFill>
                </w14:textFill>
              </w:rPr>
              <w:t>1</w:t>
            </w:r>
            <w:r>
              <w:rPr>
                <w:rFonts w:hint="eastAsia"/>
                <w:i/>
                <w:iCs/>
                <w:color w:val="000000" w:themeColor="text1"/>
                <w14:textFill>
                  <w14:solidFill>
                    <w14:schemeClr w14:val="tx1"/>
                  </w14:solidFill>
                </w14:textFill>
              </w:rPr>
              <w:t>、q</w:t>
            </w:r>
            <w:r>
              <w:rPr>
                <w:i/>
                <w:iCs/>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、q</w:t>
            </w:r>
            <w:r>
              <w:rPr>
                <w:rFonts w:hint="eastAsia"/>
                <w:i/>
                <w:iCs/>
                <w:color w:val="000000" w:themeColor="text1"/>
                <w:vertAlign w:val="subscript"/>
                <w14:textFill>
                  <w14:solidFill>
                    <w14:schemeClr w14:val="tx1"/>
                  </w14:solidFill>
                </w14:textFill>
              </w:rPr>
              <w:t>n</w:t>
            </w:r>
            <w:r>
              <w:rPr>
                <w:rFonts w:hint="eastAsia"/>
                <w:color w:val="000000" w:themeColor="text1"/>
                <w14:textFill>
                  <w14:solidFill>
                    <w14:schemeClr w14:val="tx1"/>
                  </w14:solidFill>
                </w14:textFill>
              </w:rPr>
              <w:t>：每种危险物质实际存在量（t）；</w:t>
            </w:r>
          </w:p>
          <w:p>
            <w:pPr>
              <w:ind w:firstLine="1200" w:firstLineChars="500"/>
              <w:rPr>
                <w:color w:val="000000" w:themeColor="text1"/>
                <w14:textFill>
                  <w14:solidFill>
                    <w14:schemeClr w14:val="tx1"/>
                  </w14:solidFill>
                </w14:textFill>
              </w:rPr>
            </w:pPr>
            <w:r>
              <w:rPr>
                <w:rFonts w:hint="eastAsia"/>
                <w:i/>
                <w:iCs/>
                <w:color w:val="000000" w:themeColor="text1"/>
                <w14:textFill>
                  <w14:solidFill>
                    <w14:schemeClr w14:val="tx1"/>
                  </w14:solidFill>
                </w14:textFill>
              </w:rPr>
              <w:t>Q</w:t>
            </w:r>
            <w:r>
              <w:rPr>
                <w:i/>
                <w:iCs/>
                <w:color w:val="000000" w:themeColor="text1"/>
                <w:vertAlign w:val="subscript"/>
                <w14:textFill>
                  <w14:solidFill>
                    <w14:schemeClr w14:val="tx1"/>
                  </w14:solidFill>
                </w14:textFill>
              </w:rPr>
              <w:t>1</w:t>
            </w:r>
            <w:r>
              <w:rPr>
                <w:rFonts w:hint="eastAsia"/>
                <w:i/>
                <w:iCs/>
                <w:color w:val="000000" w:themeColor="text1"/>
                <w14:textFill>
                  <w14:solidFill>
                    <w14:schemeClr w14:val="tx1"/>
                  </w14:solidFill>
                </w14:textFill>
              </w:rPr>
              <w:t>、Q</w:t>
            </w:r>
            <w:r>
              <w:rPr>
                <w:i/>
                <w:iCs/>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…Q</w:t>
            </w:r>
            <w:r>
              <w:rPr>
                <w:rFonts w:hint="eastAsia"/>
                <w:i/>
                <w:iCs/>
                <w:color w:val="000000" w:themeColor="text1"/>
                <w:vertAlign w:val="subscript"/>
                <w14:textFill>
                  <w14:solidFill>
                    <w14:schemeClr w14:val="tx1"/>
                  </w14:solidFill>
                </w14:textFill>
              </w:rPr>
              <w:t>n</w:t>
            </w:r>
            <w:r>
              <w:rPr>
                <w:rFonts w:hint="eastAsia"/>
                <w:color w:val="000000" w:themeColor="text1"/>
                <w14:textFill>
                  <w14:solidFill>
                    <w14:schemeClr w14:val="tx1"/>
                  </w14:solidFill>
                </w14:textFill>
              </w:rPr>
              <w:t>：与各危险物质相对应的生产场所或贮存区的临界量（t）。</w:t>
            </w:r>
          </w:p>
          <w:p>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当Q＜1时，该项目环境风险潜势为Ⅰ。</w:t>
            </w:r>
          </w:p>
          <w:p>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当Q≥1时，将Q值划分为：（1）1≤Q＜10；（2）10≤Q＜100；（3）Q≥100。</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拟建项目Q的确定见表</w:t>
            </w:r>
            <w:r>
              <w:rPr>
                <w:color w:val="000000" w:themeColor="text1"/>
                <w14:textFill>
                  <w14:solidFill>
                    <w14:schemeClr w14:val="tx1"/>
                  </w14:solidFill>
                </w14:textFill>
              </w:rPr>
              <w:t>4.10-1</w:t>
            </w:r>
            <w:r>
              <w:rPr>
                <w:rFonts w:hint="eastAsia"/>
                <w:color w:val="000000" w:themeColor="text1"/>
                <w14:textFill>
                  <w14:solidFill>
                    <w14:schemeClr w14:val="tx1"/>
                  </w14:solidFill>
                </w14:textFill>
              </w:rPr>
              <w:t>。</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.10-1  </w:t>
            </w:r>
            <w:r>
              <w:rPr>
                <w:rFonts w:hint="eastAsia"/>
                <w:color w:val="000000" w:themeColor="text1"/>
                <w14:textFill>
                  <w14:solidFill>
                    <w14:schemeClr w14:val="tx1"/>
                  </w14:solidFill>
                </w14:textFill>
              </w:rPr>
              <w:t>项目Q值一览表</w:t>
            </w:r>
          </w:p>
          <w:tbl>
            <w:tblPr>
              <w:tblStyle w:val="21"/>
              <w:tblW w:w="81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7"/>
              <w:gridCol w:w="2139"/>
              <w:gridCol w:w="1340"/>
              <w:gridCol w:w="1222"/>
              <w:gridCol w:w="1874"/>
              <w:gridCol w:w="8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0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13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340"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最大存量</w:t>
                  </w:r>
                </w:p>
              </w:tc>
              <w:tc>
                <w:tcPr>
                  <w:tcW w:w="122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临界量/t</w:t>
                  </w:r>
                </w:p>
              </w:tc>
              <w:tc>
                <w:tcPr>
                  <w:tcW w:w="187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分布情况</w:t>
                  </w:r>
                </w:p>
              </w:tc>
              <w:tc>
                <w:tcPr>
                  <w:tcW w:w="80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状态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0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3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主变压器事故油</w:t>
                  </w:r>
                </w:p>
              </w:tc>
              <w:tc>
                <w:tcPr>
                  <w:tcW w:w="134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48</w:t>
                  </w:r>
                </w:p>
              </w:tc>
              <w:tc>
                <w:tcPr>
                  <w:tcW w:w="122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500</w:t>
                  </w:r>
                </w:p>
              </w:tc>
              <w:tc>
                <w:tcPr>
                  <w:tcW w:w="187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事故油池</w:t>
                  </w:r>
                </w:p>
              </w:tc>
              <w:tc>
                <w:tcPr>
                  <w:tcW w:w="80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0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13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废检修油</w:t>
                  </w:r>
                </w:p>
              </w:tc>
              <w:tc>
                <w:tcPr>
                  <w:tcW w:w="1340"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.15</w:t>
                  </w:r>
                </w:p>
              </w:tc>
              <w:tc>
                <w:tcPr>
                  <w:tcW w:w="122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500</w:t>
                  </w:r>
                </w:p>
              </w:tc>
              <w:tc>
                <w:tcPr>
                  <w:tcW w:w="187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危废间</w:t>
                  </w:r>
                </w:p>
              </w:tc>
              <w:tc>
                <w:tcPr>
                  <w:tcW w:w="80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807"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139"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箱变事故油</w:t>
                  </w:r>
                </w:p>
              </w:tc>
              <w:tc>
                <w:tcPr>
                  <w:tcW w:w="1340" w:type="dxa"/>
                </w:tcPr>
                <w:p>
                  <w:pPr>
                    <w:pStyle w:val="29"/>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222"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500</w:t>
                  </w:r>
                </w:p>
              </w:tc>
              <w:tc>
                <w:tcPr>
                  <w:tcW w:w="1874"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箱变事故油池</w:t>
                  </w:r>
                </w:p>
              </w:tc>
              <w:tc>
                <w:tcPr>
                  <w:tcW w:w="808"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经计算，拟建项目Q=0.0</w:t>
            </w:r>
            <w:r>
              <w:rPr>
                <w:color w:val="000000" w:themeColor="text1"/>
                <w14:textFill>
                  <w14:solidFill>
                    <w14:schemeClr w14:val="tx1"/>
                  </w14:solidFill>
                </w14:textFill>
              </w:rPr>
              <w:t>2026</w:t>
            </w:r>
            <w:r>
              <w:rPr>
                <w:rFonts w:hint="eastAsia"/>
                <w:color w:val="000000" w:themeColor="text1"/>
                <w14:textFill>
                  <w14:solidFill>
                    <w14:schemeClr w14:val="tx1"/>
                  </w14:solidFill>
                </w14:textFill>
              </w:rPr>
              <w:t>，Q＜1。</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②风险等级判定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根据《建设项目环境风险评价技术导则》（HJ/169-2018），当Q＜1时，该项目环境风险潜势划为Ⅰ，按评价工作等级划分要求，确定拟建项目环境风险评价等级为简单分</w:t>
            </w:r>
            <w:r>
              <w:rPr>
                <w:rFonts w:hint="eastAsia"/>
                <w:color w:val="000000" w:themeColor="text1"/>
                <w:lang w:val="en-US" w:eastAsia="zh-CN"/>
                <w14:textFill>
                  <w14:solidFill>
                    <w14:schemeClr w14:val="tx1"/>
                  </w14:solidFill>
                </w14:textFill>
              </w:rPr>
              <w:t>级</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（3）环境风险评价结论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环境风险等级为简单分析。通过采取相应的工程措施，可以将拟建项目的风险降低到可接受水平。另外，通过制定风险事故应急预案，可以提高风险事故处置效率，最大限度的降低对环境和周边群众的危害，并将经济损失降至最低水平。拟建项目拟采取的环境风险防范措施有效可行，项目环境风险可防控，总体环境风险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风险评价内容见表</w:t>
            </w:r>
            <w:r>
              <w:rPr>
                <w:color w:val="000000" w:themeColor="text1"/>
                <w14:textFill>
                  <w14:solidFill>
                    <w14:schemeClr w14:val="tx1"/>
                  </w14:solidFill>
                </w14:textFill>
              </w:rPr>
              <w:t>4.10-2</w:t>
            </w:r>
            <w:r>
              <w:rPr>
                <w:rFonts w:hint="eastAsia"/>
                <w:color w:val="000000" w:themeColor="text1"/>
                <w14:textFill>
                  <w14:solidFill>
                    <w14:schemeClr w14:val="tx1"/>
                  </w14:solidFill>
                </w14:textFill>
              </w:rPr>
              <w:t>。</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4.10-2  </w:t>
            </w:r>
            <w:r>
              <w:rPr>
                <w:rFonts w:hint="eastAsia"/>
                <w:color w:val="000000" w:themeColor="text1"/>
                <w14:textFill>
                  <w14:solidFill>
                    <w14:schemeClr w14:val="tx1"/>
                  </w14:solidFill>
                </w14:textFill>
              </w:rPr>
              <w:t>建设项目环境风险简单分析内容表</w:t>
            </w:r>
          </w:p>
          <w:tbl>
            <w:tblPr>
              <w:tblStyle w:val="21"/>
              <w:tblW w:w="81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17"/>
              <w:gridCol w:w="65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6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w:t>
                  </w:r>
                </w:p>
              </w:tc>
              <w:tc>
                <w:tcPr>
                  <w:tcW w:w="6573" w:type="dxa"/>
                </w:tcPr>
                <w:p>
                  <w:pPr>
                    <w:pStyle w:val="29"/>
                    <w:rPr>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曲靖市待补风电场二期项目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6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6573" w:type="dxa"/>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曲靖市会泽县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地理坐标</w:t>
                  </w:r>
                </w:p>
              </w:tc>
              <w:tc>
                <w:tcPr>
                  <w:tcW w:w="6573" w:type="dxa"/>
                </w:tcPr>
                <w:p>
                  <w:pPr>
                    <w:spacing w:line="240" w:lineRule="auto"/>
                    <w:ind w:firstLine="0" w:firstLineChars="0"/>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东经103°22′1.24″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东经103°36′58.15″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北纬26°09′17.84″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北纬26°26′52.03″</w:t>
                  </w:r>
                  <w:r>
                    <w:rPr>
                      <w:rFonts w:hint="eastAsia"/>
                      <w:color w:val="000000" w:themeColor="text1"/>
                      <w:sz w:val="21"/>
                      <w:szCs w:val="21"/>
                      <w14:textFill>
                        <w14:solidFill>
                          <w14:schemeClr w14:val="tx1"/>
                        </w14:solidFill>
                      </w14:textFill>
                    </w:rPr>
                    <w:t>之间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主要危险物质及分布</w:t>
                  </w:r>
                </w:p>
              </w:tc>
              <w:tc>
                <w:tcPr>
                  <w:tcW w:w="6573" w:type="dxa"/>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拟建项目涉及的危险物质为变压器事故油和检修废油，最大存在总量</w:t>
                  </w:r>
                  <w:r>
                    <w:rPr>
                      <w:color w:val="000000" w:themeColor="text1"/>
                      <w14:textFill>
                        <w14:solidFill>
                          <w14:schemeClr w14:val="tx1"/>
                        </w14:solidFill>
                      </w14:textFill>
                    </w:rPr>
                    <w:t>50.65</w:t>
                  </w:r>
                  <w:r>
                    <w:rPr>
                      <w:rFonts w:hint="eastAsia"/>
                      <w:color w:val="000000" w:themeColor="text1"/>
                      <w14:textFill>
                        <w14:solidFill>
                          <w14:schemeClr w14:val="tx1"/>
                        </w14:solidFill>
                      </w14:textFill>
                    </w:rPr>
                    <w:t>t，检修废油暂存于危废暂存间，变压器油事故油事故状态下泄露到事故油池。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环境影响途径及危险后果</w:t>
                  </w:r>
                </w:p>
              </w:tc>
              <w:tc>
                <w:tcPr>
                  <w:tcW w:w="6573" w:type="dxa"/>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当变压器油和检修废油泄漏时，如不经收集处理而排放至环境中，将对土壤、地下水和植物生长造成不利影响。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17"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风险防范措施</w:t>
                  </w:r>
                </w:p>
              </w:tc>
              <w:tc>
                <w:tcPr>
                  <w:tcW w:w="6573"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依托一期220kV升压站事故油池收集后委托资质单位处置；在每台箱变设置集油坑，集油坑底部和四周设置防渗措施（防渗层为至少1m厚黏土层，渗透系数≤10</w:t>
                  </w:r>
                  <w:r>
                    <w:rPr>
                      <w:rFonts w:hint="eastAsia"/>
                      <w:color w:val="000000" w:themeColor="text1"/>
                      <w:vertAlign w:val="superscript"/>
                      <w14:textFill>
                        <w14:solidFill>
                          <w14:schemeClr w14:val="tx1"/>
                        </w14:solidFill>
                      </w14:textFill>
                    </w:rPr>
                    <w:t>-</w:t>
                  </w:r>
                  <w:r>
                    <w:rPr>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cm/s，或至少2mm厚高密度聚乙烯，或至少2mm厚的其它人工材料，渗透系数≤10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cm/s）；主变压器设有泄压装置；检修废油集中收集后暂存于危废暂存间，后期委托有资质的单位处置。</w:t>
                  </w:r>
                </w:p>
              </w:tc>
            </w:tr>
          </w:tbl>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环境空气影响分析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风力发电项目为清洁能源项目，运行期间风机不存在大气环境影响。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地表水影响分析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项目运营期不新增用水，风电场运营管理依托现有2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0kV升压站运营管理人员，不新增工作人员，项目建设不会对当地水资源供应产生影响。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地下水影响分析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）可知本项目风力发电项目属于Ⅳ类项目，不需要开展地下水环境影响评价。项目投产运营后，不开采利用地下水，无新增生活污水产生及排放，不会对地下水产生影响。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.14</w:t>
            </w:r>
            <w:r>
              <w:rPr>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土壤环境影响分析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根据《环境影响评价技术导则土壤环境》（</w:t>
            </w:r>
            <w:r>
              <w:rPr>
                <w:color w:val="000000" w:themeColor="text1"/>
                <w14:textFill>
                  <w14:solidFill>
                    <w14:schemeClr w14:val="tx1"/>
                  </w14:solidFill>
                </w14:textFill>
              </w:rPr>
              <w:t>HJ964-2018</w:t>
            </w:r>
            <w:r>
              <w:rPr>
                <w:rFonts w:hint="eastAsia"/>
                <w:color w:val="000000" w:themeColor="text1"/>
                <w14:textFill>
                  <w14:solidFill>
                    <w14:schemeClr w14:val="tx1"/>
                  </w14:solidFill>
                </w14:textFill>
              </w:rPr>
              <w:t>）可知本项目风力发电项目属于Ⅳ类项目，不需要开展土壤环境影响评价。</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依托工程可行性分析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（1）防火通道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在本项目建设之前，由会泽县林业和草原局申请立项，建设防火通道46.472km，</w:t>
            </w:r>
            <w:r>
              <w:rPr>
                <w:color w:val="000000" w:themeColor="text1"/>
                <w14:textFill>
                  <w14:solidFill>
                    <w14:schemeClr w14:val="tx1"/>
                  </w14:solidFill>
                </w14:textFill>
              </w:rPr>
              <w:t>该防火通道除用作森林防火及当地的农村道路外，还可以直达本项目部分风机平台区域，对本项目提供了较好的对外运输条件。</w:t>
            </w:r>
            <w:r>
              <w:rPr>
                <w:rFonts w:hint="eastAsia"/>
                <w:color w:val="000000" w:themeColor="text1"/>
                <w14:textFill>
                  <w14:solidFill>
                    <w14:schemeClr w14:val="tx1"/>
                  </w14:solidFill>
                </w14:textFill>
              </w:rPr>
              <w:t>项目运输道路及集电线路依托该部分防火通道，该部分防火通道路基宽度约7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m，路面宽度约5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m，能够满足项目运输需求。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防火通道建设单位为会泽县林草局，承包单位为本项目建设单位华电（曲靖）新能源开发有限公司，该项目现已立项，预计于2024年2月底前完成前期工作并开工建设，工期为半年，根据会泽县林草局和本项目建设单位签订的投资共建协议，防火通道弯转半径处按风机进场道路标准进行修建，即弯转半径可达25m，能够满足风机叶片及其他建筑材料的运输要求。另外，防火通道的施工时序也和待补风电场二期项目保持同步，</w:t>
            </w:r>
            <w:r>
              <w:rPr>
                <w:rFonts w:hint="eastAsia"/>
                <w:color w:val="000000" w:themeColor="text1"/>
                <w14:textFill>
                  <w14:solidFill>
                    <w14:schemeClr w14:val="tx1"/>
                  </w14:solidFill>
                </w14:textFill>
              </w:rPr>
              <w:t>防火通道施工期间同步铺设电缆，避免重复开挖，</w:t>
            </w:r>
            <w:r>
              <w:rPr>
                <w:color w:val="000000" w:themeColor="text1"/>
                <w14:textFill>
                  <w14:solidFill>
                    <w14:schemeClr w14:val="tx1"/>
                  </w14:solidFill>
                </w14:textFill>
              </w:rPr>
              <w:t>以满足待补风电场二期项目施工要求。防火通道建设完成后，既能加强森林草原防灭火通道建设，进一步提升森林草原火灾应急处置能力和森林病虫害防治、营林生产综合能力，并有效解决该区域林区通行条件及群众出行需求，又能兼顾风电项目实施中运输大件设备的需要，已达到互利共赢的目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依托一期已批复的1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弃渣场，根据《云南省曲靖市会泽县待补风电场一期（会泽南）项目环境影响报告表》及其批复，该弃渣场位于驾车乡，容积1</w:t>
            </w:r>
            <w:r>
              <w:rPr>
                <w:color w:val="000000" w:themeColor="text1"/>
                <w14:textFill>
                  <w14:solidFill>
                    <w14:schemeClr w14:val="tx1"/>
                  </w14:solidFill>
                </w14:textFill>
              </w:rPr>
              <w:t>9.8</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，坐标：</w:t>
            </w:r>
            <w:r>
              <w:rPr>
                <w:color w:val="000000" w:themeColor="text1"/>
                <w14:textFill>
                  <w14:solidFill>
                    <w14:schemeClr w14:val="tx1"/>
                  </w14:solidFill>
                </w14:textFill>
              </w:rPr>
              <w:t>东经103°18′52.90″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北纬26°2′37.53″</w:t>
            </w:r>
            <w:r>
              <w:rPr>
                <w:rFonts w:hint="eastAsia"/>
                <w:color w:val="000000" w:themeColor="text1"/>
                <w14:textFill>
                  <w14:solidFill>
                    <w14:schemeClr w14:val="tx1"/>
                  </w14:solidFill>
                </w14:textFill>
              </w:rPr>
              <w:t>，该弃渣场位于4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风机北侧4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m，有农村公路直达，无需新建施工便道，项目弃渣</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，项目依托该弃渣场可行，项目不单独设置弃渣场。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kV升压站、危废暂存间及事故油池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本项目运营期产生的危废收集后依托一期2</w:t>
            </w:r>
            <w:r>
              <w:rPr>
                <w:color w:val="000000" w:themeColor="text1"/>
                <w14:textFill>
                  <w14:solidFill>
                    <w14:schemeClr w14:val="tx1"/>
                  </w14:solidFill>
                </w14:textFill>
              </w:rPr>
              <w:t>20kV</w:t>
            </w:r>
            <w:r>
              <w:rPr>
                <w:rFonts w:hint="eastAsia"/>
                <w:color w:val="000000" w:themeColor="text1"/>
                <w14:textFill>
                  <w14:solidFill>
                    <w14:schemeClr w14:val="tx1"/>
                  </w14:solidFill>
                </w14:textFill>
              </w:rPr>
              <w:t>升压站危废暂存设施暂存，一期设置一间</w:t>
            </w:r>
            <w:r>
              <w:rPr>
                <w:color w:val="000000" w:themeColor="text1"/>
                <w14:textFill>
                  <w14:solidFill>
                    <w14:schemeClr w14:val="tx1"/>
                  </w14:solidFill>
                </w14:textFill>
              </w:rPr>
              <w:t>49.5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危废暂存间。经现场调查，危废暂存间严格按照《危险废物贮存污染控制标准》（GB18597-2023）要求进行了建设，防渗结构采用P6抗渗混凝土+2mm人工防渗涂料进行防渗处理，渗透系数≤10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一期</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0kV升压站现状已设容积为</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的事故油池，能够容纳变压器事故时单台主变的全部油量，升压站单台主变油重</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t，变压器油密度约895kg/m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，事故油体积为</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。升压站事故油池容积能够容纳主变事故时单台主变的全部油量，满足《火力发电厂与变电站设计防火标准》（GB50229-2019）中事故油池设置要求，本项目不新设置事故油池，事故状态下，泄露的废油进入已设</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事故油池收集，及时委托有危废处置资质的单位及时清运处置。升压站事故油池采取相应的“三防”措施，事故油池容积满足要求。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项目依托一期2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kV升压站及配套的危废暂存间、事故油池</w:t>
            </w:r>
            <w:r>
              <w:rPr>
                <w:rFonts w:hint="eastAsia"/>
                <w:color w:val="000000" w:themeColor="text1"/>
                <w:lang w:val="en-US" w:eastAsia="zh-CN"/>
                <w14:textFill>
                  <w14:solidFill>
                    <w14:schemeClr w14:val="tx1"/>
                  </w14:solidFill>
                </w14:textFill>
              </w:rPr>
              <w:t>运</w:t>
            </w:r>
            <w:r>
              <w:rPr>
                <w:rFonts w:hint="eastAsia"/>
                <w:color w:val="000000" w:themeColor="text1"/>
                <w14:textFill>
                  <w14:solidFill>
                    <w14:schemeClr w14:val="tx1"/>
                  </w14:solidFill>
                </w14:textFill>
              </w:rPr>
              <w:t>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）农村道路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24.64</w:t>
            </w:r>
            <w:r>
              <w:rPr>
                <w:rFonts w:hint="eastAsia"/>
                <w:color w:val="000000" w:themeColor="text1"/>
                <w14:textFill>
                  <w14:solidFill>
                    <w14:schemeClr w14:val="tx1"/>
                  </w14:solidFill>
                </w14:textFill>
              </w:rPr>
              <w:t>km进场道路依托现有农村公路，其中</w:t>
            </w:r>
            <w:r>
              <w:rPr>
                <w:color w:val="000000" w:themeColor="text1"/>
                <w14:textFill>
                  <w14:solidFill>
                    <w14:schemeClr w14:val="tx1"/>
                  </w14:solidFill>
                </w14:textFill>
              </w:rPr>
              <w:t>7445</w:t>
            </w:r>
            <w:r>
              <w:rPr>
                <w:rFonts w:hint="eastAsia"/>
                <w:color w:val="000000" w:themeColor="text1"/>
                <w14:textFill>
                  <w14:solidFill>
                    <w14:schemeClr w14:val="tx1"/>
                  </w14:solidFill>
                </w14:textFill>
              </w:rPr>
              <w:t>m需要扩建加固，农村公路路面宽度约7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m，满足项目运输需求。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选址选线环境合理性分析</w:t>
            </w:r>
          </w:p>
        </w:tc>
        <w:tc>
          <w:tcPr>
            <w:tcW w:w="8436" w:type="dxa"/>
          </w:tcPr>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风机选址及布局的环境合理性分析</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.15.1 </w:t>
            </w:r>
            <w:r>
              <w:rPr>
                <w:rFonts w:hint="eastAsia"/>
                <w:color w:val="000000" w:themeColor="text1"/>
                <w14:textFill>
                  <w14:solidFill>
                    <w14:schemeClr w14:val="tx1"/>
                  </w14:solidFill>
                </w14:textFill>
              </w:rPr>
              <w:t>风能资源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场址范围内设立有三座测风塔，编号分别为</w:t>
            </w:r>
            <w:r>
              <w:rPr>
                <w:color w:val="000000" w:themeColor="text1"/>
                <w14:textFill>
                  <w14:solidFill>
                    <w14:schemeClr w14:val="tx1"/>
                  </w14:solidFill>
                </w14:textFill>
              </w:rPr>
              <w:t>2749#、4169#</w:t>
            </w:r>
            <w:r>
              <w:rPr>
                <w:rFonts w:hint="eastAsia"/>
                <w:color w:val="000000" w:themeColor="text1"/>
                <w14:textFill>
                  <w14:solidFill>
                    <w14:schemeClr w14:val="tx1"/>
                  </w14:solidFill>
                </w14:textFill>
              </w:rPr>
              <w:t>、9002#</w:t>
            </w:r>
            <w:r>
              <w:rPr>
                <w:color w:val="000000" w:themeColor="text1"/>
                <w14:textFill>
                  <w14:solidFill>
                    <w14:schemeClr w14:val="tx1"/>
                  </w14:solidFill>
                </w14:textFill>
              </w:rPr>
              <w:t>。测风塔均采用NRG公司测风设备，塔架均为桁架。2749#</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169</w:t>
            </w:r>
            <w:r>
              <w:rPr>
                <w:rFonts w:hint="eastAsia"/>
                <w:color w:val="000000" w:themeColor="text1"/>
                <w14:textFill>
                  <w14:solidFill>
                    <w14:schemeClr w14:val="tx1"/>
                  </w14:solidFill>
                </w14:textFill>
              </w:rPr>
              <w:t>#测风塔</w:t>
            </w:r>
            <w:r>
              <w:rPr>
                <w:color w:val="000000" w:themeColor="text1"/>
                <w14:textFill>
                  <w14:solidFill>
                    <w14:schemeClr w14:val="tx1"/>
                  </w14:solidFill>
                </w14:textFill>
              </w:rPr>
              <w:t>塔高</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测量高度为10m、50m、</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70m</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m；9002号</w:t>
            </w:r>
            <w:r>
              <w:rPr>
                <w:color w:val="000000" w:themeColor="text1"/>
                <w14:textFill>
                  <w14:solidFill>
                    <w14:schemeClr w14:val="tx1"/>
                  </w14:solidFill>
                </w14:textFill>
              </w:rPr>
              <w:t>塔高</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0m，测量高度为10m、</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0m、</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0m、</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0m</w:t>
            </w:r>
            <w:r>
              <w:rPr>
                <w:rFonts w:hint="eastAsia"/>
                <w:color w:val="000000" w:themeColor="text1"/>
                <w14:textFill>
                  <w14:solidFill>
                    <w14:schemeClr w14:val="tx1"/>
                  </w14:solidFill>
                </w14:textFill>
              </w:rPr>
              <w:t>、90m。</w:t>
            </w:r>
            <w:r>
              <w:rPr>
                <w:color w:val="000000" w:themeColor="text1"/>
                <w14:textFill>
                  <w14:solidFill>
                    <w14:schemeClr w14:val="tx1"/>
                  </w14:solidFill>
                </w14:textFill>
              </w:rPr>
              <w:t>每一个观测仪器占用一个记录通道</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2749#、4169#测风塔</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m高度</w:t>
            </w:r>
            <w:r>
              <w:rPr>
                <w:color w:val="000000" w:themeColor="text1"/>
                <w14:textFill>
                  <w14:solidFill>
                    <w14:schemeClr w14:val="tx1"/>
                  </w14:solidFill>
                </w14:textFill>
              </w:rPr>
              <w:t>年平均风速分别为5.8m/s、</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.0m/s，风功率密度分别为162W/m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、315W/m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，风功率密度等级分别为D-2级、2级，9002</w:t>
            </w:r>
            <w:r>
              <w:rPr>
                <w:color w:val="000000" w:themeColor="text1"/>
                <w14:textFill>
                  <w14:solidFill>
                    <w14:schemeClr w14:val="tx1"/>
                  </w14:solidFill>
                </w14:textFill>
              </w:rPr>
              <w:t>#测风塔</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m高度</w:t>
            </w:r>
            <w:r>
              <w:rPr>
                <w:color w:val="000000" w:themeColor="text1"/>
                <w14:textFill>
                  <w14:solidFill>
                    <w14:schemeClr w14:val="tx1"/>
                  </w14:solidFill>
                </w14:textFill>
              </w:rPr>
              <w:t>年平均风速为</w:t>
            </w:r>
            <w:r>
              <w:rPr>
                <w:rFonts w:hint="eastAsia"/>
                <w:color w:val="000000" w:themeColor="text1"/>
                <w14:textFill>
                  <w14:solidFill>
                    <w14:schemeClr w14:val="tx1"/>
                  </w14:solidFill>
                </w14:textFill>
              </w:rPr>
              <w:t>7.6</w:t>
            </w:r>
            <w:r>
              <w:rPr>
                <w:color w:val="000000" w:themeColor="text1"/>
                <w14:textFill>
                  <w14:solidFill>
                    <w14:schemeClr w14:val="tx1"/>
                  </w14:solidFill>
                </w14:textFill>
              </w:rPr>
              <w:t>m/s，风功率密度为</w:t>
            </w:r>
            <w:r>
              <w:rPr>
                <w:rFonts w:hint="eastAsia"/>
                <w:color w:val="000000" w:themeColor="text1"/>
                <w14:textFill>
                  <w14:solidFill>
                    <w14:schemeClr w14:val="tx1"/>
                  </w14:solidFill>
                </w14:textFill>
              </w:rPr>
              <w:t>409</w:t>
            </w:r>
            <w:r>
              <w:rPr>
                <w:color w:val="000000" w:themeColor="text1"/>
                <w14:textFill>
                  <w14:solidFill>
                    <w14:schemeClr w14:val="tx1"/>
                  </w14:solidFill>
                </w14:textFill>
              </w:rPr>
              <w:t>W/m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，风功率密度等级为3级风电场风能资源</w:t>
            </w:r>
            <w:r>
              <w:rPr>
                <w:color w:val="000000" w:themeColor="text1"/>
                <w14:textFill>
                  <w14:solidFill>
                    <w14:schemeClr w14:val="tx1"/>
                  </w14:solidFill>
                </w14:textFill>
              </w:rPr>
              <w:t>具有</w:t>
            </w:r>
            <w:r>
              <w:rPr>
                <w:rFonts w:hint="eastAsia"/>
                <w:color w:val="000000" w:themeColor="text1"/>
                <w14:textFill>
                  <w14:solidFill>
                    <w14:schemeClr w14:val="tx1"/>
                  </w14:solidFill>
                </w14:textFill>
              </w:rPr>
              <w:t>工程</w:t>
            </w:r>
            <w:r>
              <w:rPr>
                <w:color w:val="000000" w:themeColor="text1"/>
                <w14:textFill>
                  <w14:solidFill>
                    <w14:schemeClr w14:val="tx1"/>
                  </w14:solidFill>
                </w14:textFill>
              </w:rPr>
              <w:t>开发价值。</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2749#测风塔80m高度风速集中在3.5m/s~8.4m/s之间，风能集中在6.5m/s~11.4m/s风速段，有效小时数约为6745h；4169#测风塔80m高度风速集中在3.5m/s~7.4m/s之间，风能集中在10.5m/s~13.4m/s风速段，有效小时数约为7131h。9002号塔90m高度风速基本集中在2.5m/s~13.4m/s之间，风能集中在8.5m/s~17.4m/s风速段，有效小时数约为7635h。</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风电场的风向和风能密度方向分布比较稳定，主要集中于SSW～SW区间，以SSW居多。有利于风电场的风机布置，有利于风机减少偏航操作，延长使用寿命。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总体而言，风电场的风能资源条件较好，具有工程开发价值。</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.15.2 </w:t>
            </w:r>
            <w:r>
              <w:rPr>
                <w:rFonts w:hint="eastAsia"/>
                <w:color w:val="000000" w:themeColor="text1"/>
                <w14:textFill>
                  <w14:solidFill>
                    <w14:schemeClr w14:val="tx1"/>
                  </w14:solidFill>
                </w14:textFill>
              </w:rPr>
              <w:t>环境影响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避让了自然保护区、风景名胜区、饮用水水源保护区和云南省重要侯鸟迁徙通道、生态保护红线等生态环境敏感区，避让了国家一级公益林及国家二级公益林，风场选址符合《云南省主体功能规划》、《云南省生态功能区划》、《国家林业和草原局关于规范风电场项目建设使用林地的通知》（林资发[2019]17号），以及云南省风电规划及规划环评相关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生态现状调查及分析表明，评价区生物多样性程度不高。项目建设不向水体排放污染物，不设排污口，施工结束后将对临时占地进行植被恢复。风机布置于山脊，避开了人口密集的村镇，风机周边500m范围内无居民点分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综上分析，拟建项目不存在制约项目建设的环境因素，项目对环境的不利影响可通过相应措施加以减轻或避免，从环境保护的角度，拟建项目选址和风机布局环境合理。</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.15.3 </w:t>
            </w:r>
            <w:r>
              <w:rPr>
                <w:rFonts w:hint="eastAsia"/>
                <w:color w:val="000000" w:themeColor="text1"/>
                <w14:textFill>
                  <w14:solidFill>
                    <w14:schemeClr w14:val="tx1"/>
                  </w14:solidFill>
                </w14:textFill>
              </w:rPr>
              <w:t>施工“三场”环境合理性分析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（1）料场规划的环境合理性分析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本项目所需砂石料主要从场址区及周边合法砂石料场购买，场址附近的砂石料场有足够的成品料供应，项目基础浇筑采用商品砼，工程不设置砂石料堆场及加工系统。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（2）施工营场地选址合理性分析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生产、生活临时设施根据现场交通条件，考虑到生产及生活方便而设置。本项目工期较短，且工程区紧邻驾车乡和待补镇，周边沿线也有多个村庄分布，交通条件较好，为减少施工期环境影响，工程施工期不考虑在现场设业主营地、承包商营地、现场办公室等，初拟利用当地现有资源。施工人员多为当地村民，生活设施均依托沿线村民现有资源，施工管理人员及现场办公室主要租用待补镇办公用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主体工程考虑到运输和风机分布情况，配置材料堆放场，主要作为小型部件如钢材、板材及其他建筑材料的场地。项目利用风机平台作为材料设备临时堆放场地，不新增占地。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从环境保护角度，项目不设置施工营地，施工生产区利用风机平台布置，不新增占地，不涉及环境敏感区选址合理。环评要求项目在施工过程中，应做好施工管理，严格控制施工生产区在风机平台的占地，禁止超范围占地，施工结束后及时进行植被恢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（3）渣场选址环境合理性分析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拟建项目场址区地形较为陡峭、凌乱，场内道路、风机安装平台开挖量较大，回填量大，弃渣量相对较少。根据项目水土保持方案，项目弃渣量约</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，由于待补风电场一期工程土建工程已完工且未产生弃渣，批复的</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个弃渣场均未启用，秉持着资源合理利用的原则，将二期工程产生的所有弃渣全部运至一期工程已批的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弃渣场内进行堆存，一期工程</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弃渣场位于驾车乡，该弃渣场位于4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风机北侧4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m，有农村公路直达，设计容量为</w:t>
            </w:r>
            <w:r>
              <w:rPr>
                <w:color w:val="000000" w:themeColor="text1"/>
                <w14:textFill>
                  <w14:solidFill>
                    <w14:schemeClr w14:val="tx1"/>
                  </w14:solidFill>
                </w14:textFill>
              </w:rPr>
              <w:t>19.80</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，能够满足二期工程所有弃渣堆存要求，二期项目不单独设置弃渣场。</w:t>
            </w:r>
          </w:p>
          <w:p>
            <w:pPr>
              <w:pStyle w:val="35"/>
              <w:spacing w:before="163" w:after="163"/>
              <w:rPr>
                <w:color w:val="000000" w:themeColor="text1"/>
                <w14:textFill>
                  <w14:solidFill>
                    <w14:schemeClr w14:val="tx1"/>
                  </w14:solidFill>
                </w14:textFill>
              </w:rPr>
            </w:pPr>
            <w:r>
              <w:rPr>
                <w:color w:val="000000" w:themeColor="text1"/>
                <w14:textFill>
                  <w14:solidFill>
                    <w14:schemeClr w14:val="tx1"/>
                  </w14:solidFill>
                </w14:textFill>
              </w:rPr>
              <w:t xml:space="preserve">4.15.4 </w:t>
            </w:r>
            <w:r>
              <w:rPr>
                <w:rFonts w:hint="eastAsia"/>
                <w:color w:val="000000" w:themeColor="text1"/>
                <w14:textFill>
                  <w14:solidFill>
                    <w14:schemeClr w14:val="tx1"/>
                  </w14:solidFill>
                </w14:textFill>
              </w:rPr>
              <w:t>集电线路选线环境合理性分析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项目集电线路采用直埋电缆，电缆长度2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km，电缆沟长度</w:t>
            </w:r>
            <w:r>
              <w:rPr>
                <w:color w:val="000000" w:themeColor="text1"/>
                <w14:textFill>
                  <w14:solidFill>
                    <w14:schemeClr w14:val="tx1"/>
                  </w14:solidFill>
                </w14:textFill>
              </w:rPr>
              <w:t>63.42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集电线路沿新建道路、改扩建道路、乡村道路及防火通道铺设。防火通道建设期间同步设置电缆沟，本次评价涉及电缆集电线路均沿森林防火通道和现有道路建设，不新征占地，此外，工程35kV集电线路电磁等级较低，对周边环境的影响较小。综上所述，35kV集电线路无环境制约因素，从环保角度分析，选址具有合理性。</w:t>
            </w:r>
          </w:p>
        </w:tc>
      </w:tr>
    </w:tbl>
    <w:p>
      <w:pPr>
        <w:ind w:firstLine="480"/>
        <w:rPr>
          <w:color w:val="000000" w:themeColor="text1"/>
          <w14:textFill>
            <w14:solidFill>
              <w14:schemeClr w14:val="tx1"/>
            </w14:solidFill>
          </w14:textFill>
        </w:rPr>
        <w:sectPr>
          <w:pgSz w:w="11906" w:h="16838"/>
          <w:pgMar w:top="1440" w:right="1531" w:bottom="1440" w:left="1531" w:header="851" w:footer="1077" w:gutter="0"/>
          <w:cols w:space="425" w:num="1"/>
          <w:docGrid w:type="lines" w:linePitch="326" w:charSpace="0"/>
        </w:sectPr>
      </w:pPr>
    </w:p>
    <w:p>
      <w:pPr>
        <w:ind w:firstLine="0" w:firstLineChars="0"/>
        <w:jc w:val="center"/>
        <w:outlineLvl w:val="0"/>
        <w:rPr>
          <w:rFonts w:ascii="黑体" w:hAnsi="黑体" w:eastAsia="黑体"/>
          <w:color w:val="000000" w:themeColor="text1"/>
          <w:sz w:val="30"/>
          <w:szCs w:val="30"/>
          <w14:textFill>
            <w14:solidFill>
              <w14:schemeClr w14:val="tx1"/>
            </w14:solidFill>
          </w14:textFill>
        </w:rPr>
      </w:pPr>
      <w:bookmarkStart w:id="56" w:name="_Toc157554963"/>
      <w:r>
        <w:rPr>
          <w:rFonts w:hint="eastAsia" w:ascii="黑体" w:hAnsi="黑体" w:eastAsia="黑体"/>
          <w:color w:val="000000" w:themeColor="text1"/>
          <w:sz w:val="30"/>
          <w:szCs w:val="30"/>
          <w14:textFill>
            <w14:solidFill>
              <w14:schemeClr w14:val="tx1"/>
            </w14:solidFill>
          </w14:textFill>
        </w:rPr>
        <w:t>五、主要生态环境保护措施</w:t>
      </w:r>
      <w:bookmarkEnd w:id="56"/>
    </w:p>
    <w:tbl>
      <w:tblPr>
        <w:tblStyle w:val="2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施工期生态环境保护措施</w:t>
            </w:r>
          </w:p>
        </w:tc>
        <w:tc>
          <w:tcPr>
            <w:tcW w:w="8413" w:type="dxa"/>
          </w:tcPr>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生态保护措施</w:t>
            </w:r>
          </w:p>
          <w:p>
            <w:pPr>
              <w:pStyle w:val="35"/>
              <w:spacing w:before="163" w:after="163"/>
              <w:rPr>
                <w:color w:val="000000" w:themeColor="text1"/>
                <w14:textFill>
                  <w14:solidFill>
                    <w14:schemeClr w14:val="tx1"/>
                  </w14:solidFill>
                </w14:textFill>
              </w:rPr>
            </w:pPr>
            <w:r>
              <w:rPr>
                <w:color w:val="000000" w:themeColor="text1"/>
                <w14:textFill>
                  <w14:solidFill>
                    <w14:schemeClr w14:val="tx1"/>
                  </w14:solidFill>
                </w14:textFill>
              </w:rPr>
              <w:t>5.1.1 设计</w:t>
            </w:r>
            <w:r>
              <w:rPr>
                <w:rFonts w:hint="eastAsia"/>
                <w:color w:val="000000" w:themeColor="text1"/>
                <w14:textFill>
                  <w14:solidFill>
                    <w14:schemeClr w14:val="tx1"/>
                  </w14:solidFill>
                </w14:textFill>
              </w:rPr>
              <w:t>阶段环境保护措施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（1）开工建设前，对施工范围临时设施的规划用地要进行严格审查，以达到既少占地，又方便施工的目的。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（2）在靠近生态保护红线、水源保护区、自然保护区的施工应严格控制施工占地，严禁在周边水源保护区、自然保护区、生态保护红线范围内布置作业场地，同时减少对植被的破坏。</w:t>
            </w:r>
          </w:p>
          <w:p>
            <w:pPr>
              <w:pStyle w:val="35"/>
              <w:spacing w:before="163" w:after="163"/>
              <w:rPr>
                <w:color w:val="000000" w:themeColor="text1"/>
                <w14:textFill>
                  <w14:solidFill>
                    <w14:schemeClr w14:val="tx1"/>
                  </w14:solidFill>
                </w14:textFill>
              </w:rPr>
            </w:pPr>
            <w:bookmarkStart w:id="57" w:name="_Toc144049771"/>
            <w:r>
              <w:rPr>
                <w:color w:val="000000" w:themeColor="text1"/>
                <w14:textFill>
                  <w14:solidFill>
                    <w14:schemeClr w14:val="tx1"/>
                  </w14:solidFill>
                </w14:textFill>
              </w:rPr>
              <w:t xml:space="preserve">5.1.2 </w:t>
            </w:r>
            <w:r>
              <w:rPr>
                <w:rFonts w:hint="eastAsia"/>
                <w:color w:val="000000" w:themeColor="text1"/>
                <w14:textFill>
                  <w14:solidFill>
                    <w14:schemeClr w14:val="tx1"/>
                  </w14:solidFill>
                </w14:textFill>
              </w:rPr>
              <w:t>施工期生态环境保护措施</w:t>
            </w:r>
            <w:bookmarkEnd w:id="57"/>
          </w:p>
          <w:p>
            <w:pPr>
              <w:pStyle w:val="37"/>
              <w:spacing w:before="163" w:after="163"/>
              <w:rPr>
                <w:color w:val="000000" w:themeColor="text1"/>
                <w14:textFill>
                  <w14:solidFill>
                    <w14:schemeClr w14:val="tx1"/>
                  </w14:solidFill>
                </w14:textFill>
              </w:rPr>
            </w:pPr>
            <w:bookmarkStart w:id="58" w:name="_Toc144049772"/>
            <w:r>
              <w:rPr>
                <w:rFonts w:hint="eastAsia"/>
                <w:color w:val="000000" w:themeColor="text1"/>
                <w14:textFill>
                  <w14:solidFill>
                    <w14:schemeClr w14:val="tx1"/>
                  </w14:solidFill>
                </w14:textFill>
              </w:rPr>
              <w:t>5.</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.1 植被保护和恢复措施</w:t>
            </w:r>
            <w:bookmarkEnd w:id="58"/>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.1.2.1.1 </w:t>
            </w:r>
            <w:r>
              <w:rPr>
                <w:rFonts w:hint="eastAsia"/>
                <w:color w:val="000000" w:themeColor="text1"/>
                <w14:textFill>
                  <w14:solidFill>
                    <w14:schemeClr w14:val="tx1"/>
                  </w14:solidFill>
                </w14:textFill>
              </w:rPr>
              <w:t>避让措施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严格控制施工范围，施工活动要保证在征地红线范围内进行，充分利用现有地形地势，合理布局，优化施工，既少占林地和耕地，又方便施工，占用林草地须取得林业主管部门的相关意见或批复。在不影响交通运输的前提下，吊装平台、临时施工占地应尽量选择在道路区或缩小范围，选择植被覆盖较少区域以减少对林地的损失破坏，以减少对草地和林地的占用。</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.1.2.1.2 </w:t>
            </w:r>
            <w:r>
              <w:rPr>
                <w:rFonts w:hint="eastAsia"/>
                <w:color w:val="000000" w:themeColor="text1"/>
                <w14:textFill>
                  <w14:solidFill>
                    <w14:schemeClr w14:val="tx1"/>
                  </w14:solidFill>
                </w14:textFill>
              </w:rPr>
              <w:t>减缓措施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（1）边坡防护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风电场的风机基础、吊装平台开挖填筑边坡较多，是土料随意滑落、土壤流失的重要部位，边坡可视性显著，所以需做好边坡防护工作。根据工程区域边坡地质特点及水土保持方案，采取不同的边坡防护措施。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（2）弃渣合理处置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应尽可能减少土石方的开挖以及树木的砍伐，减少施工弃渣量的产生；及时清除多余的土方和石料，严禁就地倾倒覆压植被，同时采取护坡、挡土墙等防护措施。产生永久弃渣运至依托的弃渣场进行堆存，弃渣场必须设置相应的截排水和拦挡措施，以减少弃渣产生的水土流失。</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.1.2.1.3 </w:t>
            </w:r>
            <w:r>
              <w:rPr>
                <w:rFonts w:hint="eastAsia"/>
                <w:color w:val="000000" w:themeColor="text1"/>
                <w14:textFill>
                  <w14:solidFill>
                    <w14:schemeClr w14:val="tx1"/>
                  </w14:solidFill>
                </w14:textFill>
              </w:rPr>
              <w:t>恢复与补偿措施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（1）草皮剥离、养护和回铺措施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①草皮剥离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施工前应对项目征地范围内的原生草皮进行剥离，草皮剥离首选人工剥离，草皮剥离将草皮切割成块，草皮剥离厚度根据土层深浅，以20~30cm为宜，尽量连同下层腐殖土一同剥离，减少对根系的破坏。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②草皮养护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草皮堆放时选择背风面、地势平坦的地段，同时在草皮表面用防风透气的密目网进行覆盖，避免大风带走蓄含水分，保证草皮存活；草皮与草皮之间的接缝处，需用掘取草皮后的表土塞填，塞填时，保证草皮与草皮之间要塞实，保证草皮之间的</w:t>
            </w:r>
            <w:r>
              <w:rPr>
                <w:rFonts w:hint="eastAsia"/>
                <w:color w:val="000000" w:themeColor="text1"/>
                <w:lang w:val="en-US" w:eastAsia="zh-CN"/>
                <w14:textFill>
                  <w14:solidFill>
                    <w14:schemeClr w14:val="tx1"/>
                  </w14:solidFill>
                </w14:textFill>
              </w:rPr>
              <w:t>链接</w:t>
            </w:r>
            <w:r>
              <w:rPr>
                <w:rFonts w:hint="eastAsia"/>
                <w:color w:val="000000" w:themeColor="text1"/>
                <w14:textFill>
                  <w14:solidFill>
                    <w14:schemeClr w14:val="tx1"/>
                  </w14:solidFill>
                </w14:textFill>
              </w:rPr>
              <w:t>和防治水分的蒸发。可有效的改善草皮附着土壤的通气条件，提高土壤的透水性与透气性；为防止雨水对堆存草皮根系土壤的冲刷，造成水土流失，防止草皮的水分流失和雨雪天草皮温度过低影响草皮存活率，需在堆存草皮表层利用密目网进行遮盖。叠置存放草皮时，草皮层层叠置存放，草皮叠置层数根据现场地形而定，草皮堆置保存过程中，对场地内堆置的草皮进行洒水处理，增加草皮下层腐殖土中的含水量，保证草皮的存活率，使草皮回覆到各施工区域后植被能够快速的恢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③草皮回铺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草皮回铺前，将需回铺草皮的场地进行土地平整，草皮铺植于地面时，草皮间应有3~5cm的间距，然后压平，使草皮与土壤结合紧密，无空隙，易于生根，保证草皮成活。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（2）表土保存及原生植被保护利用措施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工程施工开挖及弃渣前，注意剥离并妥善保存施工占地区的表土，待工程完工后再用于恢复绿化或复垦。本风电场施工过程中需砍伐一定的乔木。为保护风电场内的植被资源，减缓对场内生态植被的破坏，在进行剥离表土施工时，尽可能将征占地内需砍伐的乔木进行修枝后挖起，集中运至表土堆放处进行临时假植，待施工完成生态恢复时作为定植苗木使用。既可合理保护与利用风电场征占地范围内的植被，还符合生态恢复中“以乡土物种为主”的原则，降低了生态恢复过程中苗木购置费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（3）林地补偿措施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建设单位依法办理林地征用手续，缴纳相应的林地征用补偿费。对被工程占用的林地，建议林业部门根据当地林业发展规划，在本行政区域内进行造林补偿，保证现有林地面积不减少。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（4）植被恢复措施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施工结束后开展施工场地植被恢复专项工程建设。植被恢复应以恢复至施工前原貌为远期目标，采用项目区内常见乔、灌、草物种，参照修复区域周边群落结构特征进行植被群落重建。植被恢复时，选择本地适生的树、草种，注意“乔、灌、草”结合，根据工程特点，各施工场地的主要恢复补偿措施如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风电机组区：施工结束后及时清理恢复施工迹地、平整场地，占地为草地的风机平台结合场地原土地利用情况撒播草籽绿化或回铺草皮，其他区域的平台植被恢复栽植灌木+撒播灌草，平台边坡采用灌草植被恢复，灌木可选用大白花杜鹃、小叶栒子，草种可选用黑麦草、高羊茅、狗牙根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②集电线路：集电线路分段（个）施工，及时回填、平整，恢复施工迹地，结合原土地利用情况恢复植被，以撒播草籽为主，草籽可选用黑麦草、高羊茅、狗牙根等。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③弃渣场：坡面撒播草籽，顶面种植水土保持林，林间种植灌木、撒播草籽，灌草种可选用小叶荀子、黑麦草、高羊茅、狗牙根等。</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.1.2.1.4 </w:t>
            </w:r>
            <w:r>
              <w:rPr>
                <w:rFonts w:hint="eastAsia"/>
                <w:color w:val="000000" w:themeColor="text1"/>
                <w14:textFill>
                  <w14:solidFill>
                    <w14:schemeClr w14:val="tx1"/>
                  </w14:solidFill>
                </w14:textFill>
              </w:rPr>
              <w:t>管理措施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单位和施工单位应及时上报工程施工方案和环境保护实施方案，严格按照施工方案进行施工。禁止超计划占用土地和破坏植被，土石方开挖料及时回填，弃渣必须运到指定的位置进行堆放，严禁沿道路及风机机位两侧山坡倾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②采取有效措施预防森林火灾，在工程建设期，更应加强防护。在施工区、材料堆场等竖立防火警示牌，严格控制用火；设立专人进行专项检查和监督，并配置一定的灭火装置备用，以预防和杜绝森林火灾发生。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③对于紧邻生态保护红线及饮用水源准保护区的施工区域，需现场布设红线，并做好宣传工作，禁止施工人员及机械越过红线施工，禁止施工人员进入保护区，监理人员做好现场监理。</w:t>
            </w:r>
          </w:p>
          <w:p>
            <w:pPr>
              <w:pStyle w:val="37"/>
              <w:spacing w:before="163" w:after="163"/>
              <w:rPr>
                <w:color w:val="000000" w:themeColor="text1"/>
                <w14:textFill>
                  <w14:solidFill>
                    <w14:schemeClr w14:val="tx1"/>
                  </w14:solidFill>
                </w14:textFill>
              </w:rPr>
            </w:pPr>
            <w:bookmarkStart w:id="59" w:name="_Toc144049774"/>
            <w:r>
              <w:rPr>
                <w:rFonts w:hint="eastAsia"/>
                <w:color w:val="000000" w:themeColor="text1"/>
                <w14:textFill>
                  <w14:solidFill>
                    <w14:schemeClr w14:val="tx1"/>
                  </w14:solidFill>
                </w14:textFill>
              </w:rPr>
              <w:t>5.</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陆生动物保护措施</w:t>
            </w:r>
            <w:bookmarkEnd w:id="59"/>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.1.2.2.1 </w:t>
            </w:r>
            <w:r>
              <w:rPr>
                <w:rFonts w:hint="eastAsia"/>
                <w:color w:val="000000" w:themeColor="text1"/>
                <w14:textFill>
                  <w14:solidFill>
                    <w14:schemeClr w14:val="tx1"/>
                  </w14:solidFill>
                </w14:textFill>
              </w:rPr>
              <w:t>避让措施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（1）施工活动尽可能避让茂密的林木或灌木区域。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（2）施工活动避让冲沟、洼地等两栖动物的栖息地。</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.1.2.2.2 </w:t>
            </w:r>
            <w:r>
              <w:rPr>
                <w:rFonts w:hint="eastAsia"/>
                <w:color w:val="000000" w:themeColor="text1"/>
                <w14:textFill>
                  <w14:solidFill>
                    <w14:schemeClr w14:val="tx1"/>
                  </w14:solidFill>
                </w14:textFill>
              </w:rPr>
              <w:t>减缓措施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（1）施工期进行生态观测和监理，重点进行迁徙鸟类及其通道的调查，及时优化调整施工时间、措施，采取相应的保护措施。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（2）通过宣传教育，提高施工人员的保护意识，禁止施工人员捕食、贩卖野生动物和破坏野生动物生境的行为。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尽量避免在鸟类繁殖期（春末夏初）吊装平台开挖等可能破坏鸟巢及鸟卵的施工作业；控制爆破等产生较大噪声的施工，减轻施工噪声对鸟类繁殖的干扰；进入场区的车辆应减速慢行，遇到野生动物横穿道路，应减速或停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（4）进入场区的车辆应慢速行驶，在遇到白腹锦鸡等雉类横穿公路时应减速或停驶，避免车辆行驶造成的鸟类伤亡；禁止施工人员、电场管理人员捕食、贩卖鸟类、拾取鸟卵、破坏鸟巢等行为。</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.1.2.2.3 </w:t>
            </w:r>
            <w:r>
              <w:rPr>
                <w:rFonts w:hint="eastAsia"/>
                <w:color w:val="000000" w:themeColor="text1"/>
                <w14:textFill>
                  <w14:solidFill>
                    <w14:schemeClr w14:val="tx1"/>
                  </w14:solidFill>
                </w14:textFill>
              </w:rPr>
              <w:t>补偿和恢复措施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工程完工后尽快做好生态环境的恢复工作，以减少生</w:t>
            </w:r>
            <w:r>
              <w:rPr>
                <w:rFonts w:hint="eastAsia"/>
                <w:color w:val="000000" w:themeColor="text1"/>
                <w:lang w:val="en-US" w:eastAsia="zh-CN"/>
                <w14:textFill>
                  <w14:solidFill>
                    <w14:schemeClr w14:val="tx1"/>
                  </w14:solidFill>
                </w14:textFill>
              </w:rPr>
              <w:t>态</w:t>
            </w:r>
            <w:r>
              <w:rPr>
                <w:rFonts w:hint="eastAsia"/>
                <w:color w:val="000000" w:themeColor="text1"/>
                <w14:textFill>
                  <w14:solidFill>
                    <w14:schemeClr w14:val="tx1"/>
                  </w14:solidFill>
                </w14:textFill>
              </w:rPr>
              <w:t>破坏对动物的不利影响。每个风机塔施工完成后，对其临时占地合理绿化，尽快恢复动物生境。</w:t>
            </w:r>
          </w:p>
          <w:p>
            <w:pPr>
              <w:pStyle w:val="3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.1.2.2.4 </w:t>
            </w:r>
            <w:r>
              <w:rPr>
                <w:rFonts w:hint="eastAsia"/>
                <w:color w:val="000000" w:themeColor="text1"/>
                <w14:textFill>
                  <w14:solidFill>
                    <w14:schemeClr w14:val="tx1"/>
                  </w14:solidFill>
                </w14:textFill>
              </w:rPr>
              <w:t>管理措施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开展施工环境观测，主要是对工程施工、材料运输等对鸟类栖息生境、鸟类数量等进行监控，若发现异常，立即与管理部门联系，分析原因，采取暂停施工等措施。尽量避免夜间施工，尤其在鸟类迁飞的季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加强对施工人员进行野生动植物资源和生态环境的保护意识的宣传教育，以便提高施工人员在施工过程中生态环境保护意识；制定相关规则，遵守林区管理规定，避免施工人员和运行维护人员伤害野生动物。严禁施工人员捕猎野生动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（3）树立宣传牌、警示牌，明令禁止施工人员和外来人员捕猎野生动物。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（4）对于施工过程中发现的兽类幼仔、鸟卵（蛋）或幼鸟，交给当地林业部门的专业人员处理，不得擅自处理。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（5）对工人进行保护鸟类的教育，禁止捕捉鸟类，发现异常鸟撞事件后要及时报告给管理部门。</w:t>
            </w:r>
          </w:p>
          <w:p>
            <w:pPr>
              <w:pStyle w:val="37"/>
              <w:spacing w:before="163" w:after="163"/>
              <w:rPr>
                <w:color w:val="000000" w:themeColor="text1"/>
                <w14:textFill>
                  <w14:solidFill>
                    <w14:schemeClr w14:val="tx1"/>
                  </w14:solidFill>
                </w14:textFill>
              </w:rPr>
            </w:pPr>
            <w:bookmarkStart w:id="60" w:name="_Toc144049776"/>
            <w:r>
              <w:rPr>
                <w:rFonts w:hint="eastAsia"/>
                <w:color w:val="000000" w:themeColor="text1"/>
                <w14:textFill>
                  <w14:solidFill>
                    <w14:schemeClr w14:val="tx1"/>
                  </w14:solidFill>
                </w14:textFill>
              </w:rPr>
              <w:t>5.</w:t>
            </w:r>
            <w:r>
              <w:rPr>
                <w:color w:val="000000" w:themeColor="text1"/>
                <w14:textFill>
                  <w14:solidFill>
                    <w14:schemeClr w14:val="tx1"/>
                  </w14:solidFill>
                </w14:textFill>
              </w:rPr>
              <w:t>1.2.3</w:t>
            </w:r>
            <w:r>
              <w:rPr>
                <w:rFonts w:hint="eastAsia"/>
                <w:color w:val="000000" w:themeColor="text1"/>
                <w14:textFill>
                  <w14:solidFill>
                    <w14:schemeClr w14:val="tx1"/>
                  </w14:solidFill>
                </w14:textFill>
              </w:rPr>
              <w:t xml:space="preserve"> 水土流失防治措施</w:t>
            </w:r>
            <w:bookmarkEnd w:id="6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（1）加强施工管理，认真搞好施工组织设计，科学规划施工场地，合理安排施工进度，将施工措施计划做深做细，尽量减少临时工程占地，缩短临时占地使用时间，及时恢复土地原有功能。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（2）尽可能地缩短疏松地面、坡面的裸露时间，合理安排施工时间，尽量避开大风和雨天施工。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（3）在雨季到来之前，应备齐土体临时防护用的物料，随时采取临时防护措施，以减少土壤的流失。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（4）施工机械和施工人员要按照施工总体平面布置图进行作业，不得乱占土地，施工机械、土石及其它建筑材料不得乱停乱放，防止破坏植被，加剧水土流失。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（5）施工期应限制施工区域，限制人的活动范围，所有车辆按选定的道路走“一”字型作业法，走同一车辙，避免加开新路，尽可能减少对地表的破坏。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（6）施工期间要求尽量做到挖填同步，确需临时堆置的场地四周采取土袋防护以及苫盖措施，并对施工区扰动地表采取碾压、洒水等临时防护措施。施工结束后，及时对场地进行平整和恢复植被。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具体水土保持防治措施详见水土保持报告。</w:t>
            </w:r>
          </w:p>
          <w:p>
            <w:pPr>
              <w:pStyle w:val="37"/>
              <w:spacing w:before="163" w:after="163"/>
              <w:rPr>
                <w:color w:val="000000" w:themeColor="text1"/>
                <w14:textFill>
                  <w14:solidFill>
                    <w14:schemeClr w14:val="tx1"/>
                  </w14:solidFill>
                </w14:textFill>
              </w:rPr>
            </w:pPr>
            <w:bookmarkStart w:id="61" w:name="_Toc144049777"/>
            <w:r>
              <w:rPr>
                <w:rFonts w:hint="eastAsia"/>
                <w:color w:val="000000" w:themeColor="text1"/>
                <w14:textFill>
                  <w14:solidFill>
                    <w14:schemeClr w14:val="tx1"/>
                  </w14:solidFill>
                </w14:textFill>
              </w:rPr>
              <w:t>5.</w:t>
            </w:r>
            <w:r>
              <w:rPr>
                <w:color w:val="000000" w:themeColor="text1"/>
                <w14:textFill>
                  <w14:solidFill>
                    <w14:schemeClr w14:val="tx1"/>
                  </w14:solidFill>
                </w14:textFill>
              </w:rPr>
              <w:t>1.2.4</w:t>
            </w:r>
            <w:r>
              <w:rPr>
                <w:rFonts w:hint="eastAsia"/>
                <w:color w:val="000000" w:themeColor="text1"/>
                <w14:textFill>
                  <w14:solidFill>
                    <w14:schemeClr w14:val="tx1"/>
                  </w14:solidFill>
                </w14:textFill>
              </w:rPr>
              <w:t xml:space="preserve"> 环境管理措施</w:t>
            </w:r>
            <w:bookmarkEnd w:id="61"/>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（1）施工前期招投标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对工程施工实行招投标。在招标文件的编制过程中，应将各项环保要求与措施编入相应的条款中；承包商投标文件中应包含环保工程（含环保措施）的落实及实施计划；在评标过程中应注意对投标文件的环保部分进行评估讨论，对中标方的不足之处提出完善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（2）实施施工期环境监理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环境监理技术指南相关要求，委托第三方进行环境监理工作，配备专职（或兼职）的现场环境监理人员，以便及时发现施工中可能出现的各类生态破坏和环境污染问题。主要是：施工开始前，认真检查施工计划中是否包含有环境保护措施；根据施工日程安排，定期检查监督施工过程“三废”排放是否符合环保要求；检查监督施工过程的生态环境保护措施；检查监督施工营地等其它环境保护措施和计划的实施。</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废水污染防治措施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的修建，施工道路路基的填筑、各种筑路材料的运输等均会产生扬尘，这些尘埃可能会随风飘落到附近的水体中，对其水质产生一定程度的不利影响。通过设置篷布对施工材料及临时堆土场进行遮盖，堆场周边设置排水沟，排水沟下游设置沉砂池，减少原辅料及水土流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项目施工期不设施工营地及施工场地，无施工废水产生；现场施工人员生活污水经移动式旱厕收集后用于植被恢复；项目混凝土养护废水一般在喷洒后即被吸收和蒸发。不会对周边水体造成影响。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为尽力保护好饮用水源地的水源，本环评要求，施工期间在紧邻</w:t>
            </w:r>
            <w:r>
              <w:rPr>
                <w:rFonts w:hint="eastAsia"/>
                <w:color w:val="000000" w:themeColor="text1"/>
                <w14:textFill>
                  <w14:solidFill>
                    <w14:schemeClr w14:val="tx1"/>
                  </w14:solidFill>
                </w14:textFill>
              </w:rPr>
              <w:t>毛家村水库</w:t>
            </w:r>
            <w:r>
              <w:rPr>
                <w:color w:val="000000" w:themeColor="text1"/>
                <w14:textFill>
                  <w14:solidFill>
                    <w14:schemeClr w14:val="tx1"/>
                  </w14:solidFill>
                </w14:textFill>
              </w:rPr>
              <w:t>饮用水水源地保护区的55#</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4#风机所在山脊的</w:t>
            </w:r>
            <w:r>
              <w:rPr>
                <w:rFonts w:hint="eastAsia"/>
                <w:color w:val="000000" w:themeColor="text1"/>
                <w14:textFill>
                  <w14:solidFill>
                    <w14:schemeClr w14:val="tx1"/>
                  </w14:solidFill>
                </w14:textFill>
              </w:rPr>
              <w:t>东南</w:t>
            </w:r>
            <w:r>
              <w:rPr>
                <w:color w:val="000000" w:themeColor="text1"/>
                <w14:textFill>
                  <w14:solidFill>
                    <w14:schemeClr w14:val="tx1"/>
                  </w14:solidFill>
                </w14:textFill>
              </w:rPr>
              <w:t>坡设置沉淀池，将风机产生的施工废水全部引流至沉淀池内，杜绝施工废水向水库汇水区域方向流淌，且</w:t>
            </w:r>
            <w:r>
              <w:rPr>
                <w:rFonts w:hint="eastAsia"/>
                <w:color w:val="000000" w:themeColor="text1"/>
                <w14:textFill>
                  <w14:solidFill>
                    <w14:schemeClr w14:val="tx1"/>
                  </w14:solidFill>
                </w14:textFill>
              </w:rPr>
              <w:t>该部分</w:t>
            </w:r>
            <w:r>
              <w:rPr>
                <w:color w:val="000000" w:themeColor="text1"/>
                <w14:textFill>
                  <w14:solidFill>
                    <w14:schemeClr w14:val="tx1"/>
                  </w14:solidFill>
                </w14:textFill>
              </w:rPr>
              <w:t>风机施工必须避开雨季。</w:t>
            </w:r>
            <w:r>
              <w:rPr>
                <w:rFonts w:hint="eastAsia"/>
                <w:color w:val="000000" w:themeColor="text1"/>
                <w14:textFill>
                  <w14:solidFill>
                    <w14:schemeClr w14:val="tx1"/>
                  </w14:solidFill>
                </w14:textFill>
              </w:rPr>
              <w:t>且要加快该区域内的施工进度，一旦施工结束及时实施风机吊装平台及周边临时占地区域的植被恢复工作等。保护区周边基础施工开挖出的土石方及时清运，尽力避免对水源地保护区造成影响。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废气污染防治措施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（1）料场堆放物料采用篷布遮盖、围挡等措施防尘抑尘。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运输车辆进入施工场地应低速行驶或限速行驶，场地内运输通道及时清扫、定期洒水，对运载建筑材料、建筑垃圾和粉状材料的车辆加盖篷布减少洒落；限制运输车辆的行驶速度，场地道路上行车速度不得超过20km/h。</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（3）施工期间根据具体情况适时对施工现场、交通道路洒水，每日至少2次（降雨日除外），春季干旱多风日可适当增加洒水次数，车辆物资运输经过的路段应增加洒水次数。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（4）尽量不在大风天施工作业，尤其是引起地面扰动的作业。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（5）尽量减少临时占地，严禁破坏永久占地和临时占地外的植被。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（6）施工期应对风机基座开挖的土方回填后剩余的土应及时运走，尽快恢复植被，减少风蚀强度。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（7）对临时堆土点的弃土弃渣应尽快回填利用或运至指定地点，暂时不能利用的采用编织袋进行临时挡护，顶部用土工布进行覆盖。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（8）对场内道路山顶部分，由于多为挖方或半挖半填路段，其挖填形成的边坡较小，采用土工布覆盖临时防护；挖填方量大、边坡较高的路段，需在道路的下边坡以及少量临时弃土布置编织土袋挡护措施。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（9）在项目靠近村庄等敏感点附近地段施工时采取增加洒水次数等措施，以控制和减轻施工扬尘对该保护目标的影响。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噪声污染防治措施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夜间禁止施工，并尽量采用低噪声机械设备，对超过国家标准的机械应禁止其入场施工，施工过程中还应经常对设备进行维修保养，避免由于设备性能变差而导致噪声增加，对产生震动的环节进行加固或改造，对振动较大的设备可使用减震机座；对于施工期间的材料运输、敲击、人的喊叫等施工声源，要求施工队通过文明施工、加强有效管理加以缓解。</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在利用现有道路运输施工物资时，应合理选择运输路线，禁止夜间运输。此外，在途经村庄时，应减速慢行。建设单位应对施工承包商的运输路线提出要求，要求承包商必须提供材料运输路线，并请环保监理或环保专业人员确认施工路线在减缓噪声影响方面的合理性。建设单位根据确定后的运输路线进行监督，并可联合地方环保部门加强监督力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（3）夜间禁止施工，昼间施工时也要进行良好的施工管理和采取必要的降噪措施，如临时声屏障围护等，控制同时作业的高噪声设备的数量，以符合《建筑施工场界环境噪声排放标准》（GB12523-2011）相关标准。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（4）合理布置施工平面和施工的顺序，充分利用地形对噪音的阻隔作用，调整作业工时，减少噪声对周边环境敏感点的影响。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（5）开展施工期环境监理，加强施工期噪声管控，发现噪声污染，及时采取有效的噪声污染防治措施，降低项目施工噪声对周边敏感点造成的不利影响。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固废污染防治措施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（1）施工弃土：拟建项目总开挖</w:t>
            </w:r>
            <w:r>
              <w:rPr>
                <w:color w:val="000000" w:themeColor="text1"/>
                <w14:textFill>
                  <w14:solidFill>
                    <w14:schemeClr w14:val="tx1"/>
                  </w14:solidFill>
                </w14:textFill>
              </w:rPr>
              <w:t>44.66</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，回填</w:t>
            </w:r>
            <w:r>
              <w:rPr>
                <w:color w:val="000000" w:themeColor="text1"/>
                <w14:textFill>
                  <w14:solidFill>
                    <w14:schemeClr w14:val="tx1"/>
                  </w14:solidFill>
                </w14:textFill>
              </w:rPr>
              <w:t>30.94</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，弃方</w:t>
            </w:r>
            <w:r>
              <w:rPr>
                <w:color w:val="000000" w:themeColor="text1"/>
                <w14:textFill>
                  <w14:solidFill>
                    <w14:schemeClr w14:val="tx1"/>
                  </w14:solidFill>
                </w14:textFill>
              </w:rPr>
              <w:t>13.72</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，该弃渣依托一期已批复的1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弃渣场进行堆存。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（2）生活垃圾：拟建项目施工期生活垃圾产生量为</w:t>
            </w:r>
            <w:r>
              <w:rPr>
                <w:color w:val="000000" w:themeColor="text1"/>
                <w14:textFill>
                  <w14:solidFill>
                    <w14:schemeClr w14:val="tx1"/>
                  </w14:solidFill>
                </w14:textFill>
              </w:rPr>
              <w:t>5.94</w:t>
            </w:r>
            <w:r>
              <w:rPr>
                <w:rFonts w:hint="eastAsia"/>
                <w:color w:val="000000" w:themeColor="text1"/>
                <w14:textFill>
                  <w14:solidFill>
                    <w14:schemeClr w14:val="tx1"/>
                  </w14:solidFill>
                </w14:textFill>
              </w:rPr>
              <w:t>t。生活垃圾经场区内收集后，清运至当地垃圾填埋场处理。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）施工现场生活污水经移动式旱厕收集后用于植被恢复肥料。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）为防止和减少施工期固体废物对环境的影响，建议采取如下措施：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施工过程中应加强对开挖出的土石方的规范的管理和处理，确保产生的弃土、弃渣得到有效利用。为了保证建筑施工材料垃圾不进入周边水体，对各建筑施工材料垃圾临时堆放场所必须采取有效的工程防护措施，防止乱堆乱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②施工过程中产生的建筑垃圾清运必须限制在规定时段内进行，按指定路段行驶。车辆运输散体物和废弃物时，运输车辆必须做到装载适量，做好外部清洗，沿途不漏泥土、不飞扬。</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③对有扬尘的废物，采用围隔的堆放方法处置。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④对于施工垃圾，要求进行分类和处理，其中可利用的物料，应重复利用或收购，如纸质、木质、金属性和玻璃质的垃圾可供收购站再利用，对不能利用的，应按要求运送到指定地点。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⑤对于人员活动产生的分散垃圾，除对施工人员加强环境保护教育外，也应设立一些分散的小型垃圾收集器，如废物箱等加以收集，并派专人定时打扫清理。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运营期生态环境保护措施</w:t>
            </w:r>
          </w:p>
        </w:tc>
        <w:tc>
          <w:tcPr>
            <w:tcW w:w="8413" w:type="dxa"/>
          </w:tcPr>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生态保护措施</w:t>
            </w:r>
          </w:p>
          <w:p>
            <w:pPr>
              <w:pStyle w:val="35"/>
              <w:spacing w:before="163" w:after="163"/>
              <w:rPr>
                <w:bCs/>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.6.1 </w:t>
            </w:r>
            <w:r>
              <w:rPr>
                <w:rFonts w:hint="eastAsia"/>
                <w:color w:val="000000" w:themeColor="text1"/>
                <w14:textFill>
                  <w14:solidFill>
                    <w14:schemeClr w14:val="tx1"/>
                  </w14:solidFill>
                </w14:textFill>
              </w:rPr>
              <w:t>植被保护措施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的建设会造成该地区生物量一定程度的减少，因此工程建设及运行期要采取一定的生态保护措施，工程施工结束后，应及时对施工便道、施工场地等临时占地植被恢复。枢纽区植被恢复除考虑路基防护、水土保持外，还应适当考虑景观及环保作用，使水保、绿化、美化、环保有机结合为一体。对占用林地及灌草地的植被恢复。在“适地适树、适地适草”的原则下，树种、草种应以选择当地优良的乡土树种草种为主，保证绿化栽植的成活率。把剥离的表层熟土回填至周围的植被恢复区内，用作施工区植被恢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植被恢复期，树种、草种的选择应以当地优良的乡土树种草种为主，并通过建立外来物种环境影响评价制度和加强外来物种引进的监管工作等来防止外来物种的入侵，保护本地物种。在植被恢复时注意的技术要点：①选择适宜的林草种；②根据岩土组成，正确划分坡地类型，根据具体类型采取相应的植被恢复措施：植被恢复应针对不同岩土组成生境的水分条件，主要依靠优势生活型植物种类，进行乔灌草不同生活型植物类型的合理配置，建立起植被与生境水分条件的群落生态关系，方能达到成功的目的，如在侵蚀冲沟两侧等坡度较大的坡地，土壤极干旱，基本无法进行人工植被恢复，应进行封育管理，使植被自然恢复。近地面小气候条件恶劣，对幼树生长极端不利，种植后成活率低，成活后保存率低，制约着人工植被恢复的进程，所以选择覆盖性能强的速生草本植物，迅速覆盖地表，发展多层次多种结构的人工混交植被类型尤为重要。混交模式必须遵循：混交类型以灌草为主，在砾石层坡地及其它水</w:t>
            </w:r>
            <w:r>
              <w:rPr>
                <w:rFonts w:hint="eastAsia"/>
                <w:color w:val="000000" w:themeColor="text1"/>
                <w:lang w:val="en-US" w:eastAsia="zh-CN"/>
                <w14:textFill>
                  <w14:solidFill>
                    <w14:schemeClr w14:val="tx1"/>
                  </w14:solidFill>
                </w14:textFill>
              </w:rPr>
              <w:t>分</w:t>
            </w:r>
            <w:r>
              <w:rPr>
                <w:rFonts w:hint="eastAsia"/>
                <w:color w:val="000000" w:themeColor="text1"/>
                <w14:textFill>
                  <w14:solidFill>
                    <w14:schemeClr w14:val="tx1"/>
                  </w14:solidFill>
                </w14:textFill>
              </w:rPr>
              <w:t>条件较好的地段，可建立乔灌草人工混交植被，但必须控制乔木的比例；进行多林草种的搭配，建立稳定的多样性人工植被，多林草搭配应注意豆科和非豆科、阴性和阳性植物的搭配，混交方式以行间混交为主。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（1）风电机组和箱变区植被恢复措施</w:t>
            </w:r>
          </w:p>
          <w:p>
            <w:pPr>
              <w:ind w:firstLine="480"/>
              <w:rPr>
                <w:color w:val="000000" w:themeColor="text1"/>
                <w14:textFill>
                  <w14:solidFill>
                    <w14:schemeClr w14:val="tx1"/>
                  </w14:solidFill>
                </w14:textFill>
              </w:rPr>
            </w:pPr>
            <w:bookmarkStart w:id="62" w:name="_Hlk144048096"/>
            <w:bookmarkStart w:id="63" w:name="_Hlk157554251"/>
            <w:r>
              <w:rPr>
                <w:rFonts w:hint="eastAsia"/>
                <w:color w:val="000000" w:themeColor="text1"/>
                <w14:textFill>
                  <w14:solidFill>
                    <w14:schemeClr w14:val="tx1"/>
                  </w14:solidFill>
                </w14:textFill>
              </w:rPr>
              <w:t>主</w:t>
            </w:r>
            <w:r>
              <w:rPr>
                <w:rFonts w:hint="eastAsia"/>
                <w:color w:val="000000" w:themeColor="text1"/>
                <w:lang w:val="en-US" w:eastAsia="zh-CN"/>
                <w14:textFill>
                  <w14:solidFill>
                    <w14:schemeClr w14:val="tx1"/>
                  </w14:solidFill>
                </w14:textFill>
              </w:rPr>
              <w:t>要</w:t>
            </w:r>
            <w:r>
              <w:rPr>
                <w:rFonts w:hint="eastAsia"/>
                <w:color w:val="000000" w:themeColor="text1"/>
                <w14:textFill>
                  <w14:solidFill>
                    <w14:schemeClr w14:val="tx1"/>
                  </w14:solidFill>
                </w14:textFill>
              </w:rPr>
              <w:t>考虑施工前对风机基坑及箱变开挖占地进行表土剥离，表土</w:t>
            </w:r>
            <w:r>
              <w:rPr>
                <w:color w:val="000000" w:themeColor="text1"/>
                <w14:textFill>
                  <w14:solidFill>
                    <w14:schemeClr w14:val="tx1"/>
                  </w14:solidFill>
                </w14:textFill>
              </w:rPr>
              <w:t>堆放实施临时编织袋拦挡措施，编织袋装土直接利用堆放的表土或需要回填的临时堆土，使用完时将编织袋清理干净</w:t>
            </w:r>
            <w:r>
              <w:rPr>
                <w:rFonts w:hint="eastAsia"/>
                <w:color w:val="000000" w:themeColor="text1"/>
                <w14:textFill>
                  <w14:solidFill>
                    <w14:schemeClr w14:val="tx1"/>
                  </w14:solidFill>
                </w14:textFill>
              </w:rPr>
              <w:t>，表土</w:t>
            </w:r>
            <w:r>
              <w:rPr>
                <w:color w:val="000000" w:themeColor="text1"/>
                <w14:textFill>
                  <w14:solidFill>
                    <w14:schemeClr w14:val="tx1"/>
                  </w14:solidFill>
                </w14:textFill>
              </w:rPr>
              <w:t>堆放期间的临时</w:t>
            </w:r>
            <w:r>
              <w:rPr>
                <w:rFonts w:hint="eastAsia"/>
                <w:color w:val="000000" w:themeColor="text1"/>
                <w14:textFill>
                  <w14:solidFill>
                    <w14:schemeClr w14:val="tx1"/>
                  </w14:solidFill>
                </w14:textFill>
              </w:rPr>
              <w:t>防尘网</w:t>
            </w:r>
            <w:r>
              <w:rPr>
                <w:color w:val="000000" w:themeColor="text1"/>
                <w14:textFill>
                  <w14:solidFill>
                    <w14:schemeClr w14:val="tx1"/>
                  </w14:solidFill>
                </w14:textFill>
              </w:rPr>
              <w:t>覆盖措施，</w:t>
            </w:r>
            <w:r>
              <w:rPr>
                <w:rFonts w:hint="eastAsia"/>
                <w:color w:val="000000" w:themeColor="text1"/>
                <w14:textFill>
                  <w14:solidFill>
                    <w14:schemeClr w14:val="tx1"/>
                  </w14:solidFill>
                </w14:textFill>
              </w:rPr>
              <w:t>待施工结束后用于本区临时占地进行植被恢复。施工结束后，对风机及箱变永久占地范围内未被硬化区域及临时吊装场地采取灌草结合的方式予以植被恢复。</w:t>
            </w:r>
            <w:bookmarkEnd w:id="6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（2）场内道路区植被恢复措施</w:t>
            </w:r>
          </w:p>
          <w:p>
            <w:pPr>
              <w:ind w:firstLine="480"/>
              <w:rPr>
                <w:color w:val="000000" w:themeColor="text1"/>
                <w14:textFill>
                  <w14:solidFill>
                    <w14:schemeClr w14:val="tx1"/>
                  </w14:solidFill>
                </w14:textFill>
              </w:rPr>
            </w:pPr>
            <w:bookmarkStart w:id="64" w:name="_Hlk144048103"/>
            <w:r>
              <w:rPr>
                <w:rFonts w:hint="eastAsia"/>
                <w:color w:val="000000" w:themeColor="text1"/>
                <w14:textFill>
                  <w14:solidFill>
                    <w14:schemeClr w14:val="tx1"/>
                  </w14:solidFill>
                </w14:textFill>
              </w:rPr>
              <w:t>主体设计施工前对现状为林地、草地的占地进行表土剥离，剥离的表土均运往相对应的表土堆场集中堆放，</w:t>
            </w:r>
            <w:r>
              <w:rPr>
                <w:color w:val="000000" w:themeColor="text1"/>
                <w14:textFill>
                  <w14:solidFill>
                    <w14:schemeClr w14:val="tx1"/>
                  </w14:solidFill>
                </w14:textFill>
              </w:rPr>
              <w:t>堆放表土实施临时编织袋拦挡措施，编织袋装土直接利用堆放的表土或需要回填的临时堆土，使用完时将编织袋清理干净</w:t>
            </w:r>
            <w:r>
              <w:rPr>
                <w:rFonts w:hint="eastAsia"/>
                <w:color w:val="000000" w:themeColor="text1"/>
                <w14:textFill>
                  <w14:solidFill>
                    <w14:schemeClr w14:val="tx1"/>
                  </w14:solidFill>
                </w14:textFill>
              </w:rPr>
              <w:t>，表土</w:t>
            </w:r>
            <w:r>
              <w:rPr>
                <w:color w:val="000000" w:themeColor="text1"/>
                <w14:textFill>
                  <w14:solidFill>
                    <w14:schemeClr w14:val="tx1"/>
                  </w14:solidFill>
                </w14:textFill>
              </w:rPr>
              <w:t>堆放期间的临时</w:t>
            </w:r>
            <w:r>
              <w:rPr>
                <w:rFonts w:hint="eastAsia"/>
                <w:color w:val="000000" w:themeColor="text1"/>
                <w14:textFill>
                  <w14:solidFill>
                    <w14:schemeClr w14:val="tx1"/>
                  </w14:solidFill>
                </w14:textFill>
              </w:rPr>
              <w:t>防尘网</w:t>
            </w:r>
            <w:r>
              <w:rPr>
                <w:color w:val="000000" w:themeColor="text1"/>
                <w14:textFill>
                  <w14:solidFill>
                    <w14:schemeClr w14:val="tx1"/>
                  </w14:solidFill>
                </w14:textFill>
              </w:rPr>
              <w:t>覆盖措施，</w:t>
            </w:r>
            <w:r>
              <w:rPr>
                <w:rFonts w:hint="eastAsia"/>
                <w:color w:val="000000" w:themeColor="text1"/>
                <w14:textFill>
                  <w14:solidFill>
                    <w14:schemeClr w14:val="tx1"/>
                  </w14:solidFill>
                </w14:textFill>
              </w:rPr>
              <w:t>待施工结束后用于本区临时占地进行植被恢复。</w:t>
            </w:r>
            <w:bookmarkEnd w:id="6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（3）植被恢复监测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在进场道路、风景平台等对亚高山草甸等受影响的区域开展监测，设置</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个样方对草甸的恢复情况进行监测，监测时间2年，根据样方物种变化、生物量变化情况判断植被恢复情况。</w:t>
            </w:r>
          </w:p>
          <w:p>
            <w:pPr>
              <w:ind w:firstLine="480"/>
              <w:rPr>
                <w:color w:val="000000" w:themeColor="text1"/>
                <w14:textFill>
                  <w14:solidFill>
                    <w14:schemeClr w14:val="tx1"/>
                  </w14:solidFill>
                </w14:textFill>
              </w:rPr>
            </w:pPr>
          </w:p>
          <w:bookmarkEnd w:id="64"/>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.6.2 </w:t>
            </w:r>
            <w:r>
              <w:rPr>
                <w:rFonts w:hint="eastAsia"/>
                <w:color w:val="000000" w:themeColor="text1"/>
                <w14:textFill>
                  <w14:solidFill>
                    <w14:schemeClr w14:val="tx1"/>
                  </w14:solidFill>
                </w14:textFill>
              </w:rPr>
              <w:t>动物保护措施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（1）加强对场区的管理，在场区和主要路口设置警示牌，禁止无关人员在场区范围内进行捕鸟、破坏鸟类生境等活动。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（2）风电场建成后，应加强场区巡视，密切关注风电场内的鸟类死亡情况，一旦发现异常，及时与管理部门联系，将受伤鸟类交由其妥善处理，共同研究，采取措施解决问题。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（3）在鸟类迁徙季节，尤其是大雾、逆风和无</w:t>
            </w:r>
            <w:r>
              <w:rPr>
                <w:rFonts w:hint="eastAsia"/>
                <w:color w:val="000000" w:themeColor="text1"/>
                <w:lang w:val="en-US" w:eastAsia="zh-CN"/>
                <w14:textFill>
                  <w14:solidFill>
                    <w14:schemeClr w14:val="tx1"/>
                  </w14:solidFill>
                </w14:textFill>
              </w:rPr>
              <w:t>雨</w:t>
            </w:r>
            <w:r>
              <w:rPr>
                <w:rFonts w:hint="eastAsia"/>
                <w:color w:val="000000" w:themeColor="text1"/>
                <w14:textFill>
                  <w14:solidFill>
                    <w14:schemeClr w14:val="tx1"/>
                  </w14:solidFill>
                </w14:textFill>
              </w:rPr>
              <w:t>天气下，鸟类</w:t>
            </w:r>
            <w:r>
              <w:rPr>
                <w:color w:val="000000" w:themeColor="text1"/>
                <w14:textFill>
                  <w14:solidFill>
                    <w14:schemeClr w14:val="tx1"/>
                  </w14:solidFill>
                </w14:textFill>
              </w:rPr>
              <w:t>容易被迁徙通道上的光源吸引，向着光源飞行</w:t>
            </w:r>
            <w:r>
              <w:rPr>
                <w:rFonts w:hint="eastAsia"/>
                <w:color w:val="000000" w:themeColor="text1"/>
                <w14:textFill>
                  <w14:solidFill>
                    <w14:schemeClr w14:val="tx1"/>
                  </w14:solidFill>
                </w14:textFill>
              </w:rPr>
              <w:t>，因此需限制风电场场区照明，禁止长时间开启室外照明设备。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（4）对风机叶片涂上警示色，提高风机辨识度，减少鸟类撞机概率。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）加强鸟类的保护管理，加强对电场工作人员和当地居民的爱鸟护鸟教育宣传工作，避免人为伤害或干扰鸟类的事件发生。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）风电场场区内应密闭保存工人食物以避免吸引啮齿目动物的到来，不人为增加猛禽在区域出现的频率；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）运行期风机大规模的检修维护活动尽可能避开保护鸟类频繁分布区和繁殖季节。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）鸟类观测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投运后，应同时委托专业鸟类观测机构或大学进行鸟类观测。重点对黑颈鹤进行观测，主要观测项目运营过程中对迁徙候鸟和本地留鸟的环境影响，越冬期和春秋迁徙期观测频次1月/次、夏季观测1次，连续观测</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年；主要观测和记录内容为保护鸟类种群数量变化情况、栖息地和越冬场变化情况、鸟类是否撞击风机等情况。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根据鸟类观测站连续</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年的观测结果：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①如果项目运营后，对迁徙候鸟种群数量、栖息地和越冬场等影响较小或基本无影响，也没有迁徙鸟类撞击风机伤亡事件发生，可取消鸟类观测站。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如果项目运行后，造成迁徙鸟类数量急剧减少，特别是保护鸟类，撞击风机伤亡事件频发（超过3次/年），则应根据观测结果，拆除造成鸟类撞击伤亡的风机，并进行迁徙候鸟持续观测，持续观测期2年，并根据观测结果重新评估项目建设对迁徙类候鸟影响程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③应重点对国家Ⅰ级保护鸟类黑颈鹤的跟踪观测，出现对黑颈鹤觅食、栖息、迁徙造成影响的风机，应及时采取有效措施，确保风机运行不对黑颈鹤产生影响。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噪声污染防治措施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（1）风机组噪声污染防治措施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①风机采购时应注意风机的选型，选用低噪声风电机组并采取减震措施。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②提高风机机组的加工工艺和安装精度，使齿轮和轴承保持良好的润滑条件，避免或减少撞击力、周期力和摩擦力等。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③加强风机日常维护，定期检查风机机械系统，当发生故障时，应立即停机检查。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④对营运期风机噪声进行跟踪监测，每年一次，连续2年，若周围居民点处噪声出现超标情况，则需关停该点位风机或调整风机功率，确保营运期风机噪声不会对周边居民产生影响。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⑤环评项目要求设置3</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5m的噪声防护距离，风机建设前（建设单位）向主管部门告知备案，建议风机机位3</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5m范围内不得新建居民区，并告知项目所在地乡镇、村委会。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（2）升压站主变噪声污染防治措施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①主变压器选用低噪声设备；并加强维护管理，确保设备在正常状态下运行。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②升压站四周设置实体围墙；并加强站区植树绿化。利用变电所及所区围墙和周围树木的阻挡作用，衰减降低噪声。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③变配电设备的低频噪声容易引起人群的烦恼，因此应做好变配电房中的变压器隔振处理，对室内壁进行吸声处理，可降低低频噪声烦恼度。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经采取上述措施后，设备噪声衰减到厂界后的噪声值大大降低，可满足厂界噪声排放标准的要求。因此，项目采取的噪声防治措施是可行的。</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废水污染防治措施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项目运营期不新增新鲜用水，风电场运营管理依托2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0kV升压站运营管理人员，不新增工作人员，项目建设不会对当地水资源供应产生影响。</w:t>
            </w:r>
          </w:p>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风险防范措施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）在箱变及主变压器旁设置事故储油池（容积按100%变压器油量确定），并设有排油管道以保证在事故情况下变压器储油池的油可以顺利排入事故池。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）维修变压器时原变压器油应回收利用，不能利用的贮存于密闭的容器中，其贮存应按《危险废物贮存污染控制标准》的有关要求进行。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）变压器油不得遗弃和倾倒于环境中，必须收集进入事故油池并交给有资质的单位处理。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）规范设置废检修油暂存间。废检修油产生及处置须规范记录台账，委托有资质单位处理。</w:t>
            </w:r>
          </w:p>
          <w:p>
            <w:pPr>
              <w:pStyle w:val="34"/>
              <w:spacing w:before="163" w:after="163"/>
              <w:rPr>
                <w:color w:val="000000" w:themeColor="text1"/>
                <w14:textFill>
                  <w14:solidFill>
                    <w14:schemeClr w14:val="tx1"/>
                  </w14:solidFill>
                </w14:textFill>
              </w:rPr>
            </w:pPr>
            <w:r>
              <w:rPr>
                <w:color w:val="000000" w:themeColor="text1"/>
                <w14:textFill>
                  <w14:solidFill>
                    <w14:schemeClr w14:val="tx1"/>
                  </w14:solidFill>
                </w14:textFill>
              </w:rPr>
              <w:t>5.10</w:t>
            </w:r>
            <w:r>
              <w:rPr>
                <w:rFonts w:hint="eastAsia"/>
                <w:color w:val="000000" w:themeColor="text1"/>
                <w14:textFill>
                  <w14:solidFill>
                    <w14:schemeClr w14:val="tx1"/>
                  </w14:solidFill>
                </w14:textFill>
              </w:rPr>
              <w:t xml:space="preserve"> 大气污染防治措施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风力发电项目为清洁能源项目，运行期间风机不存在大气环境影响。</w:t>
            </w:r>
          </w:p>
          <w:p>
            <w:pPr>
              <w:pStyle w:val="34"/>
              <w:spacing w:before="163" w:after="163"/>
              <w:rPr>
                <w:color w:val="000000" w:themeColor="text1"/>
                <w14:textFill>
                  <w14:solidFill>
                    <w14:schemeClr w14:val="tx1"/>
                  </w14:solidFill>
                </w14:textFill>
              </w:rPr>
            </w:pPr>
            <w:r>
              <w:rPr>
                <w:color w:val="000000" w:themeColor="text1"/>
                <w14:textFill>
                  <w14:solidFill>
                    <w14:schemeClr w14:val="tx1"/>
                  </w14:solidFill>
                </w14:textFill>
              </w:rPr>
              <w:t>5.11</w:t>
            </w:r>
            <w:r>
              <w:rPr>
                <w:rFonts w:hint="eastAsia"/>
                <w:color w:val="000000" w:themeColor="text1"/>
                <w14:textFill>
                  <w14:solidFill>
                    <w14:schemeClr w14:val="tx1"/>
                  </w14:solidFill>
                </w14:textFill>
              </w:rPr>
              <w:t xml:space="preserve"> 固废污染防治措施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（1）检修废油、</w:t>
            </w:r>
            <w:r>
              <w:rPr>
                <w:color w:val="000000" w:themeColor="text1"/>
                <w14:textFill>
                  <w14:solidFill>
                    <w14:schemeClr w14:val="tx1"/>
                  </w14:solidFill>
                </w14:textFill>
              </w:rPr>
              <w:t>废蓄电池</w:t>
            </w:r>
            <w:r>
              <w:rPr>
                <w:rFonts w:hint="eastAsia"/>
                <w:color w:val="000000" w:themeColor="text1"/>
                <w14:textFill>
                  <w14:solidFill>
                    <w14:schemeClr w14:val="tx1"/>
                  </w14:solidFill>
                </w14:textFill>
              </w:rPr>
              <w:t>集中收集后暂存于一期2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kV危废暂存间，定期委托有资质的单位处置。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（2）在箱变运行过程中，需加强对箱变的巡检维护，针对箱变运行中的异常情况及时分析与检查，箱变发现漏油后，应及时用纱布擦拭，若漏油量较大，采用集油坑进行收集，防止发生火灾。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42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8413" w:type="dxa"/>
          </w:tcPr>
          <w:p>
            <w:pPr>
              <w:pStyle w:val="34"/>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环境管理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是落实建设项目环境保护责任的主体。建设单位在建设项目开工前和发生重大变动前，必须依法取得环境影响评价审批文件。建设项目实施过程中应严格落实经批准的环境影响评价文件及其批复文件提出的各项环境保护要求，确保环境保护设施正常运行。</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.12.1 </w:t>
            </w:r>
            <w:r>
              <w:rPr>
                <w:rFonts w:hint="eastAsia"/>
                <w:color w:val="000000" w:themeColor="text1"/>
                <w14:textFill>
                  <w14:solidFill>
                    <w14:schemeClr w14:val="tx1"/>
                  </w14:solidFill>
                </w14:textFill>
              </w:rPr>
              <w:t>施工期环境管理要求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建设单位应选择具有相关资质的专业施工单位，施工单位应针对本项目的环境特点及周围保护目标的情况，制定相应的措施，确保施工作业对周围敏感目标的影响降至最低。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理单位应将环保措施及施工合同中规定的各项环保措施作为监理工作的重要内容，对环保工程质量严格把关，在施工现场至少配备一名专职或兼职的环境监理人员，以便及时发现施工中可能出现的各类环境污染问题，并监督施工单位落实施工中应采取的各项环保措施，督促建设项目落实环保“三同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须加强施工期环境保护管理，不但对工程的施工质量、进度进行管理，同时还必须对施工的文明程度、施工期环境影响缓解措施的落实情况，对有关环境保护方面合同条款的执行情况进行检查。建设单位有责任落实环境影响缓解措施，减轻工程施工时可能造成的不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本项目施工期间需执行监督的环境影响环节措施包括：</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①贯彻执行国家的各项环境保护方针、政策、法规和各项规章制度。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hint="eastAsia"/>
                <w:color w:val="000000" w:themeColor="text1"/>
                <w:lang w:val="en-US" w:eastAsia="zh-CN"/>
                <w14:textFill>
                  <w14:solidFill>
                    <w14:schemeClr w14:val="tx1"/>
                  </w14:solidFill>
                </w14:textFill>
              </w:rPr>
              <w:t>制</w:t>
            </w:r>
            <w:r>
              <w:rPr>
                <w:rFonts w:hint="eastAsia"/>
                <w:color w:val="000000" w:themeColor="text1"/>
                <w14:textFill>
                  <w14:solidFill>
                    <w14:schemeClr w14:val="tx1"/>
                  </w14:solidFill>
                </w14:textFill>
              </w:rPr>
              <w:t>定本项目施工期</w:t>
            </w:r>
            <w:r>
              <w:rPr>
                <w:rFonts w:hint="eastAsia"/>
                <w:color w:val="000000" w:themeColor="text1"/>
                <w:lang w:val="en-US" w:eastAsia="zh-CN"/>
                <w14:textFill>
                  <w14:solidFill>
                    <w14:schemeClr w14:val="tx1"/>
                  </w14:solidFill>
                </w14:textFill>
              </w:rPr>
              <w:t>间</w:t>
            </w:r>
            <w:r>
              <w:rPr>
                <w:rFonts w:hint="eastAsia"/>
                <w:color w:val="000000" w:themeColor="text1"/>
                <w14:textFill>
                  <w14:solidFill>
                    <w14:schemeClr w14:val="tx1"/>
                  </w14:solidFill>
                </w14:textFill>
              </w:rPr>
              <w:t>的环境保护计划，负责工程施工过程中各项环境保护措施实施的监督和日常管理。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③组织和开展对施工人员进行施工活动中应遵循的环保法规、知识的培训，提高全体员工文明施工的认识。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④负责日常施工活动中的环境监理工作，做好工程用地区域的环境特征调查。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⑤在施工计划中应适当计划设备运输道路，以避免影响当地居民生活，施工中应考虑保护生态和避免水土流失，合理组织施工以减少占用临时施工用地。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⑥做好施工中各种环境问题的收集、记录、建档和处理工作。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⑦监督施工单位，使施工工作完成后的耕地恢复和补偿，水保设施、环保设施等各项保护工程同时完成。</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5.12-1 </w:t>
            </w:r>
            <w:r>
              <w:rPr>
                <w:rFonts w:hint="eastAsia"/>
                <w:color w:val="000000" w:themeColor="text1"/>
                <w14:textFill>
                  <w14:solidFill>
                    <w14:schemeClr w14:val="tx1"/>
                  </w14:solidFill>
                </w14:textFill>
              </w:rPr>
              <w:t xml:space="preserve"> 项目施工期应重点关注的环境问题汇总表</w:t>
            </w:r>
          </w:p>
          <w:tbl>
            <w:tblPr>
              <w:tblStyle w:val="21"/>
              <w:tblW w:w="81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7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15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施工阶段</w:t>
                  </w:r>
                </w:p>
              </w:tc>
              <w:tc>
                <w:tcPr>
                  <w:tcW w:w="701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监理工作中应关注的内容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15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施工前期</w:t>
                  </w:r>
                </w:p>
              </w:tc>
              <w:tc>
                <w:tcPr>
                  <w:tcW w:w="70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（1）收集环评及其批复文件、初步设计文件、施工图设计文件，以此为依据重点关注工程建设的变化情况，环评及其批复文件、初步设计文件和施工图设计文件中对于环保措施的要求；</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（2）核查设计中风电场总平面布置、装机规模、集电线路布置、施工工艺、配套的环保设施及其规模等与环评及批复的符合性；</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（3）根据建设项目有关设计的规定，审查设计图纸签章、审查（批）手续是否齐全；</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重点针对工程与环境敏感区的位置关系是否发生重大变化，设计文件所提环保措施和设计的环境保护设施是否针对建设项目的工程环境、施工管理模式、现场实际情况，是否具备可操作性，同时对设计不满足环境影响报告及批复文件要求的环保治理措施，提出修改或增加建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（5）编制环境监理工作规划和实施细则。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151"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p>
              </w:tc>
              <w:tc>
                <w:tcPr>
                  <w:tcW w:w="7016"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施工期间，监督施工过程中环境保护措施的落实，以及为项目营运配套的污染治理设施的“三同时”工作执行情况。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（1）环境监理</w:t>
                  </w:r>
                  <w:r>
                    <w:rPr>
                      <w:rFonts w:hint="eastAsia"/>
                      <w:color w:val="000000" w:themeColor="text1"/>
                      <w:lang w:val="en-US" w:eastAsia="zh-CN"/>
                      <w14:textFill>
                        <w14:solidFill>
                          <w14:schemeClr w14:val="tx1"/>
                        </w14:solidFill>
                      </w14:textFill>
                    </w:rPr>
                    <w:t>部门</w:t>
                  </w:r>
                  <w:r>
                    <w:rPr>
                      <w:rFonts w:hint="eastAsia"/>
                      <w:color w:val="000000" w:themeColor="text1"/>
                      <w14:textFill>
                        <w14:solidFill>
                          <w14:schemeClr w14:val="tx1"/>
                        </w14:solidFill>
                      </w14:textFill>
                    </w:rPr>
                    <w:t>不定期对施工场地进行环境保护巡查，监督“三同时”中“同时施工”制度的有效落实，并对施工单位在施工过程中的环境保护措施落实情况、施工区及周边地区的环境状况、工程建设监理的现场监管情况等进行检查，就检查中发现的问题及时通知建设单位，并提出改进措施要求，跟踪直至问题解决。在检查中如发现重大环境问题时，向施工方下达《环境监理通知书》，整改完工后，由建设单位、工程监理、环境监理等相关单位检查认可。</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（2）监督检查施工现场道路是否畅通，排水系统是否处于良好使用状态。重点对距离河道和水库较近工程施工行为进行监理，关注环评及其批复文件所提环保措施是否落实到位。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（3）监督检查施工废水及废气防治情况、施工噪声控制情况、施工人员生活垃圾及生活污水处置情况。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（4）监督检查施工道路排水、护坡修建情况。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（5）监督检查固体废物的分类存储和处理工作，达到保持工程所在现场清洁整齐的要求。</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加强对毛家村水库饮用水水源保护区及驾车华山松省级自然保护区的施工监理，加强宣传及巡视，禁止施工人员破坏保护区植被，临近毛家村水库饮用水源保护区的风机施工必须避开雨季，同时设置临时沉淀池收集施工废水，且要加快该区域内的施工进度，一旦施工结束及时实施风机吊装平台及周边临时占地区域的植被恢复工作等。保护区周边基础施工开挖出的土石方及时清运，尽力避免对水源保护区及自然保护区造成影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）定期主持召开环保专项工程例会，按要求编写环境监理阶段报告，并定期向建设单位报送环境监理阶段报告。</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）对施工期间以及完工后采取的生态保护和恢复措施进行监理。</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）监督环评报告及其批复中所提出的运行期污染防治的各项治理工程和环保工程的工艺、设备、能力、规模、进度，按照设计文件的要求进行有效落实，确保项目"三同时"工作在各个阶段落实到位。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）根据环评报告的要求做好施工期污染物排放的环境监测、检查、检验工作，为环境保护监理提供必要的监测数据。</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）参与调查处理施工期</w:t>
                  </w:r>
                  <w:r>
                    <w:rPr>
                      <w:rFonts w:hint="eastAsia"/>
                      <w:color w:val="000000" w:themeColor="text1"/>
                      <w:lang w:val="en-US" w:eastAsia="zh-CN"/>
                      <w14:textFill>
                        <w14:solidFill>
                          <w14:schemeClr w14:val="tx1"/>
                        </w14:solidFill>
                      </w14:textFill>
                    </w:rPr>
                    <w:t>间</w:t>
                  </w:r>
                  <w:r>
                    <w:rPr>
                      <w:rFonts w:hint="eastAsia"/>
                      <w:color w:val="000000" w:themeColor="text1"/>
                      <w14:textFill>
                        <w14:solidFill>
                          <w14:schemeClr w14:val="tx1"/>
                        </w14:solidFill>
                      </w14:textFill>
                    </w:rPr>
                    <w:t>的环境污染事故和环境污染纠纷。</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）对施工人员做好环境保护方面的培训工作，培养大家爱护环境、防止污染的意识。</w:t>
                  </w:r>
                </w:p>
              </w:tc>
            </w:tr>
          </w:tbl>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.12.2 </w:t>
            </w:r>
            <w:r>
              <w:rPr>
                <w:rFonts w:hint="eastAsia"/>
                <w:color w:val="000000" w:themeColor="text1"/>
                <w14:textFill>
                  <w14:solidFill>
                    <w14:schemeClr w14:val="tx1"/>
                  </w14:solidFill>
                </w14:textFill>
              </w:rPr>
              <w:t>运营期环境管理要求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（1）营运期管理机构及职责</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按照现行环保管理要求，营运期管理工作主要职责是：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①制定企业环境管理组织机构和职责文件；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②制定污染控制管理文件和台账管理；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③监督所有污染控制设施的操作和维修；组织监测噪声的排放情况和影响，监督固体废物管理；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④组织开展环境管理体系的内部审核；</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⑤健全企业环保技术档案及污染物排放记录；向当地生态环境主管部门报告。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（2）营运期环境管理要求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营运期的环境管理的重点是各项环境保护措施的落实，环保设施运行的管理和维护，日常的监测及污染事故的防范和应急处理。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①制定和实施各项环境管理计划。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掌握项目所在地周围的环境特征和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生态环境主管部门申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③检查治理设施运行情况，及时处理出现的问题，保证治理设施的正常运行。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④不定期地进行巡查，特别是各环境保护对象，保护生态环境不被破坏，保证保护生态与工程运行相协调。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⑤协调配合上级生态环境主管部门所进行的环境调查，生态调查等活动。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环保设施的环境管理：选用先进的环保设备、先进技术和高效的环保设施，加强对其维护、检修，保养，严格环保设备的使用、操作规程，环保设施应经竣工验收合格达标后方能投入运转。建立环保设施运行台账，对在用的环保和生产主体设备要求做到同时维护、同时检修、同时运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⑦废弃物管理：项目废弃物处置时，尽可能采用减量化、资源化利用措施。委托处置的应与处置单位签订委托处理合同，报生态环境主管部门备案。废弃物在外运处置前，须在站内安全暂存，确保固废不产生二次污染。废物产生、销售和外运的全过程，公司需制定管理跟踪制度，务必做到安全、可控，各环节应建立台账并进行记录。</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⑧派专人负责观察鸟类的碰撞丧生情况，特别是在每年的鸟类迁徙高峰期。</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bCs/>
                <w:color w:val="000000" w:themeColor="text1"/>
                <w14:textFill>
                  <w14:solidFill>
                    <w14:schemeClr w14:val="tx1"/>
                  </w14:solidFill>
                </w14:textFill>
              </w:rPr>
              <w:t xml:space="preserve">5.12-2  </w:t>
            </w:r>
            <w:r>
              <w:rPr>
                <w:rFonts w:hint="eastAsia"/>
                <w:color w:val="000000" w:themeColor="text1"/>
                <w14:textFill>
                  <w14:solidFill>
                    <w14:schemeClr w14:val="tx1"/>
                  </w14:solidFill>
                </w14:textFill>
              </w:rPr>
              <w:t>运营期项目环境管理要求</w:t>
            </w:r>
          </w:p>
          <w:tbl>
            <w:tblPr>
              <w:tblStyle w:val="21"/>
              <w:tblW w:w="81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4"/>
              <w:gridCol w:w="7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阶段</w:t>
                  </w:r>
                </w:p>
              </w:tc>
              <w:tc>
                <w:tcPr>
                  <w:tcW w:w="7438"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监理工作中应关注的内容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试运营</w:t>
                  </w:r>
                </w:p>
              </w:tc>
              <w:tc>
                <w:tcPr>
                  <w:tcW w:w="743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工程竣工后，要监督管理环境恢复监测和环境恢复计划的落实情况及环保处理设施运行情况。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（1）监督检查施工场地清理及恢复情况。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（2）监督检查工程生态恢复落实情况。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（3）监督检查工程的截排水沟、沉淀池等环保、水保措施的落实、完善情况。</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（4）开展鸟类跟踪观测，观察并记录鸟类伤亡数量，做好鸟迁徙期的巡护工作，并将调查报告报当地生态环境局和野生动物主管部门备案。</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（5）监督检查施工单位是否有遗留环境问题，并要求其进行整改。</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（6）整理完成环境监理资料，编制环境监理总结报告。</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（7）协助建设单位做好竣工环保验收工作。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应急计划</w:t>
                  </w:r>
                </w:p>
              </w:tc>
              <w:tc>
                <w:tcPr>
                  <w:tcW w:w="7438"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（1）制</w:t>
                  </w:r>
                  <w:r>
                    <w:rPr>
                      <w:rFonts w:hint="eastAsia"/>
                      <w:color w:val="000000" w:themeColor="text1"/>
                      <w:lang w:val="en-US" w:eastAsia="zh-CN"/>
                      <w14:textFill>
                        <w14:solidFill>
                          <w14:schemeClr w14:val="tx1"/>
                        </w14:solidFill>
                      </w14:textFill>
                    </w:rPr>
                    <w:t>定</w:t>
                  </w:r>
                  <w:r>
                    <w:rPr>
                      <w:rFonts w:hint="eastAsia"/>
                      <w:color w:val="000000" w:themeColor="text1"/>
                      <w14:textFill>
                        <w14:solidFill>
                          <w14:schemeClr w14:val="tx1"/>
                        </w14:solidFill>
                      </w14:textFill>
                    </w:rPr>
                    <w:t>应急预案：做好突发性自然灾害的预防工作。密切与地震、水文和气象部门之间的信息沟通，及时制定完善的对策；制定风电场区的风险事故预案，建立事故风险应急系统。方案应经有关部门协商和认同，一旦发生事故时，可以有效协调实施。应急预案应包括控制事故蔓延、减少影响范围的具体行动计划：包括救护措施，保护站场内人员和财产、设备及周围环境安全所必须采取的措施和办法。制定火灾事故应急预案。</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（2）对事故隐患进行监护：对事故隐患进行监护，掌握事故隐患的发展状态，积极采取有效措施，从管理和技术上加强各制度的落实，严格执行操作规程，加强巡回检查和制定事故预案，防止事故发生。</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强化员工培训：有计划地对员工进行培训，吸收国内外事故中的预防措施和救援方案的经验，学习借鉴此类事故发生后的救助方案。日常要经常进行人员训练和实践演习，锻炼指挥队伍，以提高他们对事故的防范和处理能力。</w:t>
                  </w:r>
                </w:p>
              </w:tc>
            </w:tr>
          </w:tbl>
          <w:p>
            <w:pPr>
              <w:pStyle w:val="34"/>
              <w:spacing w:before="163" w:after="163"/>
              <w:rPr>
                <w:color w:val="000000" w:themeColor="text1"/>
                <w14:textFill>
                  <w14:solidFill>
                    <w14:schemeClr w14:val="tx1"/>
                  </w14:solidFill>
                </w14:textFill>
              </w:rPr>
            </w:pPr>
            <w:r>
              <w:rPr>
                <w:color w:val="000000" w:themeColor="text1"/>
                <w14:textFill>
                  <w14:solidFill>
                    <w14:schemeClr w14:val="tx1"/>
                  </w14:solidFill>
                </w14:textFill>
              </w:rPr>
              <w:t xml:space="preserve">5.13 </w:t>
            </w:r>
            <w:r>
              <w:rPr>
                <w:rFonts w:hint="eastAsia"/>
                <w:color w:val="000000" w:themeColor="text1"/>
                <w14:textFill>
                  <w14:solidFill>
                    <w14:schemeClr w14:val="tx1"/>
                  </w14:solidFill>
                </w14:textFill>
              </w:rPr>
              <w:t>施工期环境监理计划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环境监理机构由工程建设单位在具有相应资质的单位中招标确定，因此本工程的环保监理人员建议由业主在招标设计文件中明确确定由人专职或兼职负责场区的环境保护监理工作。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监理工程师应遵循国家和当地关于环境保护的方针、政策、法令、法规，监督承包商落实与建设单位签</w:t>
            </w:r>
            <w:r>
              <w:rPr>
                <w:rFonts w:hint="eastAsia"/>
                <w:color w:val="000000" w:themeColor="text1"/>
                <w:lang w:val="en-US" w:eastAsia="zh-CN"/>
                <w14:textFill>
                  <w14:solidFill>
                    <w14:schemeClr w14:val="tx1"/>
                  </w14:solidFill>
                </w14:textFill>
              </w:rPr>
              <w:t>订</w:t>
            </w:r>
            <w:r>
              <w:rPr>
                <w:rFonts w:hint="eastAsia"/>
                <w:color w:val="000000" w:themeColor="text1"/>
                <w14:textFill>
                  <w14:solidFill>
                    <w14:schemeClr w14:val="tx1"/>
                  </w14:solidFill>
                </w14:textFill>
              </w:rPr>
              <w:t>的工程承包合同中有关的环保条款。主要职责为：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（1）编制环境监理计划，拟定环境监理项目和内容；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（2）对承包商进行监理，防止和减轻施工作业引起的环境污染；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（3）全面监督和检查各施工单位环境保护措施实施情况和实际效果，及时处理和解决临时出现的环境事件；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（4）全面检查施工单位负责的渣场、施工迹地的处理、恢复情况等；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（5）加大对临近水源保护区及自然保护区的风机及道路的监理，避免出现环境污染问题；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）负责落实环境监测的实施，审核有关环境报表，根据监测结果，对工程施工与管理提出相应要求，尽量减少工程施工给环境带来的不利影响；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）在日常工作中做好监理记录及监理报告，参与竣工验收。</w:t>
            </w:r>
          </w:p>
          <w:p>
            <w:pPr>
              <w:pStyle w:val="34"/>
              <w:spacing w:before="163" w:after="163"/>
              <w:rPr>
                <w:color w:val="000000" w:themeColor="text1"/>
                <w14:textFill>
                  <w14:solidFill>
                    <w14:schemeClr w14:val="tx1"/>
                  </w14:solidFill>
                </w14:textFill>
              </w:rPr>
            </w:pPr>
            <w:r>
              <w:rPr>
                <w:color w:val="000000" w:themeColor="text1"/>
                <w14:textFill>
                  <w14:solidFill>
                    <w14:schemeClr w14:val="tx1"/>
                  </w14:solidFill>
                </w14:textFill>
              </w:rPr>
              <w:t xml:space="preserve">5.14 </w:t>
            </w:r>
            <w:r>
              <w:rPr>
                <w:rFonts w:hint="eastAsia"/>
                <w:color w:val="000000" w:themeColor="text1"/>
                <w14:textFill>
                  <w14:solidFill>
                    <w14:schemeClr w14:val="tx1"/>
                  </w14:solidFill>
                </w14:textFill>
              </w:rPr>
              <w:t>环境监测计划</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监测作为环境保护管理的基本手段和信息基础，在风电场施工期和运行期间，可通过监测各种污染源和环境因素，应用监测得到的反馈信息，反映施工期和运行期实际产生的环境影响，及时发现问题，及时修正环境保护设计中措施的不足。</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.14.1 </w:t>
            </w:r>
            <w:r>
              <w:rPr>
                <w:rFonts w:hint="eastAsia"/>
                <w:color w:val="000000" w:themeColor="text1"/>
                <w14:textFill>
                  <w14:solidFill>
                    <w14:schemeClr w14:val="tx1"/>
                  </w14:solidFill>
                </w14:textFill>
              </w:rPr>
              <w:t>声环境监测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（1）监测目的：项目运营期对周边声环境保护目标影响情况。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（2）监测项目：等效连续A声级。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（3）监测点位：运营期监测大水沟、车鲁箐、李子坪、钟家箐等居民点处。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监测时段与频次：运行期头两年每年选择发电效率较高的季节对大水沟、车鲁箐、李子坪、钟家箐居民点进行1次监测，连续监测2天，每天昼夜各1次。试运营期选择典型风机进行衰减监测，噪声监测时严格按环境噪声监测的环境条件监测和记录，还应记录监测期间风速、风向等因子。</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.14.2 </w:t>
            </w:r>
            <w:r>
              <w:rPr>
                <w:rFonts w:hint="eastAsia"/>
                <w:color w:val="000000" w:themeColor="text1"/>
                <w14:textFill>
                  <w14:solidFill>
                    <w14:schemeClr w14:val="tx1"/>
                  </w14:solidFill>
                </w14:textFill>
              </w:rPr>
              <w:t>电磁环境监测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监测项目：工频电场强度、工频磁场强度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监测频率：验收监测1次。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kV升压站分别设置4个监测点位，分别是升压站场界东、南、西、北。</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.14.3 </w:t>
            </w:r>
            <w:r>
              <w:rPr>
                <w:rFonts w:hint="eastAsia"/>
                <w:color w:val="000000" w:themeColor="text1"/>
                <w14:textFill>
                  <w14:solidFill>
                    <w14:schemeClr w14:val="tx1"/>
                  </w14:solidFill>
                </w14:textFill>
              </w:rPr>
              <w:t>植被恢复监测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在进场道路、风景平台等对亚高山草甸等受影响的区域开展监测，设置</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个样方对草甸的恢复情况进行监测，监测时间2年，根据样方物种变化、生物量变化情况判断植被恢复情况。</w:t>
            </w:r>
          </w:p>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.14.4 </w:t>
            </w:r>
            <w:r>
              <w:rPr>
                <w:rFonts w:hint="eastAsia"/>
                <w:color w:val="000000" w:themeColor="text1"/>
                <w14:textFill>
                  <w14:solidFill>
                    <w14:schemeClr w14:val="tx1"/>
                  </w14:solidFill>
                </w14:textFill>
              </w:rPr>
              <w:t>鸟类观测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（1）观测目的：调查场址区鸟类的居留情况，生态特点，以利于及时做出有关决策并适时调整鸟类保护措施。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（2）观测时间：风电场建设期间和风电场建成后</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年。风电场建设期间及建成第一年，在秋季鸟类迁徙期（8月中旬～10月下旬）和春季鸟类迁徙期（3月～5月）每周观测1次，非鸟类迁徙季节每半月1次。风电场建成后两年的频次结合场区管理巡视，可适当减少。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观测内容：建议在风电场建设期间及建成2年内安排专门的工作人员对场区内的鸟类进行跟踪观测，主要观测鸟类撞击死亡率，以及验证迁徙通道的有无，同时观测区域保护鸟类的空间分布及时间节律。如在场内发现受伤的鸟类，送交当地林业站统一管理或放生，并研究发生鸟撞的原因，记录发生撞击的鸟类种类，进行存档，并采取相应的保护措施；发现迁徙鸟类撞击风机频繁（超过3次/年），立即对涉事风机停机，进一步深化观测，根据观测结果重新评估项目建设对迁徙类候鸟影响程度，并采取相应措施，如分时停机或分季节停机，必要时拆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（4）观测地点：整个风电场场区。建议主要为风机密集区，风机布置区内的垭口位置及其附近区域。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（5）资料整理与分析：对每年鸟类观测情况进行整理，形成年度汇总报告，每年年末进行一次资料归档，制定后续鸟类观测制度，分析记录资料的年际变化情况，以便对下一年度鸟类观测作出计划。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w:t>
            </w:r>
          </w:p>
        </w:tc>
        <w:tc>
          <w:tcPr>
            <w:tcW w:w="8413" w:type="dxa"/>
          </w:tcPr>
          <w:p>
            <w:pPr>
              <w:pStyle w:val="35"/>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环保投资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项目环保设施投资主要用于废气治理、废水治理、噪声防治、固废治理、生态恢复等，项目总投资</w:t>
            </w:r>
            <w:r>
              <w:rPr>
                <w:color w:val="000000" w:themeColor="text1"/>
                <w14:textFill>
                  <w14:solidFill>
                    <w14:schemeClr w14:val="tx1"/>
                  </w14:solidFill>
                </w14:textFill>
              </w:rPr>
              <w:t>88061.18</w:t>
            </w:r>
            <w:r>
              <w:rPr>
                <w:rFonts w:hint="eastAsia"/>
                <w:color w:val="000000" w:themeColor="text1"/>
                <w14:textFill>
                  <w14:solidFill>
                    <w14:schemeClr w14:val="tx1"/>
                  </w14:solidFill>
                </w14:textFill>
              </w:rPr>
              <w:t>万元，环保投资</w:t>
            </w:r>
            <w:r>
              <w:rPr>
                <w:rFonts w:eastAsia="等线" w:cs="Times New Roman"/>
                <w:color w:val="000000" w:themeColor="text1"/>
                <w:szCs w:val="21"/>
                <w14:textFill>
                  <w14:solidFill>
                    <w14:schemeClr w14:val="tx1"/>
                  </w14:solidFill>
                </w14:textFill>
              </w:rPr>
              <w:t>1763.99</w:t>
            </w:r>
            <w:r>
              <w:rPr>
                <w:rFonts w:hint="eastAsia"/>
                <w:color w:val="000000" w:themeColor="text1"/>
                <w14:textFill>
                  <w14:solidFill>
                    <w14:schemeClr w14:val="tx1"/>
                  </w14:solidFill>
                </w14:textFill>
              </w:rPr>
              <w:t>万元（其中含水土保持措施费用</w:t>
            </w:r>
            <w:r>
              <w:rPr>
                <w:color w:val="000000" w:themeColor="text1"/>
                <w14:textFill>
                  <w14:solidFill>
                    <w14:schemeClr w14:val="tx1"/>
                  </w14:solidFill>
                </w14:textFill>
              </w:rPr>
              <w:t>1505.99</w:t>
            </w:r>
            <w:r>
              <w:rPr>
                <w:rFonts w:hint="eastAsia"/>
                <w:color w:val="000000" w:themeColor="text1"/>
                <w14:textFill>
                  <w14:solidFill>
                    <w14:schemeClr w14:val="tx1"/>
                  </w14:solidFill>
                </w14:textFill>
              </w:rPr>
              <w:t>万元），占总投资的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%。环保投资估算表见表5</w:t>
            </w:r>
            <w:r>
              <w:rPr>
                <w:color w:val="000000" w:themeColor="text1"/>
                <w14:textFill>
                  <w14:solidFill>
                    <w14:schemeClr w14:val="tx1"/>
                  </w14:solidFill>
                </w14:textFill>
              </w:rPr>
              <w:t>.15-1</w:t>
            </w:r>
            <w:r>
              <w:rPr>
                <w:rFonts w:hint="eastAsia"/>
                <w:color w:val="000000" w:themeColor="text1"/>
                <w14:textFill>
                  <w14:solidFill>
                    <w14:schemeClr w14:val="tx1"/>
                  </w14:solidFill>
                </w14:textFill>
              </w:rPr>
              <w:t>。</w:t>
            </w:r>
          </w:p>
          <w:p>
            <w:pPr>
              <w:pStyle w:val="28"/>
              <w:spacing w:before="163"/>
              <w:rPr>
                <w:color w:val="000000" w:themeColor="text1"/>
                <w14:textFill>
                  <w14:solidFill>
                    <w14:schemeClr w14:val="tx1"/>
                  </w14:solidFill>
                </w14:textFill>
              </w:rPr>
            </w:pPr>
            <w:r>
              <w:rPr>
                <w:rFonts w:hint="eastAsia"/>
                <w:color w:val="000000" w:themeColor="text1"/>
                <w14:textFill>
                  <w14:solidFill>
                    <w14:schemeClr w14:val="tx1"/>
                  </w14:solidFill>
                </w14:textFill>
              </w:rPr>
              <w:t>施投资估算表</w:t>
            </w:r>
          </w:p>
          <w:tbl>
            <w:tblPr>
              <w:tblStyle w:val="20"/>
              <w:tblW w:w="81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2488"/>
              <w:gridCol w:w="748"/>
              <w:gridCol w:w="748"/>
              <w:gridCol w:w="1047"/>
              <w:gridCol w:w="1196"/>
              <w:gridCol w:w="12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投资项目</w:t>
                  </w:r>
                </w:p>
              </w:tc>
              <w:tc>
                <w:tcPr>
                  <w:tcW w:w="74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748"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c>
                <w:tcPr>
                  <w:tcW w:w="1047" w:type="dxa"/>
                  <w:vMerge w:val="restart"/>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单价（元）</w:t>
                  </w:r>
                </w:p>
              </w:tc>
              <w:tc>
                <w:tcPr>
                  <w:tcW w:w="11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投资</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vMerge w:val="continue"/>
                  <w:vAlign w:val="center"/>
                </w:tcPr>
                <w:p>
                  <w:pPr>
                    <w:pStyle w:val="29"/>
                    <w:rPr>
                      <w:color w:val="000000" w:themeColor="text1"/>
                      <w14:textFill>
                        <w14:solidFill>
                          <w14:schemeClr w14:val="tx1"/>
                        </w14:solidFill>
                      </w14:textFill>
                    </w:rPr>
                  </w:pP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（工程措施）</w:t>
                  </w:r>
                </w:p>
              </w:tc>
              <w:tc>
                <w:tcPr>
                  <w:tcW w:w="748" w:type="dxa"/>
                  <w:vMerge w:val="continue"/>
                  <w:vAlign w:val="center"/>
                </w:tcPr>
                <w:p>
                  <w:pPr>
                    <w:pStyle w:val="29"/>
                    <w:rPr>
                      <w:color w:val="000000" w:themeColor="text1"/>
                      <w14:textFill>
                        <w14:solidFill>
                          <w14:schemeClr w14:val="tx1"/>
                        </w14:solidFill>
                      </w14:textFill>
                    </w:rPr>
                  </w:pPr>
                </w:p>
              </w:tc>
              <w:tc>
                <w:tcPr>
                  <w:tcW w:w="748" w:type="dxa"/>
                  <w:vMerge w:val="continue"/>
                  <w:vAlign w:val="center"/>
                </w:tcPr>
                <w:p>
                  <w:pPr>
                    <w:pStyle w:val="29"/>
                    <w:rPr>
                      <w:color w:val="000000" w:themeColor="text1"/>
                      <w14:textFill>
                        <w14:solidFill>
                          <w14:schemeClr w14:val="tx1"/>
                        </w14:solidFill>
                      </w14:textFill>
                    </w:rPr>
                  </w:pPr>
                </w:p>
              </w:tc>
              <w:tc>
                <w:tcPr>
                  <w:tcW w:w="1047" w:type="dxa"/>
                  <w:vMerge w:val="continue"/>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生态环境保护</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1534.99</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鸟类保护费</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29</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鸟类保护宣传费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专家咨询和培训费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护鸟警示牌</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材料费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1.3.2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人工费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伤鸟护理费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水土保持及植被</w:t>
                  </w:r>
                  <w:r>
                    <w:rPr>
                      <w:color w:val="000000" w:themeColor="text1"/>
                      <w14:textFill>
                        <w14:solidFill>
                          <w14:schemeClr w14:val="tx1"/>
                        </w14:solidFill>
                      </w14:textFill>
                    </w:rPr>
                    <w:t>恢复费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1505.99</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主体已有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环境污染治理</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129</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水污染治理</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移动式旱厕</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047"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0000</w:t>
                  </w:r>
                </w:p>
              </w:tc>
              <w:tc>
                <w:tcPr>
                  <w:tcW w:w="1196"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升压站事故油池</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大气污染治理</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临时围挡、遮盖物等</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洒水车运行费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月</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36</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噪声防治</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施工人员噪声防护费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限速禁鸣标志牌</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主体已有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设置临时垃圾收集桶</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垃圾清运费</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4.3</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升压站危废间</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间</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.4</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箱变事故油收集池</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主体已有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环境监理、监测费</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269"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鸟类观测</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环境监测</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施工期环境监测</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运行期环境监测</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环境监理</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3.1</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环境监理方案编制</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3.2</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环境监理费用</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71"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48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环境保护竣工验收</w:t>
                  </w:r>
                </w:p>
              </w:tc>
              <w:tc>
                <w:tcPr>
                  <w:tcW w:w="748" w:type="dxa"/>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项</w:t>
                  </w:r>
                </w:p>
              </w:tc>
              <w:tc>
                <w:tcPr>
                  <w:tcW w:w="748"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7"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200000</w:t>
                  </w:r>
                </w:p>
              </w:tc>
              <w:tc>
                <w:tcPr>
                  <w:tcW w:w="1196" w:type="dxa"/>
                  <w:shd w:val="clear" w:color="auto" w:fill="auto"/>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69" w:type="dxa"/>
                  <w:vAlign w:val="center"/>
                </w:tcPr>
                <w:p>
                  <w:pPr>
                    <w:pStyle w:val="29"/>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3159" w:type="dxa"/>
                  <w:gridSpan w:val="2"/>
                  <w:shd w:val="clear" w:color="auto" w:fill="auto"/>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48" w:type="dxa"/>
                  <w:shd w:val="clear" w:color="auto" w:fill="auto"/>
                  <w:vAlign w:val="center"/>
                </w:tcPr>
                <w:p>
                  <w:pPr>
                    <w:pStyle w:val="29"/>
                    <w:rPr>
                      <w:color w:val="000000" w:themeColor="text1"/>
                      <w14:textFill>
                        <w14:solidFill>
                          <w14:schemeClr w14:val="tx1"/>
                        </w14:solidFill>
                      </w14:textFill>
                    </w:rPr>
                  </w:pPr>
                </w:p>
              </w:tc>
              <w:tc>
                <w:tcPr>
                  <w:tcW w:w="748" w:type="dxa"/>
                  <w:shd w:val="clear" w:color="auto" w:fill="auto"/>
                  <w:vAlign w:val="center"/>
                </w:tcPr>
                <w:p>
                  <w:pPr>
                    <w:pStyle w:val="29"/>
                    <w:rPr>
                      <w:color w:val="000000" w:themeColor="text1"/>
                      <w14:textFill>
                        <w14:solidFill>
                          <w14:schemeClr w14:val="tx1"/>
                        </w14:solidFill>
                      </w14:textFill>
                    </w:rPr>
                  </w:pPr>
                </w:p>
              </w:tc>
              <w:tc>
                <w:tcPr>
                  <w:tcW w:w="1047" w:type="dxa"/>
                  <w:shd w:val="clear" w:color="auto" w:fill="auto"/>
                  <w:vAlign w:val="center"/>
                </w:tcPr>
                <w:p>
                  <w:pPr>
                    <w:pStyle w:val="29"/>
                    <w:rPr>
                      <w:color w:val="000000" w:themeColor="text1"/>
                      <w14:textFill>
                        <w14:solidFill>
                          <w14:schemeClr w14:val="tx1"/>
                        </w14:solidFill>
                      </w14:textFill>
                    </w:rPr>
                  </w:pPr>
                </w:p>
              </w:tc>
              <w:tc>
                <w:tcPr>
                  <w:tcW w:w="1196" w:type="dxa"/>
                  <w:shd w:val="clear" w:color="auto" w:fill="auto"/>
                  <w:vAlign w:val="center"/>
                </w:tcPr>
                <w:p>
                  <w:pPr>
                    <w:pStyle w:val="29"/>
                    <w:rPr>
                      <w:color w:val="000000" w:themeColor="text1"/>
                      <w14:textFill>
                        <w14:solidFill>
                          <w14:schemeClr w14:val="tx1"/>
                        </w14:solidFill>
                      </w14:textFill>
                    </w:rPr>
                  </w:pPr>
                  <w:r>
                    <w:rPr>
                      <w:rFonts w:eastAsia="等线" w:cs="Times New Roman"/>
                      <w:color w:val="000000" w:themeColor="text1"/>
                      <w:szCs w:val="21"/>
                      <w14:textFill>
                        <w14:solidFill>
                          <w14:schemeClr w14:val="tx1"/>
                        </w14:solidFill>
                      </w14:textFill>
                    </w:rPr>
                    <w:t>1763.99</w:t>
                  </w:r>
                </w:p>
              </w:tc>
              <w:tc>
                <w:tcPr>
                  <w:tcW w:w="1269" w:type="dxa"/>
                  <w:vAlign w:val="center"/>
                </w:tcPr>
                <w:p>
                  <w:pPr>
                    <w:pStyle w:val="29"/>
                    <w:rPr>
                      <w:color w:val="000000" w:themeColor="text1"/>
                      <w14:textFill>
                        <w14:solidFill>
                          <w14:schemeClr w14:val="tx1"/>
                        </w14:solidFill>
                      </w14:textFill>
                    </w:rPr>
                  </w:pPr>
                </w:p>
              </w:tc>
            </w:tr>
          </w:tbl>
          <w:p>
            <w:pPr>
              <w:pStyle w:val="29"/>
              <w:rPr>
                <w:color w:val="000000" w:themeColor="text1"/>
                <w14:textFill>
                  <w14:solidFill>
                    <w14:schemeClr w14:val="tx1"/>
                  </w14:solidFill>
                </w14:textFill>
              </w:rPr>
            </w:pPr>
          </w:p>
        </w:tc>
      </w:tr>
    </w:tbl>
    <w:p>
      <w:pPr>
        <w:ind w:firstLine="0" w:firstLineChars="0"/>
        <w:jc w:val="center"/>
        <w:rPr>
          <w:color w:val="000000" w:themeColor="text1"/>
          <w14:textFill>
            <w14:solidFill>
              <w14:schemeClr w14:val="tx1"/>
            </w14:solidFill>
          </w14:textFill>
        </w:rPr>
        <w:sectPr>
          <w:pgSz w:w="11906" w:h="16838"/>
          <w:pgMar w:top="1440" w:right="1531" w:bottom="1440" w:left="1531" w:header="851" w:footer="1077" w:gutter="0"/>
          <w:cols w:space="425" w:num="1"/>
          <w:docGrid w:type="lines" w:linePitch="326" w:charSpace="0"/>
        </w:sectPr>
      </w:pPr>
    </w:p>
    <w:p>
      <w:pPr>
        <w:ind w:firstLine="0" w:firstLineChars="0"/>
        <w:jc w:val="center"/>
        <w:outlineLvl w:val="0"/>
        <w:rPr>
          <w:color w:val="000000" w:themeColor="text1"/>
          <w14:textFill>
            <w14:solidFill>
              <w14:schemeClr w14:val="tx1"/>
            </w14:solidFill>
          </w14:textFill>
        </w:rPr>
      </w:pPr>
      <w:bookmarkStart w:id="65" w:name="_Toc88744732"/>
      <w:bookmarkStart w:id="66" w:name="_Toc88751204"/>
      <w:bookmarkStart w:id="67" w:name="_Toc157554964"/>
      <w:r>
        <w:rPr>
          <w:rFonts w:hint="eastAsia" w:ascii="黑体" w:hAnsi="黑体" w:eastAsia="黑体"/>
          <w:color w:val="000000" w:themeColor="text1"/>
          <w:sz w:val="30"/>
          <w:szCs w:val="30"/>
          <w14:textFill>
            <w14:solidFill>
              <w14:schemeClr w14:val="tx1"/>
            </w14:solidFill>
          </w14:textFill>
        </w:rPr>
        <w:t>六、</w:t>
      </w:r>
      <w:bookmarkStart w:id="68" w:name="_Hlk137656694"/>
      <w:r>
        <w:rPr>
          <w:rFonts w:hint="eastAsia" w:ascii="黑体" w:hAnsi="黑体" w:eastAsia="黑体"/>
          <w:color w:val="000000" w:themeColor="text1"/>
          <w:sz w:val="30"/>
          <w:szCs w:val="30"/>
          <w14:textFill>
            <w14:solidFill>
              <w14:schemeClr w14:val="tx1"/>
            </w14:solidFill>
          </w14:textFill>
        </w:rPr>
        <w:t>生态环境保护措施监督检查清单</w:t>
      </w:r>
      <w:bookmarkEnd w:id="65"/>
      <w:bookmarkEnd w:id="66"/>
      <w:bookmarkEnd w:id="67"/>
      <w:bookmarkEnd w:id="68"/>
    </w:p>
    <w:tbl>
      <w:tblPr>
        <w:tblStyle w:val="20"/>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452"/>
        <w:gridCol w:w="1165"/>
        <w:gridCol w:w="2182"/>
        <w:gridCol w:w="1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1467" w:type="dxa"/>
            <w:vMerge w:val="restart"/>
            <w:tcBorders>
              <w:tl2br w:val="single" w:color="auto" w:sz="4" w:space="0"/>
            </w:tcBorders>
          </w:tcPr>
          <w:p>
            <w:pPr>
              <w:pStyle w:val="29"/>
              <w:jc w:val="right"/>
              <w:rPr>
                <w:b/>
                <w:bCs/>
                <w:color w:val="000000" w:themeColor="text1"/>
                <w14:textFill>
                  <w14:solidFill>
                    <w14:schemeClr w14:val="tx1"/>
                  </w14:solidFill>
                </w14:textFill>
              </w:rPr>
            </w:pPr>
            <w:bookmarkStart w:id="69" w:name="_Hlk137656668"/>
            <w:r>
              <w:rPr>
                <w:b/>
                <w:bCs/>
                <w:color w:val="000000" w:themeColor="text1"/>
                <w14:textFill>
                  <w14:solidFill>
                    <w14:schemeClr w14:val="tx1"/>
                  </w14:solidFill>
                </w14:textFill>
              </w:rPr>
              <w:t>内容</w:t>
            </w:r>
          </w:p>
          <w:p>
            <w:pPr>
              <w:pStyle w:val="29"/>
              <w:jc w:val="both"/>
              <w:rPr>
                <w:b/>
                <w:bCs/>
                <w:color w:val="000000" w:themeColor="text1"/>
                <w14:textFill>
                  <w14:solidFill>
                    <w14:schemeClr w14:val="tx1"/>
                  </w14:solidFill>
                </w14:textFill>
              </w:rPr>
            </w:pPr>
            <w:r>
              <w:rPr>
                <w:b/>
                <w:bCs/>
                <w:color w:val="000000" w:themeColor="text1"/>
                <w14:textFill>
                  <w14:solidFill>
                    <w14:schemeClr w14:val="tx1"/>
                  </w14:solidFill>
                </w14:textFill>
              </w:rPr>
              <w:t>要素</w:t>
            </w:r>
          </w:p>
        </w:tc>
        <w:tc>
          <w:tcPr>
            <w:tcW w:w="3617" w:type="dxa"/>
            <w:gridSpan w:val="2"/>
            <w:vAlign w:val="center"/>
          </w:tcPr>
          <w:p>
            <w:pPr>
              <w:pStyle w:val="29"/>
              <w:rPr>
                <w:b/>
                <w:bCs/>
                <w:color w:val="000000" w:themeColor="text1"/>
                <w14:textFill>
                  <w14:solidFill>
                    <w14:schemeClr w14:val="tx1"/>
                  </w14:solidFill>
                </w14:textFill>
              </w:rPr>
            </w:pPr>
            <w:r>
              <w:rPr>
                <w:b/>
                <w:bCs/>
                <w:color w:val="000000" w:themeColor="text1"/>
                <w14:textFill>
                  <w14:solidFill>
                    <w14:schemeClr w14:val="tx1"/>
                  </w14:solidFill>
                </w14:textFill>
              </w:rPr>
              <w:t>施工期</w:t>
            </w:r>
          </w:p>
        </w:tc>
        <w:tc>
          <w:tcPr>
            <w:tcW w:w="3976" w:type="dxa"/>
            <w:gridSpan w:val="2"/>
            <w:vAlign w:val="center"/>
          </w:tcPr>
          <w:p>
            <w:pPr>
              <w:pStyle w:val="29"/>
              <w:rPr>
                <w:b/>
                <w:bCs/>
                <w:color w:val="000000" w:themeColor="text1"/>
                <w14:textFill>
                  <w14:solidFill>
                    <w14:schemeClr w14:val="tx1"/>
                  </w14:solidFill>
                </w14:textFill>
              </w:rPr>
            </w:pPr>
            <w:r>
              <w:rPr>
                <w:b/>
                <w:bCs/>
                <w:color w:val="000000" w:themeColor="text1"/>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467" w:type="dxa"/>
            <w:vMerge w:val="continue"/>
          </w:tcPr>
          <w:p>
            <w:pPr>
              <w:pStyle w:val="29"/>
              <w:rPr>
                <w:b/>
                <w:bCs/>
                <w:color w:val="000000" w:themeColor="text1"/>
                <w14:textFill>
                  <w14:solidFill>
                    <w14:schemeClr w14:val="tx1"/>
                  </w14:solidFill>
                </w14:textFill>
              </w:rPr>
            </w:pPr>
          </w:p>
        </w:tc>
        <w:tc>
          <w:tcPr>
            <w:tcW w:w="2452" w:type="dxa"/>
            <w:vAlign w:val="center"/>
          </w:tcPr>
          <w:p>
            <w:pPr>
              <w:pStyle w:val="29"/>
              <w:rPr>
                <w:b/>
                <w:bCs/>
                <w:color w:val="000000" w:themeColor="text1"/>
                <w14:textFill>
                  <w14:solidFill>
                    <w14:schemeClr w14:val="tx1"/>
                  </w14:solidFill>
                </w14:textFill>
              </w:rPr>
            </w:pPr>
            <w:r>
              <w:rPr>
                <w:b/>
                <w:bCs/>
                <w:color w:val="000000" w:themeColor="text1"/>
                <w14:textFill>
                  <w14:solidFill>
                    <w14:schemeClr w14:val="tx1"/>
                  </w14:solidFill>
                </w14:textFill>
              </w:rPr>
              <w:t>环境保护措施</w:t>
            </w:r>
          </w:p>
        </w:tc>
        <w:tc>
          <w:tcPr>
            <w:tcW w:w="1165" w:type="dxa"/>
            <w:vAlign w:val="center"/>
          </w:tcPr>
          <w:p>
            <w:pPr>
              <w:pStyle w:val="29"/>
              <w:rPr>
                <w:b/>
                <w:bCs/>
                <w:color w:val="000000" w:themeColor="text1"/>
                <w14:textFill>
                  <w14:solidFill>
                    <w14:schemeClr w14:val="tx1"/>
                  </w14:solidFill>
                </w14:textFill>
              </w:rPr>
            </w:pPr>
            <w:r>
              <w:rPr>
                <w:b/>
                <w:bCs/>
                <w:color w:val="000000" w:themeColor="text1"/>
                <w14:textFill>
                  <w14:solidFill>
                    <w14:schemeClr w14:val="tx1"/>
                  </w14:solidFill>
                </w14:textFill>
              </w:rPr>
              <w:t>验收要求</w:t>
            </w:r>
          </w:p>
        </w:tc>
        <w:tc>
          <w:tcPr>
            <w:tcW w:w="2182" w:type="dxa"/>
            <w:vAlign w:val="center"/>
          </w:tcPr>
          <w:p>
            <w:pPr>
              <w:pStyle w:val="29"/>
              <w:rPr>
                <w:b/>
                <w:bCs/>
                <w:color w:val="000000" w:themeColor="text1"/>
                <w14:textFill>
                  <w14:solidFill>
                    <w14:schemeClr w14:val="tx1"/>
                  </w14:solidFill>
                </w14:textFill>
              </w:rPr>
            </w:pPr>
            <w:r>
              <w:rPr>
                <w:b/>
                <w:bCs/>
                <w:color w:val="000000" w:themeColor="text1"/>
                <w14:textFill>
                  <w14:solidFill>
                    <w14:schemeClr w14:val="tx1"/>
                  </w14:solidFill>
                </w14:textFill>
              </w:rPr>
              <w:t>环境保护措施</w:t>
            </w:r>
          </w:p>
        </w:tc>
        <w:tc>
          <w:tcPr>
            <w:tcW w:w="1794" w:type="dxa"/>
            <w:vAlign w:val="center"/>
          </w:tcPr>
          <w:p>
            <w:pPr>
              <w:pStyle w:val="29"/>
              <w:rPr>
                <w:b/>
                <w:bCs/>
                <w:color w:val="000000" w:themeColor="text1"/>
                <w14:textFill>
                  <w14:solidFill>
                    <w14:schemeClr w14:val="tx1"/>
                  </w14:solidFill>
                </w14:textFill>
              </w:rPr>
            </w:pPr>
            <w:r>
              <w:rPr>
                <w:b/>
                <w:bCs/>
                <w:color w:val="000000" w:themeColor="text1"/>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陆生生态</w:t>
            </w:r>
          </w:p>
        </w:tc>
        <w:tc>
          <w:tcPr>
            <w:tcW w:w="245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优化施工布局，减少植被破坏；加强施工人员环保宣传教育及现场巡视，运营期加强永久占地区绿化；临时占地植被恢复。</w:t>
            </w:r>
          </w:p>
        </w:tc>
        <w:tc>
          <w:tcPr>
            <w:tcW w:w="11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编制植被恢复方案；对表土堆场、弃渣场、风机吊装平台等临时占地及时恢复植被。</w:t>
            </w:r>
          </w:p>
        </w:tc>
        <w:tc>
          <w:tcPr>
            <w:tcW w:w="218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①植被恢复；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②在恶劣的气象条件下，或是鸟类迁徙期，必要时应停止部分风机的运行；</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③对风机叶片涂上警示色，提高风机辨识度。</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④委托专业鸟类观测机构进行鸟类观测。</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⑤开展亚高山草甸监测。</w:t>
            </w:r>
          </w:p>
        </w:tc>
        <w:tc>
          <w:tcPr>
            <w:tcW w:w="179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①提供鸟类观测报告；</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②提供草甸监测报告；</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③叶片警示色；</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④达到竣工环境保护验收要求。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水生生态</w:t>
            </w:r>
          </w:p>
        </w:tc>
        <w:tc>
          <w:tcPr>
            <w:tcW w:w="245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6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218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4"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245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混凝土养护废水蒸发损耗；设置移动式旱厕；设置篷布对施工材料进行遮盖，在临时堆土场设置沉砂池，减少原辅料及水土流失。</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临近毛家村水库水源保护区风机施工避开雨季，废水收集回用，不得排入水源保护区。</w:t>
            </w:r>
          </w:p>
        </w:tc>
        <w:tc>
          <w:tcPr>
            <w:tcW w:w="11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废水不外排</w:t>
            </w:r>
          </w:p>
        </w:tc>
        <w:tc>
          <w:tcPr>
            <w:tcW w:w="218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地下水及土壤环境</w:t>
            </w:r>
          </w:p>
        </w:tc>
        <w:tc>
          <w:tcPr>
            <w:tcW w:w="24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8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94"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245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夜间禁止施工，并尽量采用低噪声机械设备，对超过国家标准的机械应禁止其入场施工，施工过程中还应经常对设备进行维修保养，避免由于设备性能变差而导致噪声增加，对产生震动的环节进行加固或改造，对振动较大的设备可使用减震机座；对于施工期间的材料运输、敲击等施工声源，要求施工队通过文明施工、加强有效管理加以缓解。</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在利用现有道路运输施工物资时，应合理选择运输路线，禁止夜间运输。此外，在途经村庄时，应减速慢行。建设单位应对施工承包商的运输路线提出要求，要求承包商必须提供建材运输路线，并请环保监理或环保专业人员确认施工路线在减缓噪声影响方面的合理性。建设单位根据确定后的运输路线进行监督，并可联合地方环保部门加强监督力度。</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（3）夜间禁止施工，昼间施工时也要进行良好的施工管理和采取必要的降噪措施，如临时声屏障围护等，控制同时作业的高噪声设备的数量，以符合《建筑施工场界环境噪声排放标准》（GB12523-2011）相关标准。</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（4）合理布置施工平面和施工的顺序，充分利用地形对噪音的阻隔作用，调整作业工时，减少噪声对周边环境敏感点的影响。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开展施工期环境监理，加强施工期噪声监测，发现噪声污染，及时采取有效的噪声污染防治措施，施工场地应尽量远离敏感点，同时建议在施工场界距离敏感点一侧设置移动式声屏障，降低项目施工噪声对周边敏感点造成的不利影响。</w:t>
            </w:r>
          </w:p>
        </w:tc>
        <w:tc>
          <w:tcPr>
            <w:tcW w:w="1165"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①施工期声环境达标，不对周边居民正常生活造成影响；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施工场界噪声达到《建筑施工场界环境噪声排放标准》（GB12523-2011）要求</w:t>
            </w:r>
            <w:r>
              <w:rPr>
                <w:rFonts w:hint="eastAsia"/>
                <w:color w:val="000000" w:themeColor="text1"/>
                <w14:textFill>
                  <w14:solidFill>
                    <w14:schemeClr w14:val="tx1"/>
                  </w14:solidFill>
                </w14:textFill>
              </w:rPr>
              <w:t>。</w:t>
            </w:r>
          </w:p>
        </w:tc>
        <w:tc>
          <w:tcPr>
            <w:tcW w:w="218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①风机采购时应注意风机的选型，选用低噪声风电机组并采取减震措施。</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②提高风机机组的加工工艺和安装精度，使齿轮和轴承保持良好的润滑条件，避免或减少撞击力、周期力和摩擦力等。</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③加强风机日常维护，定期检查风机机械系统，当发生故障时，应立即停机检查。</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④对营运期风机噪声进行跟踪监测，每年一次，连续2年，若周围居民点处噪声出现超标情况，则需关停该点位风机或调整风机功率，确保营运期风机噪声不会对周边居民产生影响。</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⑤主变压器选用低噪声设备；并加强维护管理，确保设备在正常状态下运行。</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⑥升压站四周设置实体围墙。利用变电所及所区围墙和周围树木的阻挡作用，衰减降低噪声。</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⑦变配电设备的低频噪声容易引起人群的烦恼，因此应做好变配电房中的变压器隔振处理，对室内壁进行吸声处理，可降低低频噪声烦恼度。</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⑧环评项目要求设置375m的噪声防护距离，风机建设前（建设单位）向主管部门告知备案，并告知项目所在地乡镇、村委会。</w:t>
            </w:r>
          </w:p>
        </w:tc>
        <w:tc>
          <w:tcPr>
            <w:tcW w:w="179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敏感点噪声满足《声环境质量标准》（GB3096-2008）1类标准。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振动</w:t>
            </w:r>
          </w:p>
        </w:tc>
        <w:tc>
          <w:tcPr>
            <w:tcW w:w="245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65"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218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4"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245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（1）料场堆放物料采用篷布遮盖、围挡等措施防尘抑尘。</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（2）运输车辆进入施工场地应低速行驶或限速行驶，场地内运输通道及时清扫、定期洒水，对运载建筑材料、建筑垃圾和粉状材料的车辆加盖</w:t>
            </w:r>
            <w:r>
              <w:rPr>
                <w:rFonts w:hint="eastAsia"/>
                <w:color w:val="000000" w:themeColor="text1"/>
                <w:lang w:val="en-US" w:eastAsia="zh-CN"/>
                <w14:textFill>
                  <w14:solidFill>
                    <w14:schemeClr w14:val="tx1"/>
                  </w14:solidFill>
                </w14:textFill>
              </w:rPr>
              <w:t>篷布</w:t>
            </w:r>
            <w:r>
              <w:rPr>
                <w:rFonts w:hint="eastAsia"/>
                <w:color w:val="000000" w:themeColor="text1"/>
                <w14:textFill>
                  <w14:solidFill>
                    <w14:schemeClr w14:val="tx1"/>
                  </w14:solidFill>
                </w14:textFill>
              </w:rPr>
              <w:t>减少洒落；限制运输车辆的行驶速度，场地道路上行车速度不得超过20km/h。</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（3）施工期间根据具体情况适时对施工现场、交通道路洒水，每日至少2次（降雨日除外），春季干旱多风日可适当增加洒水次数，车辆物资运输经过的路段应增加洒水次数。</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（4）尽量不在大风天施工作业，尤其是引起地面扰动的作业。</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（5）尽量减少临时占地，严禁破坏永久占地和临时占地外的植被。</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（6）施工期应对风机基座开挖的土方回填后剩余的土应及时运走，尽快恢复植被，减少风蚀强度。</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（7）对临时堆土点的弃土弃渣应尽快回填利用或运至指定地点，暂时不能利用的采用编织袋进行临时挡护，顶面用土工布进行覆盖。</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（8）对场内道路山顶部分，由于多为挖方或半挖半填路段，其挖填形成的边坡较小，采用土工布覆盖临时防护；挖填方量大、边坡较高的路段，需在道路的下边坡以及少量临时弃土布置编织土袋挡护措施。</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（9）在项目靠近村庄等敏感点附近地段施工时采取增加洒水次数等措施，以控制和减轻施工扬尘对该保护目标的影响。</w:t>
            </w:r>
          </w:p>
        </w:tc>
        <w:tc>
          <w:tcPr>
            <w:tcW w:w="1165" w:type="dxa"/>
            <w:vAlign w:val="center"/>
          </w:tcPr>
          <w:p>
            <w:pPr>
              <w:pStyle w:val="29"/>
              <w:jc w:val="both"/>
              <w:rPr>
                <w:color w:val="000000" w:themeColor="text1"/>
                <w14:textFill>
                  <w14:solidFill>
                    <w14:schemeClr w14:val="tx1"/>
                  </w14:solidFill>
                </w14:textFill>
              </w:rPr>
            </w:pPr>
            <w:r>
              <w:rPr>
                <w:bCs/>
                <w:color w:val="000000" w:themeColor="text1"/>
                <w14:textFill>
                  <w14:solidFill>
                    <w14:schemeClr w14:val="tx1"/>
                  </w14:solidFill>
                </w14:textFill>
              </w:rPr>
              <w:t>场界颗粒物进行检测，检测结果满足《大气污染物综合排放标准》（GB16297-1996）无组织排放监控浓度限值≤</w:t>
            </w:r>
            <w:r>
              <w:rPr>
                <w:color w:val="000000" w:themeColor="text1"/>
                <w14:textFill>
                  <w14:solidFill>
                    <w14:schemeClr w14:val="tx1"/>
                  </w14:solidFill>
                </w14:textFill>
              </w:rPr>
              <w:t>1mg/m</w:t>
            </w:r>
            <w:r>
              <w:rPr>
                <w:color w:val="000000" w:themeColor="text1"/>
                <w:vertAlign w:val="superscript"/>
                <w14:textFill>
                  <w14:solidFill>
                    <w14:schemeClr w14:val="tx1"/>
                  </w14:solidFill>
                </w14:textFill>
              </w:rPr>
              <w:t>3</w:t>
            </w:r>
          </w:p>
        </w:tc>
        <w:tc>
          <w:tcPr>
            <w:tcW w:w="2182"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4"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2452" w:type="dxa"/>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①施工弃土：拟建项目总开挖</w:t>
            </w:r>
            <w:r>
              <w:rPr>
                <w:color w:val="000000" w:themeColor="text1"/>
                <w:sz w:val="21"/>
                <w:szCs w:val="21"/>
                <w14:textFill>
                  <w14:solidFill>
                    <w14:schemeClr w14:val="tx1"/>
                  </w14:solidFill>
                </w14:textFill>
              </w:rPr>
              <w:t>44.66</w:t>
            </w:r>
            <w:r>
              <w:rPr>
                <w:rFonts w:hint="eastAsia"/>
                <w:color w:val="000000" w:themeColor="text1"/>
                <w:sz w:val="21"/>
                <w:szCs w:val="21"/>
                <w14:textFill>
                  <w14:solidFill>
                    <w14:schemeClr w14:val="tx1"/>
                  </w14:solidFill>
                </w14:textFill>
              </w:rPr>
              <w:t>万m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，回填</w:t>
            </w:r>
            <w:r>
              <w:rPr>
                <w:color w:val="000000" w:themeColor="text1"/>
                <w:sz w:val="21"/>
                <w:szCs w:val="21"/>
                <w14:textFill>
                  <w14:solidFill>
                    <w14:schemeClr w14:val="tx1"/>
                  </w14:solidFill>
                </w14:textFill>
              </w:rPr>
              <w:t>30.94</w:t>
            </w:r>
            <w:r>
              <w:rPr>
                <w:rFonts w:hint="eastAsia"/>
                <w:color w:val="000000" w:themeColor="text1"/>
                <w:sz w:val="21"/>
                <w:szCs w:val="21"/>
                <w14:textFill>
                  <w14:solidFill>
                    <w14:schemeClr w14:val="tx1"/>
                  </w14:solidFill>
                </w14:textFill>
              </w:rPr>
              <w:t>万m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，弃方</w:t>
            </w:r>
            <w:r>
              <w:rPr>
                <w:color w:val="000000" w:themeColor="text1"/>
                <w:sz w:val="21"/>
                <w:szCs w:val="21"/>
                <w14:textFill>
                  <w14:solidFill>
                    <w14:schemeClr w14:val="tx1"/>
                  </w14:solidFill>
                </w14:textFill>
              </w:rPr>
              <w:t>13.72</w:t>
            </w:r>
            <w:r>
              <w:rPr>
                <w:rFonts w:hint="eastAsia"/>
                <w:color w:val="000000" w:themeColor="text1"/>
                <w:sz w:val="21"/>
                <w:szCs w:val="21"/>
                <w14:textFill>
                  <w14:solidFill>
                    <w14:schemeClr w14:val="tx1"/>
                  </w14:solidFill>
                </w14:textFill>
              </w:rPr>
              <w:t>万m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。该弃渣依托一期已批复的1#弃渣场进行堆存。</w:t>
            </w:r>
          </w:p>
          <w:p>
            <w:pPr>
              <w:pStyle w:val="29"/>
              <w:jc w:val="both"/>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②生活垃圾：拟建项目施工期生活垃圾产生量为</w:t>
            </w:r>
            <w:r>
              <w:rPr>
                <w:color w:val="000000" w:themeColor="text1"/>
                <w:szCs w:val="21"/>
                <w14:textFill>
                  <w14:solidFill>
                    <w14:schemeClr w14:val="tx1"/>
                  </w14:solidFill>
                </w14:textFill>
              </w:rPr>
              <w:t>5.94</w:t>
            </w:r>
            <w:r>
              <w:rPr>
                <w:rFonts w:hint="eastAsia"/>
                <w:color w:val="000000" w:themeColor="text1"/>
                <w:szCs w:val="21"/>
                <w14:textFill>
                  <w14:solidFill>
                    <w14:schemeClr w14:val="tx1"/>
                  </w14:solidFill>
                </w14:textFill>
              </w:rPr>
              <w:t>t。生活垃圾经场区内收集后，清运至当地垃圾填埋场处理。</w:t>
            </w:r>
          </w:p>
        </w:tc>
        <w:tc>
          <w:tcPr>
            <w:tcW w:w="1165" w:type="dxa"/>
            <w:vAlign w:val="center"/>
          </w:tcPr>
          <w:p>
            <w:pPr>
              <w:pStyle w:val="2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处置率1</w:t>
            </w:r>
            <w:r>
              <w:rPr>
                <w:color w:val="000000" w:themeColor="text1"/>
                <w:szCs w:val="21"/>
                <w14:textFill>
                  <w14:solidFill>
                    <w14:schemeClr w14:val="tx1"/>
                  </w14:solidFill>
                </w14:textFill>
              </w:rPr>
              <w:t>00%</w:t>
            </w:r>
          </w:p>
        </w:tc>
        <w:tc>
          <w:tcPr>
            <w:tcW w:w="2182" w:type="dxa"/>
            <w:vAlign w:val="center"/>
          </w:tcPr>
          <w:p>
            <w:pPr>
              <w:pStyle w:val="29"/>
              <w:jc w:val="both"/>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升压站、箱变设置事故油收集池，维修废油、事故废油及废蓄电池交由资质单位处置。</w:t>
            </w:r>
          </w:p>
        </w:tc>
        <w:tc>
          <w:tcPr>
            <w:tcW w:w="1794" w:type="dxa"/>
            <w:vAlign w:val="center"/>
          </w:tcPr>
          <w:p>
            <w:pPr>
              <w:pStyle w:val="2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处置率1</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电磁环境</w:t>
            </w:r>
          </w:p>
        </w:tc>
        <w:tc>
          <w:tcPr>
            <w:tcW w:w="2452" w:type="dxa"/>
            <w:vAlign w:val="center"/>
          </w:tcPr>
          <w:p>
            <w:pPr>
              <w:pStyle w:val="2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1165" w:type="dxa"/>
            <w:vAlign w:val="center"/>
          </w:tcPr>
          <w:p>
            <w:pPr>
              <w:pStyle w:val="2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218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电气设备集中布置，在设计中应按有关规程采取一系列的控制过电压、防治电磁感应场强水平的措施等，升压站围墙挡护、距离衰减。</w:t>
            </w:r>
          </w:p>
        </w:tc>
        <w:tc>
          <w:tcPr>
            <w:tcW w:w="1794" w:type="dxa"/>
            <w:vAlign w:val="center"/>
          </w:tcPr>
          <w:p>
            <w:pPr>
              <w:pStyle w:val="29"/>
              <w:jc w:val="both"/>
              <w:rPr>
                <w:color w:val="000000" w:themeColor="text1"/>
                <w14:textFill>
                  <w14:solidFill>
                    <w14:schemeClr w14:val="tx1"/>
                  </w14:solidFill>
                </w14:textFill>
              </w:rPr>
            </w:pPr>
            <w:r>
              <w:rPr>
                <w:color w:val="000000" w:themeColor="text1"/>
                <w14:textFill>
                  <w14:solidFill>
                    <w14:schemeClr w14:val="tx1"/>
                  </w14:solidFill>
                </w14:textFill>
              </w:rPr>
              <w:t>工频电场、工频磁场执行《电磁环境控制限值》（GB8702-2014）表1中公众曝露限值，即频率为50Hz时的工频电场强度限值：4000V/m；工频磁感应强度限值：100μT。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环境风险</w:t>
            </w:r>
          </w:p>
        </w:tc>
        <w:tc>
          <w:tcPr>
            <w:tcW w:w="245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8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（1）在箱变及主变压器旁设置事故储油池（容积按100%变压器油量确定），并设有排油管道以保证在事故情况下变压器储油池的油可以顺利排入事故池。</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（2）维修变压器时原变压器油应回收利用，不能利用的贮存于密闭的容器中，其贮存应按《危险废物贮存污染控制标准》的有关要求进行。</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（3）变压器油不得遗弃和倾倒于环境中，必须收集进入事故油池并交给有资质的单位处理。</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（4）规范设置废检修油暂存间。废检修油产生及处置须规范记录台账，委托有资质单位处理。</w:t>
            </w:r>
          </w:p>
        </w:tc>
        <w:tc>
          <w:tcPr>
            <w:tcW w:w="179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①制定应急预案；</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②事故油不外排。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环境监测</w:t>
            </w:r>
          </w:p>
        </w:tc>
        <w:tc>
          <w:tcPr>
            <w:tcW w:w="2452"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5" w:type="dxa"/>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82"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噪声监测点位布置在大水沟、车鲁箐、李子坪、钟家箐及升压站东、南、西、北厂界外1m</w:t>
            </w:r>
          </w:p>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电磁环境监测点布置在升压站东南西北厂厂界处</w:t>
            </w:r>
          </w:p>
        </w:tc>
        <w:tc>
          <w:tcPr>
            <w:tcW w:w="1794" w:type="dxa"/>
            <w:vAlign w:val="center"/>
          </w:tcPr>
          <w:p>
            <w:pPr>
              <w:pStyle w:val="2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 标准》(GB12348-2008)中</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类标准；</w:t>
            </w:r>
          </w:p>
          <w:p>
            <w:pPr>
              <w:pStyle w:val="29"/>
              <w:jc w:val="both"/>
              <w:rPr>
                <w:color w:val="000000" w:themeColor="text1"/>
                <w14:textFill>
                  <w14:solidFill>
                    <w14:schemeClr w14:val="tx1"/>
                  </w14:solidFill>
                </w14:textFill>
              </w:rPr>
            </w:pPr>
            <w:r>
              <w:rPr>
                <w:color w:val="000000" w:themeColor="text1"/>
                <w14:textFill>
                  <w14:solidFill>
                    <w14:schemeClr w14:val="tx1"/>
                  </w14:solidFill>
                </w14:textFill>
              </w:rPr>
              <w:t>工频电场、工频磁场执行《电磁环境控制限值》（GB8702-2014）表1中公众曝露限值，即频率为50Hz时的工频电场强度限值：4000V/m；工频磁感应强度限值：100μT。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pStyle w:val="29"/>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7593" w:type="dxa"/>
            <w:gridSpan w:val="4"/>
            <w:vAlign w:val="center"/>
          </w:tcPr>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提供施工期环境监理总结报告。</w:t>
            </w:r>
          </w:p>
        </w:tc>
      </w:tr>
      <w:bookmarkEnd w:id="69"/>
    </w:tbl>
    <w:p>
      <w:pPr>
        <w:pStyle w:val="29"/>
        <w:rPr>
          <w:color w:val="000000" w:themeColor="text1"/>
          <w14:textFill>
            <w14:solidFill>
              <w14:schemeClr w14:val="tx1"/>
            </w14:solidFill>
          </w14:textFill>
        </w:rPr>
        <w:sectPr>
          <w:pgSz w:w="11906" w:h="16838"/>
          <w:pgMar w:top="1440" w:right="1531" w:bottom="1440" w:left="1531" w:header="851" w:footer="1077" w:gutter="0"/>
          <w:cols w:space="425" w:num="1"/>
          <w:docGrid w:type="lines" w:linePitch="326" w:charSpace="0"/>
        </w:sectPr>
      </w:pPr>
    </w:p>
    <w:p>
      <w:pPr>
        <w:ind w:firstLine="0" w:firstLineChars="0"/>
        <w:jc w:val="center"/>
        <w:outlineLvl w:val="0"/>
        <w:rPr>
          <w:rFonts w:ascii="黑体" w:hAnsi="黑体" w:eastAsia="黑体"/>
          <w:color w:val="000000" w:themeColor="text1"/>
          <w:sz w:val="30"/>
          <w:szCs w:val="30"/>
          <w14:textFill>
            <w14:solidFill>
              <w14:schemeClr w14:val="tx1"/>
            </w14:solidFill>
          </w14:textFill>
        </w:rPr>
      </w:pPr>
      <w:bookmarkStart w:id="70" w:name="_Toc157554965"/>
      <w:r>
        <w:rPr>
          <w:rFonts w:hint="eastAsia" w:ascii="黑体" w:hAnsi="黑体" w:eastAsia="黑体"/>
          <w:color w:val="000000" w:themeColor="text1"/>
          <w:sz w:val="30"/>
          <w:szCs w:val="30"/>
          <w14:textFill>
            <w14:solidFill>
              <w14:schemeClr w14:val="tx1"/>
            </w14:solidFill>
          </w14:textFill>
        </w:rPr>
        <w:t>七、总结论</w:t>
      </w:r>
      <w:bookmarkEnd w:id="70"/>
    </w:p>
    <w:tbl>
      <w:tblPr>
        <w:tblStyle w:val="21"/>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34" w:type="dxa"/>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属于新能源开发项目，符合国家产业政策和国家能源规划要求。拟建项目选址、施工道路及施工设施区避开生态保护红线、依法设立的自然保护区、风景名胜区、文物保护单位、云南省候鸟迁徙通道等生态环境敏感区。项目选址符合《云南省主体功能区规划》和《云南省生态功能区划》。拟建项目选址及风机总体布局环境合理。项目建设可减少不可再生资源的损耗及由此带来的废气排放，项目建设过程中产生的不利环境影响，在采取相应的环境保护措施后，可减小并得到控制，不会造成物种灭亡。从环境保护的角度来看，只要建设单位和施工单位在施工和营运过程中，认真落实主体设计及本报告提出的各项环境保护措施，曲靖市待补风电场二期项目的建设是可行的。</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tc>
      </w:tr>
    </w:tbl>
    <w:p>
      <w:pPr>
        <w:pStyle w:val="29"/>
        <w:spacing w:line="20" w:lineRule="exact"/>
        <w:rPr>
          <w:color w:val="000000" w:themeColor="text1"/>
          <w14:textFill>
            <w14:solidFill>
              <w14:schemeClr w14:val="tx1"/>
            </w14:solidFill>
          </w14:textFill>
        </w:rPr>
      </w:pPr>
    </w:p>
    <w:sectPr>
      <w:pgSz w:w="11906" w:h="16838"/>
      <w:pgMar w:top="1440" w:right="1531" w:bottom="1440" w:left="1531" w:header="851" w:footer="1077"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Segoe UI Emoji">
    <w:altName w:val="Segoe UI"/>
    <w:panose1 w:val="020B0502040204020203"/>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409827"/>
      <w:docPartObj>
        <w:docPartGallery w:val="autotext"/>
      </w:docPartObj>
    </w:sdtPr>
    <w:sdtEndPr>
      <w:rPr>
        <w:rFonts w:cs="Times New Roman"/>
      </w:rPr>
    </w:sdtEndPr>
    <w:sdtContent>
      <w:p>
        <w:pPr>
          <w:pStyle w:val="12"/>
          <w:spacing w:line="240" w:lineRule="auto"/>
          <w:ind w:firstLine="0" w:firstLineChars="0"/>
          <w:jc w:val="cente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20</w:t>
        </w:r>
        <w:r>
          <w:rPr>
            <w:rFonts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E3"/>
    <w:rsid w:val="000002E6"/>
    <w:rsid w:val="00001B7A"/>
    <w:rsid w:val="00001C22"/>
    <w:rsid w:val="0000274B"/>
    <w:rsid w:val="000027D7"/>
    <w:rsid w:val="00003671"/>
    <w:rsid w:val="00003736"/>
    <w:rsid w:val="00003DFF"/>
    <w:rsid w:val="0000414B"/>
    <w:rsid w:val="000043A4"/>
    <w:rsid w:val="0000449F"/>
    <w:rsid w:val="00006F87"/>
    <w:rsid w:val="00010AA7"/>
    <w:rsid w:val="0001144C"/>
    <w:rsid w:val="00012FA5"/>
    <w:rsid w:val="000131CA"/>
    <w:rsid w:val="00014F6C"/>
    <w:rsid w:val="00015E29"/>
    <w:rsid w:val="000167DB"/>
    <w:rsid w:val="000202A8"/>
    <w:rsid w:val="00022222"/>
    <w:rsid w:val="000224EC"/>
    <w:rsid w:val="0002267D"/>
    <w:rsid w:val="00022A25"/>
    <w:rsid w:val="000238CA"/>
    <w:rsid w:val="00023CE6"/>
    <w:rsid w:val="00024427"/>
    <w:rsid w:val="00024D42"/>
    <w:rsid w:val="00025221"/>
    <w:rsid w:val="000257D6"/>
    <w:rsid w:val="00025AD1"/>
    <w:rsid w:val="000265BF"/>
    <w:rsid w:val="000267DD"/>
    <w:rsid w:val="000278A7"/>
    <w:rsid w:val="00027DC0"/>
    <w:rsid w:val="00027F34"/>
    <w:rsid w:val="00030160"/>
    <w:rsid w:val="000316C2"/>
    <w:rsid w:val="00031779"/>
    <w:rsid w:val="00031E47"/>
    <w:rsid w:val="00032D49"/>
    <w:rsid w:val="00033195"/>
    <w:rsid w:val="00033415"/>
    <w:rsid w:val="0003349F"/>
    <w:rsid w:val="00033C80"/>
    <w:rsid w:val="00033EBE"/>
    <w:rsid w:val="000344B2"/>
    <w:rsid w:val="00034DBE"/>
    <w:rsid w:val="00035E3F"/>
    <w:rsid w:val="000361D6"/>
    <w:rsid w:val="00036393"/>
    <w:rsid w:val="0003769E"/>
    <w:rsid w:val="00040477"/>
    <w:rsid w:val="00040531"/>
    <w:rsid w:val="000427E0"/>
    <w:rsid w:val="00042892"/>
    <w:rsid w:val="00042917"/>
    <w:rsid w:val="00042A08"/>
    <w:rsid w:val="00042EA3"/>
    <w:rsid w:val="0004403F"/>
    <w:rsid w:val="00044670"/>
    <w:rsid w:val="00044ADD"/>
    <w:rsid w:val="00044B9C"/>
    <w:rsid w:val="00044F1E"/>
    <w:rsid w:val="00046277"/>
    <w:rsid w:val="00046531"/>
    <w:rsid w:val="00046998"/>
    <w:rsid w:val="00046FA4"/>
    <w:rsid w:val="00047F01"/>
    <w:rsid w:val="000506BE"/>
    <w:rsid w:val="000510CD"/>
    <w:rsid w:val="000511E5"/>
    <w:rsid w:val="00051BBD"/>
    <w:rsid w:val="00051DE4"/>
    <w:rsid w:val="000525D1"/>
    <w:rsid w:val="00052A37"/>
    <w:rsid w:val="00052C63"/>
    <w:rsid w:val="0005336E"/>
    <w:rsid w:val="00053F12"/>
    <w:rsid w:val="000548E6"/>
    <w:rsid w:val="00054CF9"/>
    <w:rsid w:val="0005509D"/>
    <w:rsid w:val="000558C6"/>
    <w:rsid w:val="00055ABC"/>
    <w:rsid w:val="00055D2C"/>
    <w:rsid w:val="00056BC7"/>
    <w:rsid w:val="00061343"/>
    <w:rsid w:val="00061984"/>
    <w:rsid w:val="00063406"/>
    <w:rsid w:val="00063FD2"/>
    <w:rsid w:val="000645A6"/>
    <w:rsid w:val="000647CA"/>
    <w:rsid w:val="0006590B"/>
    <w:rsid w:val="00066004"/>
    <w:rsid w:val="00066719"/>
    <w:rsid w:val="0006713E"/>
    <w:rsid w:val="000676A1"/>
    <w:rsid w:val="00067836"/>
    <w:rsid w:val="00067CD2"/>
    <w:rsid w:val="00070217"/>
    <w:rsid w:val="00070232"/>
    <w:rsid w:val="0007058A"/>
    <w:rsid w:val="000711F2"/>
    <w:rsid w:val="00071DCF"/>
    <w:rsid w:val="00071DE9"/>
    <w:rsid w:val="000723D5"/>
    <w:rsid w:val="00072A8C"/>
    <w:rsid w:val="000731C7"/>
    <w:rsid w:val="0007417D"/>
    <w:rsid w:val="000754C4"/>
    <w:rsid w:val="00075913"/>
    <w:rsid w:val="00075E08"/>
    <w:rsid w:val="00076A49"/>
    <w:rsid w:val="000772AC"/>
    <w:rsid w:val="0007738C"/>
    <w:rsid w:val="00077867"/>
    <w:rsid w:val="000804DB"/>
    <w:rsid w:val="00080F85"/>
    <w:rsid w:val="000815AE"/>
    <w:rsid w:val="000818E3"/>
    <w:rsid w:val="000823D6"/>
    <w:rsid w:val="00082AB9"/>
    <w:rsid w:val="00084F57"/>
    <w:rsid w:val="00085CC0"/>
    <w:rsid w:val="00086B07"/>
    <w:rsid w:val="000874EB"/>
    <w:rsid w:val="000876AA"/>
    <w:rsid w:val="0009061B"/>
    <w:rsid w:val="00092964"/>
    <w:rsid w:val="00093BD9"/>
    <w:rsid w:val="000945B9"/>
    <w:rsid w:val="00094F62"/>
    <w:rsid w:val="00095FF9"/>
    <w:rsid w:val="0009639B"/>
    <w:rsid w:val="0009736A"/>
    <w:rsid w:val="000975F0"/>
    <w:rsid w:val="000A0387"/>
    <w:rsid w:val="000A04CF"/>
    <w:rsid w:val="000A0EDD"/>
    <w:rsid w:val="000A13E8"/>
    <w:rsid w:val="000A1572"/>
    <w:rsid w:val="000A24FE"/>
    <w:rsid w:val="000A2947"/>
    <w:rsid w:val="000A357E"/>
    <w:rsid w:val="000A4575"/>
    <w:rsid w:val="000A4750"/>
    <w:rsid w:val="000A4B81"/>
    <w:rsid w:val="000A56AF"/>
    <w:rsid w:val="000A570F"/>
    <w:rsid w:val="000A585B"/>
    <w:rsid w:val="000A6207"/>
    <w:rsid w:val="000A74E6"/>
    <w:rsid w:val="000A769F"/>
    <w:rsid w:val="000A7ABA"/>
    <w:rsid w:val="000A7AFF"/>
    <w:rsid w:val="000B0AAF"/>
    <w:rsid w:val="000B0D0A"/>
    <w:rsid w:val="000B139A"/>
    <w:rsid w:val="000B13D2"/>
    <w:rsid w:val="000B19C6"/>
    <w:rsid w:val="000B1C2F"/>
    <w:rsid w:val="000B34CF"/>
    <w:rsid w:val="000B37D5"/>
    <w:rsid w:val="000B3FA8"/>
    <w:rsid w:val="000B5F2A"/>
    <w:rsid w:val="000B6130"/>
    <w:rsid w:val="000B744B"/>
    <w:rsid w:val="000B778D"/>
    <w:rsid w:val="000B7879"/>
    <w:rsid w:val="000C01EF"/>
    <w:rsid w:val="000C17AB"/>
    <w:rsid w:val="000C206A"/>
    <w:rsid w:val="000C2C85"/>
    <w:rsid w:val="000C39E2"/>
    <w:rsid w:val="000C602A"/>
    <w:rsid w:val="000C7CB0"/>
    <w:rsid w:val="000D0178"/>
    <w:rsid w:val="000D23DA"/>
    <w:rsid w:val="000D2649"/>
    <w:rsid w:val="000D2891"/>
    <w:rsid w:val="000D3467"/>
    <w:rsid w:val="000D36CC"/>
    <w:rsid w:val="000D39B2"/>
    <w:rsid w:val="000D3FA5"/>
    <w:rsid w:val="000D55FF"/>
    <w:rsid w:val="000D62E5"/>
    <w:rsid w:val="000D765E"/>
    <w:rsid w:val="000D76E4"/>
    <w:rsid w:val="000E02F1"/>
    <w:rsid w:val="000E082C"/>
    <w:rsid w:val="000E091B"/>
    <w:rsid w:val="000E131F"/>
    <w:rsid w:val="000E1E82"/>
    <w:rsid w:val="000E1F24"/>
    <w:rsid w:val="000E2A01"/>
    <w:rsid w:val="000E2A71"/>
    <w:rsid w:val="000E3BC4"/>
    <w:rsid w:val="000E3D52"/>
    <w:rsid w:val="000E3EC2"/>
    <w:rsid w:val="000E4B65"/>
    <w:rsid w:val="000E5213"/>
    <w:rsid w:val="000E5805"/>
    <w:rsid w:val="000E653D"/>
    <w:rsid w:val="000E69DC"/>
    <w:rsid w:val="000E7BA5"/>
    <w:rsid w:val="000F05F4"/>
    <w:rsid w:val="000F1390"/>
    <w:rsid w:val="000F1A28"/>
    <w:rsid w:val="000F2E09"/>
    <w:rsid w:val="000F3189"/>
    <w:rsid w:val="000F3677"/>
    <w:rsid w:val="000F3968"/>
    <w:rsid w:val="000F3DBF"/>
    <w:rsid w:val="000F65D4"/>
    <w:rsid w:val="000F6652"/>
    <w:rsid w:val="001001AA"/>
    <w:rsid w:val="00100536"/>
    <w:rsid w:val="00101B7A"/>
    <w:rsid w:val="00101E83"/>
    <w:rsid w:val="0010294B"/>
    <w:rsid w:val="001042B4"/>
    <w:rsid w:val="00104E65"/>
    <w:rsid w:val="001057BA"/>
    <w:rsid w:val="001065F2"/>
    <w:rsid w:val="00106999"/>
    <w:rsid w:val="001076C4"/>
    <w:rsid w:val="00112147"/>
    <w:rsid w:val="00112229"/>
    <w:rsid w:val="001130F1"/>
    <w:rsid w:val="0011310A"/>
    <w:rsid w:val="00113187"/>
    <w:rsid w:val="0011353B"/>
    <w:rsid w:val="00113573"/>
    <w:rsid w:val="0011362C"/>
    <w:rsid w:val="00114227"/>
    <w:rsid w:val="00114AAE"/>
    <w:rsid w:val="00114F81"/>
    <w:rsid w:val="001151D3"/>
    <w:rsid w:val="00115E2B"/>
    <w:rsid w:val="0011668C"/>
    <w:rsid w:val="0011671E"/>
    <w:rsid w:val="00116F43"/>
    <w:rsid w:val="00117210"/>
    <w:rsid w:val="00117724"/>
    <w:rsid w:val="00120C7E"/>
    <w:rsid w:val="001224E1"/>
    <w:rsid w:val="00123511"/>
    <w:rsid w:val="00123767"/>
    <w:rsid w:val="001238A8"/>
    <w:rsid w:val="00124786"/>
    <w:rsid w:val="00124CA2"/>
    <w:rsid w:val="00125035"/>
    <w:rsid w:val="0012527F"/>
    <w:rsid w:val="00126385"/>
    <w:rsid w:val="001308EA"/>
    <w:rsid w:val="00131160"/>
    <w:rsid w:val="001314CE"/>
    <w:rsid w:val="00132634"/>
    <w:rsid w:val="00132BAF"/>
    <w:rsid w:val="00132D19"/>
    <w:rsid w:val="001340AC"/>
    <w:rsid w:val="001363B1"/>
    <w:rsid w:val="00136D2A"/>
    <w:rsid w:val="0013750A"/>
    <w:rsid w:val="00137C82"/>
    <w:rsid w:val="001410FF"/>
    <w:rsid w:val="00141DDF"/>
    <w:rsid w:val="0014201D"/>
    <w:rsid w:val="0014260A"/>
    <w:rsid w:val="00143397"/>
    <w:rsid w:val="00143BDD"/>
    <w:rsid w:val="001440A9"/>
    <w:rsid w:val="00145516"/>
    <w:rsid w:val="0014714E"/>
    <w:rsid w:val="001472D1"/>
    <w:rsid w:val="00147D9E"/>
    <w:rsid w:val="001518AD"/>
    <w:rsid w:val="00151C5E"/>
    <w:rsid w:val="00152354"/>
    <w:rsid w:val="00152482"/>
    <w:rsid w:val="0015274F"/>
    <w:rsid w:val="00152983"/>
    <w:rsid w:val="00152C3F"/>
    <w:rsid w:val="00153363"/>
    <w:rsid w:val="00154625"/>
    <w:rsid w:val="00154EEA"/>
    <w:rsid w:val="0015506A"/>
    <w:rsid w:val="00155BA1"/>
    <w:rsid w:val="0015714C"/>
    <w:rsid w:val="00157293"/>
    <w:rsid w:val="00157A5D"/>
    <w:rsid w:val="00157E8E"/>
    <w:rsid w:val="001606C7"/>
    <w:rsid w:val="00160C8C"/>
    <w:rsid w:val="00160F1F"/>
    <w:rsid w:val="00162720"/>
    <w:rsid w:val="00162D7A"/>
    <w:rsid w:val="001661BE"/>
    <w:rsid w:val="001669F5"/>
    <w:rsid w:val="001676D7"/>
    <w:rsid w:val="0017058D"/>
    <w:rsid w:val="001706BA"/>
    <w:rsid w:val="00170A32"/>
    <w:rsid w:val="001724A1"/>
    <w:rsid w:val="00172F13"/>
    <w:rsid w:val="00174593"/>
    <w:rsid w:val="00174B61"/>
    <w:rsid w:val="00174F0B"/>
    <w:rsid w:val="00174F17"/>
    <w:rsid w:val="0017611D"/>
    <w:rsid w:val="001768E5"/>
    <w:rsid w:val="0018135E"/>
    <w:rsid w:val="001814D0"/>
    <w:rsid w:val="001815CB"/>
    <w:rsid w:val="00181863"/>
    <w:rsid w:val="00182E27"/>
    <w:rsid w:val="00182FF6"/>
    <w:rsid w:val="00183811"/>
    <w:rsid w:val="001843B3"/>
    <w:rsid w:val="00185376"/>
    <w:rsid w:val="001854EE"/>
    <w:rsid w:val="00185574"/>
    <w:rsid w:val="0018650F"/>
    <w:rsid w:val="0018656A"/>
    <w:rsid w:val="001875D4"/>
    <w:rsid w:val="00187991"/>
    <w:rsid w:val="00191745"/>
    <w:rsid w:val="00191CA2"/>
    <w:rsid w:val="00191E99"/>
    <w:rsid w:val="001921E3"/>
    <w:rsid w:val="00192916"/>
    <w:rsid w:val="00192B08"/>
    <w:rsid w:val="001934DF"/>
    <w:rsid w:val="00194EB3"/>
    <w:rsid w:val="00194EE1"/>
    <w:rsid w:val="00195F48"/>
    <w:rsid w:val="001970F2"/>
    <w:rsid w:val="001975EE"/>
    <w:rsid w:val="0019793E"/>
    <w:rsid w:val="001A1570"/>
    <w:rsid w:val="001A3207"/>
    <w:rsid w:val="001A3256"/>
    <w:rsid w:val="001A33AE"/>
    <w:rsid w:val="001A3774"/>
    <w:rsid w:val="001A3CF6"/>
    <w:rsid w:val="001A3FDD"/>
    <w:rsid w:val="001A40EB"/>
    <w:rsid w:val="001A5367"/>
    <w:rsid w:val="001A6729"/>
    <w:rsid w:val="001B2346"/>
    <w:rsid w:val="001B3FF5"/>
    <w:rsid w:val="001B4611"/>
    <w:rsid w:val="001B493A"/>
    <w:rsid w:val="001B4AAC"/>
    <w:rsid w:val="001B4DAE"/>
    <w:rsid w:val="001B52F3"/>
    <w:rsid w:val="001B6134"/>
    <w:rsid w:val="001B6252"/>
    <w:rsid w:val="001B664D"/>
    <w:rsid w:val="001B7199"/>
    <w:rsid w:val="001B7AB9"/>
    <w:rsid w:val="001B7CD4"/>
    <w:rsid w:val="001C1C30"/>
    <w:rsid w:val="001C20CD"/>
    <w:rsid w:val="001C2AF4"/>
    <w:rsid w:val="001C39B2"/>
    <w:rsid w:val="001C3A15"/>
    <w:rsid w:val="001C4047"/>
    <w:rsid w:val="001C4197"/>
    <w:rsid w:val="001C47E6"/>
    <w:rsid w:val="001C578E"/>
    <w:rsid w:val="001C7CAF"/>
    <w:rsid w:val="001D1AE0"/>
    <w:rsid w:val="001D26A4"/>
    <w:rsid w:val="001D2A56"/>
    <w:rsid w:val="001D3318"/>
    <w:rsid w:val="001D4175"/>
    <w:rsid w:val="001D5A3D"/>
    <w:rsid w:val="001D5D63"/>
    <w:rsid w:val="001D6195"/>
    <w:rsid w:val="001D714B"/>
    <w:rsid w:val="001D7342"/>
    <w:rsid w:val="001D76E1"/>
    <w:rsid w:val="001D7B7D"/>
    <w:rsid w:val="001E0820"/>
    <w:rsid w:val="001E0DDA"/>
    <w:rsid w:val="001E1800"/>
    <w:rsid w:val="001E2AE9"/>
    <w:rsid w:val="001E2F6E"/>
    <w:rsid w:val="001E3128"/>
    <w:rsid w:val="001E3DFC"/>
    <w:rsid w:val="001E4354"/>
    <w:rsid w:val="001E4BF7"/>
    <w:rsid w:val="001E5E92"/>
    <w:rsid w:val="001E696A"/>
    <w:rsid w:val="001E6AC6"/>
    <w:rsid w:val="001E6F71"/>
    <w:rsid w:val="001E714B"/>
    <w:rsid w:val="001E737F"/>
    <w:rsid w:val="001E7B4B"/>
    <w:rsid w:val="001F02B6"/>
    <w:rsid w:val="001F2154"/>
    <w:rsid w:val="001F2B8D"/>
    <w:rsid w:val="001F3353"/>
    <w:rsid w:val="001F4244"/>
    <w:rsid w:val="001F4883"/>
    <w:rsid w:val="001F4AFF"/>
    <w:rsid w:val="001F4B8C"/>
    <w:rsid w:val="001F5324"/>
    <w:rsid w:val="001F6145"/>
    <w:rsid w:val="001F678F"/>
    <w:rsid w:val="001F7A5D"/>
    <w:rsid w:val="00200387"/>
    <w:rsid w:val="00200D8A"/>
    <w:rsid w:val="002010E3"/>
    <w:rsid w:val="00201BDF"/>
    <w:rsid w:val="0020282D"/>
    <w:rsid w:val="00202984"/>
    <w:rsid w:val="00202CED"/>
    <w:rsid w:val="00203740"/>
    <w:rsid w:val="002048F1"/>
    <w:rsid w:val="00204D0C"/>
    <w:rsid w:val="002069BB"/>
    <w:rsid w:val="00206D77"/>
    <w:rsid w:val="002074B9"/>
    <w:rsid w:val="00210229"/>
    <w:rsid w:val="00211205"/>
    <w:rsid w:val="00211211"/>
    <w:rsid w:val="002112D8"/>
    <w:rsid w:val="0021219F"/>
    <w:rsid w:val="00213F34"/>
    <w:rsid w:val="00213F5F"/>
    <w:rsid w:val="00214B7A"/>
    <w:rsid w:val="00214D46"/>
    <w:rsid w:val="002161E5"/>
    <w:rsid w:val="00217298"/>
    <w:rsid w:val="00217DB5"/>
    <w:rsid w:val="00220C25"/>
    <w:rsid w:val="00221058"/>
    <w:rsid w:val="00223556"/>
    <w:rsid w:val="00223893"/>
    <w:rsid w:val="00223B48"/>
    <w:rsid w:val="00223F43"/>
    <w:rsid w:val="00226EDF"/>
    <w:rsid w:val="0022756E"/>
    <w:rsid w:val="002301D5"/>
    <w:rsid w:val="00230943"/>
    <w:rsid w:val="002311CA"/>
    <w:rsid w:val="00233D2B"/>
    <w:rsid w:val="00234394"/>
    <w:rsid w:val="00234CB4"/>
    <w:rsid w:val="002361A6"/>
    <w:rsid w:val="00237040"/>
    <w:rsid w:val="0023725D"/>
    <w:rsid w:val="00237BD5"/>
    <w:rsid w:val="00237CB0"/>
    <w:rsid w:val="00237E06"/>
    <w:rsid w:val="00237F83"/>
    <w:rsid w:val="00240043"/>
    <w:rsid w:val="0024038D"/>
    <w:rsid w:val="002405BF"/>
    <w:rsid w:val="002415D0"/>
    <w:rsid w:val="00241E72"/>
    <w:rsid w:val="00241E9C"/>
    <w:rsid w:val="00241FED"/>
    <w:rsid w:val="0024267E"/>
    <w:rsid w:val="00243D97"/>
    <w:rsid w:val="002443F0"/>
    <w:rsid w:val="00244AF3"/>
    <w:rsid w:val="00245BDC"/>
    <w:rsid w:val="00245D32"/>
    <w:rsid w:val="002460C6"/>
    <w:rsid w:val="0024627E"/>
    <w:rsid w:val="0024655C"/>
    <w:rsid w:val="00247BA1"/>
    <w:rsid w:val="002508EC"/>
    <w:rsid w:val="00250C3C"/>
    <w:rsid w:val="002516EA"/>
    <w:rsid w:val="00252A95"/>
    <w:rsid w:val="00253A5F"/>
    <w:rsid w:val="0025443D"/>
    <w:rsid w:val="00254B4C"/>
    <w:rsid w:val="00254ED4"/>
    <w:rsid w:val="00255A78"/>
    <w:rsid w:val="002570E1"/>
    <w:rsid w:val="0026062B"/>
    <w:rsid w:val="002606BB"/>
    <w:rsid w:val="00261826"/>
    <w:rsid w:val="00262196"/>
    <w:rsid w:val="00262628"/>
    <w:rsid w:val="00262875"/>
    <w:rsid w:val="00263B38"/>
    <w:rsid w:val="0026410D"/>
    <w:rsid w:val="00265283"/>
    <w:rsid w:val="00266300"/>
    <w:rsid w:val="00266902"/>
    <w:rsid w:val="00267952"/>
    <w:rsid w:val="00267FAB"/>
    <w:rsid w:val="00272056"/>
    <w:rsid w:val="002720C8"/>
    <w:rsid w:val="0027255F"/>
    <w:rsid w:val="00275388"/>
    <w:rsid w:val="00275745"/>
    <w:rsid w:val="00276F6B"/>
    <w:rsid w:val="00277492"/>
    <w:rsid w:val="00277576"/>
    <w:rsid w:val="00277AF0"/>
    <w:rsid w:val="00277FAA"/>
    <w:rsid w:val="0028073E"/>
    <w:rsid w:val="002811F5"/>
    <w:rsid w:val="0028121F"/>
    <w:rsid w:val="0028168C"/>
    <w:rsid w:val="002829D3"/>
    <w:rsid w:val="00283EA6"/>
    <w:rsid w:val="00284DDE"/>
    <w:rsid w:val="00286A51"/>
    <w:rsid w:val="002877AB"/>
    <w:rsid w:val="00287A3A"/>
    <w:rsid w:val="0029076C"/>
    <w:rsid w:val="00290D20"/>
    <w:rsid w:val="00291238"/>
    <w:rsid w:val="002918ED"/>
    <w:rsid w:val="00291B40"/>
    <w:rsid w:val="0029221F"/>
    <w:rsid w:val="0029226C"/>
    <w:rsid w:val="002928DE"/>
    <w:rsid w:val="0029300F"/>
    <w:rsid w:val="002934EA"/>
    <w:rsid w:val="00293576"/>
    <w:rsid w:val="002939BC"/>
    <w:rsid w:val="002943AF"/>
    <w:rsid w:val="0029465D"/>
    <w:rsid w:val="00294698"/>
    <w:rsid w:val="00294884"/>
    <w:rsid w:val="00294A60"/>
    <w:rsid w:val="00294D9C"/>
    <w:rsid w:val="002959AA"/>
    <w:rsid w:val="002960B9"/>
    <w:rsid w:val="0029623E"/>
    <w:rsid w:val="002962BF"/>
    <w:rsid w:val="002974F3"/>
    <w:rsid w:val="002A0032"/>
    <w:rsid w:val="002A0369"/>
    <w:rsid w:val="002A0446"/>
    <w:rsid w:val="002A0F81"/>
    <w:rsid w:val="002A18A1"/>
    <w:rsid w:val="002A1990"/>
    <w:rsid w:val="002A1B88"/>
    <w:rsid w:val="002A32F2"/>
    <w:rsid w:val="002A33A7"/>
    <w:rsid w:val="002A3D96"/>
    <w:rsid w:val="002A62BD"/>
    <w:rsid w:val="002A67F6"/>
    <w:rsid w:val="002A6E6D"/>
    <w:rsid w:val="002A7E6A"/>
    <w:rsid w:val="002A7E75"/>
    <w:rsid w:val="002B0517"/>
    <w:rsid w:val="002B1B76"/>
    <w:rsid w:val="002B1C55"/>
    <w:rsid w:val="002B20E0"/>
    <w:rsid w:val="002B378E"/>
    <w:rsid w:val="002B50B6"/>
    <w:rsid w:val="002B51BB"/>
    <w:rsid w:val="002B60A0"/>
    <w:rsid w:val="002B7ADA"/>
    <w:rsid w:val="002C087C"/>
    <w:rsid w:val="002C11F9"/>
    <w:rsid w:val="002C1225"/>
    <w:rsid w:val="002C1623"/>
    <w:rsid w:val="002C24C0"/>
    <w:rsid w:val="002C2B9A"/>
    <w:rsid w:val="002C3BD1"/>
    <w:rsid w:val="002C4091"/>
    <w:rsid w:val="002C475F"/>
    <w:rsid w:val="002C4ADE"/>
    <w:rsid w:val="002C4B22"/>
    <w:rsid w:val="002C5510"/>
    <w:rsid w:val="002C6191"/>
    <w:rsid w:val="002C735A"/>
    <w:rsid w:val="002C7E6B"/>
    <w:rsid w:val="002D0F8C"/>
    <w:rsid w:val="002D1334"/>
    <w:rsid w:val="002D189D"/>
    <w:rsid w:val="002D1B56"/>
    <w:rsid w:val="002D2710"/>
    <w:rsid w:val="002D2A14"/>
    <w:rsid w:val="002D3507"/>
    <w:rsid w:val="002D3570"/>
    <w:rsid w:val="002D4C70"/>
    <w:rsid w:val="002D5F1F"/>
    <w:rsid w:val="002D7019"/>
    <w:rsid w:val="002D7345"/>
    <w:rsid w:val="002E0238"/>
    <w:rsid w:val="002E0949"/>
    <w:rsid w:val="002E1BFA"/>
    <w:rsid w:val="002E338E"/>
    <w:rsid w:val="002E3417"/>
    <w:rsid w:val="002E450A"/>
    <w:rsid w:val="002E483B"/>
    <w:rsid w:val="002E53A3"/>
    <w:rsid w:val="002E61FE"/>
    <w:rsid w:val="002E7A06"/>
    <w:rsid w:val="002E7BBA"/>
    <w:rsid w:val="002E7EAF"/>
    <w:rsid w:val="002F0545"/>
    <w:rsid w:val="002F0C31"/>
    <w:rsid w:val="002F14CA"/>
    <w:rsid w:val="002F1998"/>
    <w:rsid w:val="002F1A83"/>
    <w:rsid w:val="002F294B"/>
    <w:rsid w:val="002F2B24"/>
    <w:rsid w:val="002F3870"/>
    <w:rsid w:val="002F6232"/>
    <w:rsid w:val="002F7775"/>
    <w:rsid w:val="002F7D86"/>
    <w:rsid w:val="0030051D"/>
    <w:rsid w:val="00300B34"/>
    <w:rsid w:val="00301D7A"/>
    <w:rsid w:val="00302C01"/>
    <w:rsid w:val="0030329E"/>
    <w:rsid w:val="00304309"/>
    <w:rsid w:val="0030484D"/>
    <w:rsid w:val="00304CF1"/>
    <w:rsid w:val="00305DB4"/>
    <w:rsid w:val="003060B5"/>
    <w:rsid w:val="003063A0"/>
    <w:rsid w:val="003065B9"/>
    <w:rsid w:val="00306620"/>
    <w:rsid w:val="00306BE0"/>
    <w:rsid w:val="00306FC5"/>
    <w:rsid w:val="00307952"/>
    <w:rsid w:val="00310A16"/>
    <w:rsid w:val="00310CA7"/>
    <w:rsid w:val="003111E2"/>
    <w:rsid w:val="0031153A"/>
    <w:rsid w:val="00311BA0"/>
    <w:rsid w:val="00311D1F"/>
    <w:rsid w:val="00312238"/>
    <w:rsid w:val="00313786"/>
    <w:rsid w:val="003144DF"/>
    <w:rsid w:val="0031478A"/>
    <w:rsid w:val="0031503E"/>
    <w:rsid w:val="003153D4"/>
    <w:rsid w:val="003156D9"/>
    <w:rsid w:val="00315CBA"/>
    <w:rsid w:val="0031689C"/>
    <w:rsid w:val="003176C1"/>
    <w:rsid w:val="0032003D"/>
    <w:rsid w:val="003220C2"/>
    <w:rsid w:val="003231FB"/>
    <w:rsid w:val="003233D5"/>
    <w:rsid w:val="0032340D"/>
    <w:rsid w:val="00323417"/>
    <w:rsid w:val="00323648"/>
    <w:rsid w:val="00323F61"/>
    <w:rsid w:val="00323F66"/>
    <w:rsid w:val="003242B7"/>
    <w:rsid w:val="00324F1E"/>
    <w:rsid w:val="00325A4E"/>
    <w:rsid w:val="003262D8"/>
    <w:rsid w:val="003275E9"/>
    <w:rsid w:val="00327C30"/>
    <w:rsid w:val="00330A8B"/>
    <w:rsid w:val="00331242"/>
    <w:rsid w:val="00331760"/>
    <w:rsid w:val="00332BEE"/>
    <w:rsid w:val="00334468"/>
    <w:rsid w:val="0033480B"/>
    <w:rsid w:val="00334950"/>
    <w:rsid w:val="0033658B"/>
    <w:rsid w:val="0033793A"/>
    <w:rsid w:val="00337C16"/>
    <w:rsid w:val="0034092A"/>
    <w:rsid w:val="003420DE"/>
    <w:rsid w:val="00342759"/>
    <w:rsid w:val="00342D62"/>
    <w:rsid w:val="00343C8D"/>
    <w:rsid w:val="0034409C"/>
    <w:rsid w:val="003451A0"/>
    <w:rsid w:val="00345825"/>
    <w:rsid w:val="003479DE"/>
    <w:rsid w:val="00347C7F"/>
    <w:rsid w:val="00350789"/>
    <w:rsid w:val="00350BBB"/>
    <w:rsid w:val="0035210D"/>
    <w:rsid w:val="00353240"/>
    <w:rsid w:val="00353386"/>
    <w:rsid w:val="003534F0"/>
    <w:rsid w:val="0035724E"/>
    <w:rsid w:val="00360D12"/>
    <w:rsid w:val="003612F9"/>
    <w:rsid w:val="00362B22"/>
    <w:rsid w:val="00362B59"/>
    <w:rsid w:val="00363595"/>
    <w:rsid w:val="003637AA"/>
    <w:rsid w:val="0036473D"/>
    <w:rsid w:val="003658E0"/>
    <w:rsid w:val="00366E91"/>
    <w:rsid w:val="003707C4"/>
    <w:rsid w:val="00371838"/>
    <w:rsid w:val="003724E8"/>
    <w:rsid w:val="0037261F"/>
    <w:rsid w:val="00373605"/>
    <w:rsid w:val="00373758"/>
    <w:rsid w:val="003764E6"/>
    <w:rsid w:val="003768CB"/>
    <w:rsid w:val="0037769F"/>
    <w:rsid w:val="00377D74"/>
    <w:rsid w:val="00380728"/>
    <w:rsid w:val="00380773"/>
    <w:rsid w:val="00380AD3"/>
    <w:rsid w:val="003822BD"/>
    <w:rsid w:val="00382AAC"/>
    <w:rsid w:val="00382AFD"/>
    <w:rsid w:val="00383FF6"/>
    <w:rsid w:val="00384121"/>
    <w:rsid w:val="0038522D"/>
    <w:rsid w:val="003853F8"/>
    <w:rsid w:val="00385CC6"/>
    <w:rsid w:val="003864AF"/>
    <w:rsid w:val="00386F25"/>
    <w:rsid w:val="00390087"/>
    <w:rsid w:val="00391B26"/>
    <w:rsid w:val="003923C5"/>
    <w:rsid w:val="003951D4"/>
    <w:rsid w:val="0039526F"/>
    <w:rsid w:val="003958A5"/>
    <w:rsid w:val="00396AA6"/>
    <w:rsid w:val="00397574"/>
    <w:rsid w:val="00397702"/>
    <w:rsid w:val="00397DDC"/>
    <w:rsid w:val="003A02DA"/>
    <w:rsid w:val="003A1D0D"/>
    <w:rsid w:val="003A2265"/>
    <w:rsid w:val="003A2475"/>
    <w:rsid w:val="003A276E"/>
    <w:rsid w:val="003A293B"/>
    <w:rsid w:val="003A32B3"/>
    <w:rsid w:val="003A3BCF"/>
    <w:rsid w:val="003A47C3"/>
    <w:rsid w:val="003A509A"/>
    <w:rsid w:val="003A538D"/>
    <w:rsid w:val="003A5AFD"/>
    <w:rsid w:val="003A764A"/>
    <w:rsid w:val="003A7D4A"/>
    <w:rsid w:val="003B0223"/>
    <w:rsid w:val="003B0A1F"/>
    <w:rsid w:val="003B0C3E"/>
    <w:rsid w:val="003B0C78"/>
    <w:rsid w:val="003B1D85"/>
    <w:rsid w:val="003B2275"/>
    <w:rsid w:val="003B2455"/>
    <w:rsid w:val="003B28AF"/>
    <w:rsid w:val="003B29A0"/>
    <w:rsid w:val="003B3665"/>
    <w:rsid w:val="003B39A0"/>
    <w:rsid w:val="003B4F5F"/>
    <w:rsid w:val="003B54C9"/>
    <w:rsid w:val="003B60BD"/>
    <w:rsid w:val="003B66BC"/>
    <w:rsid w:val="003B6740"/>
    <w:rsid w:val="003C052D"/>
    <w:rsid w:val="003C10FF"/>
    <w:rsid w:val="003C2F14"/>
    <w:rsid w:val="003C326E"/>
    <w:rsid w:val="003C435E"/>
    <w:rsid w:val="003C4CAF"/>
    <w:rsid w:val="003C4EAF"/>
    <w:rsid w:val="003C52C0"/>
    <w:rsid w:val="003C6201"/>
    <w:rsid w:val="003C77AA"/>
    <w:rsid w:val="003D0536"/>
    <w:rsid w:val="003D0F71"/>
    <w:rsid w:val="003D3C9E"/>
    <w:rsid w:val="003D46C1"/>
    <w:rsid w:val="003D4EE5"/>
    <w:rsid w:val="003D51CA"/>
    <w:rsid w:val="003D5C0A"/>
    <w:rsid w:val="003D5FE6"/>
    <w:rsid w:val="003D73C8"/>
    <w:rsid w:val="003D7940"/>
    <w:rsid w:val="003E1C5E"/>
    <w:rsid w:val="003E2AD3"/>
    <w:rsid w:val="003E3637"/>
    <w:rsid w:val="003E3A8B"/>
    <w:rsid w:val="003E3F5B"/>
    <w:rsid w:val="003E43E0"/>
    <w:rsid w:val="003E4656"/>
    <w:rsid w:val="003E4B5E"/>
    <w:rsid w:val="003E511B"/>
    <w:rsid w:val="003E52CD"/>
    <w:rsid w:val="003E642B"/>
    <w:rsid w:val="003E7D09"/>
    <w:rsid w:val="003F0255"/>
    <w:rsid w:val="003F0E2D"/>
    <w:rsid w:val="003F1377"/>
    <w:rsid w:val="003F17C5"/>
    <w:rsid w:val="003F29FF"/>
    <w:rsid w:val="003F2D22"/>
    <w:rsid w:val="003F30FA"/>
    <w:rsid w:val="003F3335"/>
    <w:rsid w:val="003F36A3"/>
    <w:rsid w:val="003F43D8"/>
    <w:rsid w:val="003F48D3"/>
    <w:rsid w:val="003F566D"/>
    <w:rsid w:val="003F5DF8"/>
    <w:rsid w:val="003F61DF"/>
    <w:rsid w:val="003F6AB8"/>
    <w:rsid w:val="003F75A3"/>
    <w:rsid w:val="003F775A"/>
    <w:rsid w:val="00400A8E"/>
    <w:rsid w:val="00401011"/>
    <w:rsid w:val="00401547"/>
    <w:rsid w:val="00401F78"/>
    <w:rsid w:val="004023A4"/>
    <w:rsid w:val="00402C59"/>
    <w:rsid w:val="00402F20"/>
    <w:rsid w:val="00403D6D"/>
    <w:rsid w:val="00404174"/>
    <w:rsid w:val="0040417F"/>
    <w:rsid w:val="0040451E"/>
    <w:rsid w:val="004047FD"/>
    <w:rsid w:val="00405FC9"/>
    <w:rsid w:val="00406063"/>
    <w:rsid w:val="00406B9C"/>
    <w:rsid w:val="004071B8"/>
    <w:rsid w:val="00407871"/>
    <w:rsid w:val="00407F17"/>
    <w:rsid w:val="004123EA"/>
    <w:rsid w:val="00415BF3"/>
    <w:rsid w:val="0041603B"/>
    <w:rsid w:val="0041686B"/>
    <w:rsid w:val="004203F0"/>
    <w:rsid w:val="00421C1E"/>
    <w:rsid w:val="00421CE7"/>
    <w:rsid w:val="00422520"/>
    <w:rsid w:val="00422942"/>
    <w:rsid w:val="00423856"/>
    <w:rsid w:val="00423939"/>
    <w:rsid w:val="00423A3D"/>
    <w:rsid w:val="00423D40"/>
    <w:rsid w:val="00423FA5"/>
    <w:rsid w:val="00425075"/>
    <w:rsid w:val="0042514E"/>
    <w:rsid w:val="00426863"/>
    <w:rsid w:val="00426B2B"/>
    <w:rsid w:val="00427479"/>
    <w:rsid w:val="00427C51"/>
    <w:rsid w:val="00430C66"/>
    <w:rsid w:val="004314AA"/>
    <w:rsid w:val="004324D2"/>
    <w:rsid w:val="004329E7"/>
    <w:rsid w:val="00432E51"/>
    <w:rsid w:val="0043338F"/>
    <w:rsid w:val="0043345D"/>
    <w:rsid w:val="004344B1"/>
    <w:rsid w:val="0043626C"/>
    <w:rsid w:val="00436E42"/>
    <w:rsid w:val="004372B9"/>
    <w:rsid w:val="004372CA"/>
    <w:rsid w:val="0043739F"/>
    <w:rsid w:val="0043787B"/>
    <w:rsid w:val="00437EDF"/>
    <w:rsid w:val="00440150"/>
    <w:rsid w:val="00440DAA"/>
    <w:rsid w:val="00440DC2"/>
    <w:rsid w:val="004410CA"/>
    <w:rsid w:val="00441B68"/>
    <w:rsid w:val="00441F8B"/>
    <w:rsid w:val="00442195"/>
    <w:rsid w:val="00442204"/>
    <w:rsid w:val="00442638"/>
    <w:rsid w:val="00442B71"/>
    <w:rsid w:val="004451B0"/>
    <w:rsid w:val="00445249"/>
    <w:rsid w:val="00445944"/>
    <w:rsid w:val="0045286E"/>
    <w:rsid w:val="00453F2B"/>
    <w:rsid w:val="00454159"/>
    <w:rsid w:val="00457B02"/>
    <w:rsid w:val="00461331"/>
    <w:rsid w:val="0046142A"/>
    <w:rsid w:val="0046232B"/>
    <w:rsid w:val="00462FA6"/>
    <w:rsid w:val="00463D66"/>
    <w:rsid w:val="004643BA"/>
    <w:rsid w:val="0046493F"/>
    <w:rsid w:val="004653ED"/>
    <w:rsid w:val="0046583C"/>
    <w:rsid w:val="00465D43"/>
    <w:rsid w:val="004711EA"/>
    <w:rsid w:val="0047127A"/>
    <w:rsid w:val="0047194A"/>
    <w:rsid w:val="00471C3A"/>
    <w:rsid w:val="00471F80"/>
    <w:rsid w:val="00472F50"/>
    <w:rsid w:val="0047373E"/>
    <w:rsid w:val="00473EFD"/>
    <w:rsid w:val="004747EB"/>
    <w:rsid w:val="004751FB"/>
    <w:rsid w:val="004754A5"/>
    <w:rsid w:val="0047570D"/>
    <w:rsid w:val="004802F2"/>
    <w:rsid w:val="00480DE0"/>
    <w:rsid w:val="00483483"/>
    <w:rsid w:val="00483731"/>
    <w:rsid w:val="00487ACB"/>
    <w:rsid w:val="00487B06"/>
    <w:rsid w:val="00492444"/>
    <w:rsid w:val="00492D73"/>
    <w:rsid w:val="00494200"/>
    <w:rsid w:val="0049509F"/>
    <w:rsid w:val="0049526F"/>
    <w:rsid w:val="0049531F"/>
    <w:rsid w:val="004953CB"/>
    <w:rsid w:val="00496051"/>
    <w:rsid w:val="004963C9"/>
    <w:rsid w:val="00496708"/>
    <w:rsid w:val="004977D7"/>
    <w:rsid w:val="004A113A"/>
    <w:rsid w:val="004A130E"/>
    <w:rsid w:val="004A1355"/>
    <w:rsid w:val="004A39F1"/>
    <w:rsid w:val="004A42F2"/>
    <w:rsid w:val="004A444B"/>
    <w:rsid w:val="004A4570"/>
    <w:rsid w:val="004A4760"/>
    <w:rsid w:val="004A51BB"/>
    <w:rsid w:val="004A6AD9"/>
    <w:rsid w:val="004B00A7"/>
    <w:rsid w:val="004B0C49"/>
    <w:rsid w:val="004B0C7E"/>
    <w:rsid w:val="004B1314"/>
    <w:rsid w:val="004B173D"/>
    <w:rsid w:val="004B252B"/>
    <w:rsid w:val="004B357E"/>
    <w:rsid w:val="004B38B5"/>
    <w:rsid w:val="004B4169"/>
    <w:rsid w:val="004B4BE8"/>
    <w:rsid w:val="004B64FF"/>
    <w:rsid w:val="004B655E"/>
    <w:rsid w:val="004B6A38"/>
    <w:rsid w:val="004B75C4"/>
    <w:rsid w:val="004B7EF7"/>
    <w:rsid w:val="004C0B5B"/>
    <w:rsid w:val="004C0D21"/>
    <w:rsid w:val="004C12F4"/>
    <w:rsid w:val="004C13EC"/>
    <w:rsid w:val="004C1776"/>
    <w:rsid w:val="004C28D9"/>
    <w:rsid w:val="004C37B7"/>
    <w:rsid w:val="004C3C63"/>
    <w:rsid w:val="004C4348"/>
    <w:rsid w:val="004C4AD4"/>
    <w:rsid w:val="004C4C11"/>
    <w:rsid w:val="004C4F99"/>
    <w:rsid w:val="004C5433"/>
    <w:rsid w:val="004C5499"/>
    <w:rsid w:val="004C598A"/>
    <w:rsid w:val="004C5F10"/>
    <w:rsid w:val="004C773F"/>
    <w:rsid w:val="004D05F1"/>
    <w:rsid w:val="004D1004"/>
    <w:rsid w:val="004D1215"/>
    <w:rsid w:val="004D1368"/>
    <w:rsid w:val="004D1A95"/>
    <w:rsid w:val="004D275C"/>
    <w:rsid w:val="004D2BDC"/>
    <w:rsid w:val="004D30AE"/>
    <w:rsid w:val="004D316B"/>
    <w:rsid w:val="004D352E"/>
    <w:rsid w:val="004D4AD6"/>
    <w:rsid w:val="004D4C46"/>
    <w:rsid w:val="004D6615"/>
    <w:rsid w:val="004D6654"/>
    <w:rsid w:val="004D6E38"/>
    <w:rsid w:val="004D7716"/>
    <w:rsid w:val="004D78A3"/>
    <w:rsid w:val="004E3793"/>
    <w:rsid w:val="004E4384"/>
    <w:rsid w:val="004E4FC7"/>
    <w:rsid w:val="004E5502"/>
    <w:rsid w:val="004E5E33"/>
    <w:rsid w:val="004E6376"/>
    <w:rsid w:val="004E6937"/>
    <w:rsid w:val="004E7809"/>
    <w:rsid w:val="004E7E14"/>
    <w:rsid w:val="004F06F9"/>
    <w:rsid w:val="004F0B3F"/>
    <w:rsid w:val="004F1291"/>
    <w:rsid w:val="004F1489"/>
    <w:rsid w:val="004F2469"/>
    <w:rsid w:val="004F2D94"/>
    <w:rsid w:val="004F4E6D"/>
    <w:rsid w:val="004F58B9"/>
    <w:rsid w:val="004F5A22"/>
    <w:rsid w:val="004F6802"/>
    <w:rsid w:val="004F6C6D"/>
    <w:rsid w:val="004F73E6"/>
    <w:rsid w:val="004F7DF8"/>
    <w:rsid w:val="00500938"/>
    <w:rsid w:val="00500F2C"/>
    <w:rsid w:val="00501000"/>
    <w:rsid w:val="005019F2"/>
    <w:rsid w:val="00502738"/>
    <w:rsid w:val="00502778"/>
    <w:rsid w:val="005027CE"/>
    <w:rsid w:val="00503D3F"/>
    <w:rsid w:val="00504DF0"/>
    <w:rsid w:val="005067E4"/>
    <w:rsid w:val="00507B1A"/>
    <w:rsid w:val="005104A7"/>
    <w:rsid w:val="0051060E"/>
    <w:rsid w:val="00510B51"/>
    <w:rsid w:val="00511845"/>
    <w:rsid w:val="00511B85"/>
    <w:rsid w:val="00511FE6"/>
    <w:rsid w:val="00512653"/>
    <w:rsid w:val="0051365F"/>
    <w:rsid w:val="00514923"/>
    <w:rsid w:val="0051724D"/>
    <w:rsid w:val="00520130"/>
    <w:rsid w:val="005206C8"/>
    <w:rsid w:val="00520D2F"/>
    <w:rsid w:val="005217C8"/>
    <w:rsid w:val="00521915"/>
    <w:rsid w:val="00521ECD"/>
    <w:rsid w:val="0052425A"/>
    <w:rsid w:val="00524E25"/>
    <w:rsid w:val="00525EA1"/>
    <w:rsid w:val="00525F27"/>
    <w:rsid w:val="005262A0"/>
    <w:rsid w:val="00527086"/>
    <w:rsid w:val="0053038C"/>
    <w:rsid w:val="0053039D"/>
    <w:rsid w:val="0053040E"/>
    <w:rsid w:val="005313A6"/>
    <w:rsid w:val="00531650"/>
    <w:rsid w:val="00531705"/>
    <w:rsid w:val="00533D6F"/>
    <w:rsid w:val="00534E19"/>
    <w:rsid w:val="00535A90"/>
    <w:rsid w:val="005373AA"/>
    <w:rsid w:val="00537756"/>
    <w:rsid w:val="005400A7"/>
    <w:rsid w:val="00540B7E"/>
    <w:rsid w:val="005414FC"/>
    <w:rsid w:val="00541B89"/>
    <w:rsid w:val="005429E6"/>
    <w:rsid w:val="005430D8"/>
    <w:rsid w:val="00543403"/>
    <w:rsid w:val="00543D7B"/>
    <w:rsid w:val="00546F17"/>
    <w:rsid w:val="00546FE9"/>
    <w:rsid w:val="00547471"/>
    <w:rsid w:val="005508BD"/>
    <w:rsid w:val="00551268"/>
    <w:rsid w:val="005519E5"/>
    <w:rsid w:val="0055278C"/>
    <w:rsid w:val="00552D15"/>
    <w:rsid w:val="00553308"/>
    <w:rsid w:val="00554122"/>
    <w:rsid w:val="00554606"/>
    <w:rsid w:val="00554717"/>
    <w:rsid w:val="00554E0C"/>
    <w:rsid w:val="00556ED0"/>
    <w:rsid w:val="00557349"/>
    <w:rsid w:val="00557D50"/>
    <w:rsid w:val="00560324"/>
    <w:rsid w:val="00560741"/>
    <w:rsid w:val="0056075F"/>
    <w:rsid w:val="0056090E"/>
    <w:rsid w:val="00561455"/>
    <w:rsid w:val="00561651"/>
    <w:rsid w:val="00561F59"/>
    <w:rsid w:val="005621B2"/>
    <w:rsid w:val="00562730"/>
    <w:rsid w:val="00563105"/>
    <w:rsid w:val="0056415B"/>
    <w:rsid w:val="005649FF"/>
    <w:rsid w:val="00564CED"/>
    <w:rsid w:val="00564D05"/>
    <w:rsid w:val="005655DE"/>
    <w:rsid w:val="00565AFD"/>
    <w:rsid w:val="00565EF8"/>
    <w:rsid w:val="00566CAD"/>
    <w:rsid w:val="00566D6A"/>
    <w:rsid w:val="00566FB2"/>
    <w:rsid w:val="00571F23"/>
    <w:rsid w:val="0057201E"/>
    <w:rsid w:val="0057211B"/>
    <w:rsid w:val="005724F1"/>
    <w:rsid w:val="005732F6"/>
    <w:rsid w:val="005734EE"/>
    <w:rsid w:val="00574224"/>
    <w:rsid w:val="00575D6A"/>
    <w:rsid w:val="005760C0"/>
    <w:rsid w:val="00576848"/>
    <w:rsid w:val="00576DFD"/>
    <w:rsid w:val="00577481"/>
    <w:rsid w:val="00580EA6"/>
    <w:rsid w:val="005820F8"/>
    <w:rsid w:val="00582898"/>
    <w:rsid w:val="00582D1E"/>
    <w:rsid w:val="00582F13"/>
    <w:rsid w:val="00583200"/>
    <w:rsid w:val="00583791"/>
    <w:rsid w:val="0058683A"/>
    <w:rsid w:val="00590C0C"/>
    <w:rsid w:val="00590CB7"/>
    <w:rsid w:val="00590F5F"/>
    <w:rsid w:val="005910FC"/>
    <w:rsid w:val="00593C9D"/>
    <w:rsid w:val="00594223"/>
    <w:rsid w:val="00594B3B"/>
    <w:rsid w:val="00595592"/>
    <w:rsid w:val="00595F7A"/>
    <w:rsid w:val="005977CA"/>
    <w:rsid w:val="005A0112"/>
    <w:rsid w:val="005A0C0D"/>
    <w:rsid w:val="005A1062"/>
    <w:rsid w:val="005A193B"/>
    <w:rsid w:val="005A26B1"/>
    <w:rsid w:val="005A3B6D"/>
    <w:rsid w:val="005A3DBF"/>
    <w:rsid w:val="005A506F"/>
    <w:rsid w:val="005A5070"/>
    <w:rsid w:val="005A6601"/>
    <w:rsid w:val="005A671A"/>
    <w:rsid w:val="005A686A"/>
    <w:rsid w:val="005A6AC6"/>
    <w:rsid w:val="005A7177"/>
    <w:rsid w:val="005A780A"/>
    <w:rsid w:val="005B0254"/>
    <w:rsid w:val="005B0B11"/>
    <w:rsid w:val="005B1908"/>
    <w:rsid w:val="005B21A6"/>
    <w:rsid w:val="005B2A55"/>
    <w:rsid w:val="005B2B8E"/>
    <w:rsid w:val="005B2FA6"/>
    <w:rsid w:val="005B31AB"/>
    <w:rsid w:val="005B365C"/>
    <w:rsid w:val="005B3C5C"/>
    <w:rsid w:val="005B4075"/>
    <w:rsid w:val="005B410D"/>
    <w:rsid w:val="005B5009"/>
    <w:rsid w:val="005B50F7"/>
    <w:rsid w:val="005B51F5"/>
    <w:rsid w:val="005B5427"/>
    <w:rsid w:val="005B5462"/>
    <w:rsid w:val="005B5C40"/>
    <w:rsid w:val="005B5EAA"/>
    <w:rsid w:val="005B793D"/>
    <w:rsid w:val="005B79B8"/>
    <w:rsid w:val="005B7DFC"/>
    <w:rsid w:val="005C01BC"/>
    <w:rsid w:val="005C053B"/>
    <w:rsid w:val="005C0EE3"/>
    <w:rsid w:val="005C0F22"/>
    <w:rsid w:val="005C15B9"/>
    <w:rsid w:val="005C1B55"/>
    <w:rsid w:val="005C3E2B"/>
    <w:rsid w:val="005C3EE5"/>
    <w:rsid w:val="005C4B05"/>
    <w:rsid w:val="005C4B40"/>
    <w:rsid w:val="005C4CAD"/>
    <w:rsid w:val="005C4E36"/>
    <w:rsid w:val="005C75F2"/>
    <w:rsid w:val="005D046A"/>
    <w:rsid w:val="005D05C6"/>
    <w:rsid w:val="005D0D85"/>
    <w:rsid w:val="005D16BD"/>
    <w:rsid w:val="005D25D2"/>
    <w:rsid w:val="005D298B"/>
    <w:rsid w:val="005D5080"/>
    <w:rsid w:val="005D51CE"/>
    <w:rsid w:val="005D544B"/>
    <w:rsid w:val="005D59E8"/>
    <w:rsid w:val="005D5BEB"/>
    <w:rsid w:val="005D67AE"/>
    <w:rsid w:val="005D67DC"/>
    <w:rsid w:val="005D6C76"/>
    <w:rsid w:val="005D735E"/>
    <w:rsid w:val="005E0804"/>
    <w:rsid w:val="005E0D02"/>
    <w:rsid w:val="005E14F8"/>
    <w:rsid w:val="005E16C2"/>
    <w:rsid w:val="005E1AA9"/>
    <w:rsid w:val="005E1B3A"/>
    <w:rsid w:val="005E2069"/>
    <w:rsid w:val="005E268D"/>
    <w:rsid w:val="005E3777"/>
    <w:rsid w:val="005E3857"/>
    <w:rsid w:val="005E39DF"/>
    <w:rsid w:val="005E4C4A"/>
    <w:rsid w:val="005E4E84"/>
    <w:rsid w:val="005E512B"/>
    <w:rsid w:val="005E6305"/>
    <w:rsid w:val="005E6341"/>
    <w:rsid w:val="005E6C15"/>
    <w:rsid w:val="005E6C39"/>
    <w:rsid w:val="005E6C53"/>
    <w:rsid w:val="005E7331"/>
    <w:rsid w:val="005F09F8"/>
    <w:rsid w:val="005F0A93"/>
    <w:rsid w:val="005F2608"/>
    <w:rsid w:val="005F279D"/>
    <w:rsid w:val="005F31F1"/>
    <w:rsid w:val="005F3412"/>
    <w:rsid w:val="005F3428"/>
    <w:rsid w:val="005F442D"/>
    <w:rsid w:val="005F4C51"/>
    <w:rsid w:val="005F5026"/>
    <w:rsid w:val="005F5E1E"/>
    <w:rsid w:val="005F695F"/>
    <w:rsid w:val="005F7374"/>
    <w:rsid w:val="005F73FA"/>
    <w:rsid w:val="005F7E90"/>
    <w:rsid w:val="00601BE1"/>
    <w:rsid w:val="00601FCB"/>
    <w:rsid w:val="006028D3"/>
    <w:rsid w:val="0060298C"/>
    <w:rsid w:val="00603C3D"/>
    <w:rsid w:val="00604532"/>
    <w:rsid w:val="00604964"/>
    <w:rsid w:val="00604A69"/>
    <w:rsid w:val="00606E65"/>
    <w:rsid w:val="00607035"/>
    <w:rsid w:val="00607382"/>
    <w:rsid w:val="00607491"/>
    <w:rsid w:val="006077B5"/>
    <w:rsid w:val="00607835"/>
    <w:rsid w:val="00607B12"/>
    <w:rsid w:val="00607B9B"/>
    <w:rsid w:val="0061019F"/>
    <w:rsid w:val="00610A9F"/>
    <w:rsid w:val="0061172E"/>
    <w:rsid w:val="0061352A"/>
    <w:rsid w:val="00614F2C"/>
    <w:rsid w:val="0061734A"/>
    <w:rsid w:val="00617A8D"/>
    <w:rsid w:val="0062357E"/>
    <w:rsid w:val="006238AB"/>
    <w:rsid w:val="00623C01"/>
    <w:rsid w:val="0062401A"/>
    <w:rsid w:val="006241F8"/>
    <w:rsid w:val="00624605"/>
    <w:rsid w:val="00625169"/>
    <w:rsid w:val="0062555A"/>
    <w:rsid w:val="00625877"/>
    <w:rsid w:val="00626EBF"/>
    <w:rsid w:val="006270C7"/>
    <w:rsid w:val="00630912"/>
    <w:rsid w:val="0063092B"/>
    <w:rsid w:val="00631017"/>
    <w:rsid w:val="00631DE7"/>
    <w:rsid w:val="00631EFE"/>
    <w:rsid w:val="00632840"/>
    <w:rsid w:val="00632A3E"/>
    <w:rsid w:val="00632CE9"/>
    <w:rsid w:val="00632DB8"/>
    <w:rsid w:val="0063456B"/>
    <w:rsid w:val="006346EA"/>
    <w:rsid w:val="00637249"/>
    <w:rsid w:val="00637CBA"/>
    <w:rsid w:val="00637EB7"/>
    <w:rsid w:val="006409ED"/>
    <w:rsid w:val="00640DDA"/>
    <w:rsid w:val="0064175C"/>
    <w:rsid w:val="00641BA3"/>
    <w:rsid w:val="0064228F"/>
    <w:rsid w:val="006426FB"/>
    <w:rsid w:val="00643AA5"/>
    <w:rsid w:val="00643E9D"/>
    <w:rsid w:val="00644936"/>
    <w:rsid w:val="00644B5C"/>
    <w:rsid w:val="0064734E"/>
    <w:rsid w:val="006515BF"/>
    <w:rsid w:val="00651C26"/>
    <w:rsid w:val="0065261A"/>
    <w:rsid w:val="00653857"/>
    <w:rsid w:val="006538C5"/>
    <w:rsid w:val="0065413A"/>
    <w:rsid w:val="00654A14"/>
    <w:rsid w:val="006558CF"/>
    <w:rsid w:val="00655BA7"/>
    <w:rsid w:val="00656B1D"/>
    <w:rsid w:val="006570BC"/>
    <w:rsid w:val="0066136E"/>
    <w:rsid w:val="006613D6"/>
    <w:rsid w:val="0066174E"/>
    <w:rsid w:val="00661EE0"/>
    <w:rsid w:val="0066298B"/>
    <w:rsid w:val="006629C8"/>
    <w:rsid w:val="006629E7"/>
    <w:rsid w:val="0066449A"/>
    <w:rsid w:val="006657FC"/>
    <w:rsid w:val="006662D9"/>
    <w:rsid w:val="00666F61"/>
    <w:rsid w:val="006678F8"/>
    <w:rsid w:val="00667D2A"/>
    <w:rsid w:val="00671265"/>
    <w:rsid w:val="00671846"/>
    <w:rsid w:val="00672648"/>
    <w:rsid w:val="00673176"/>
    <w:rsid w:val="006746F0"/>
    <w:rsid w:val="00674931"/>
    <w:rsid w:val="00674AFC"/>
    <w:rsid w:val="00675F24"/>
    <w:rsid w:val="00676B5E"/>
    <w:rsid w:val="006771BC"/>
    <w:rsid w:val="006774F9"/>
    <w:rsid w:val="0068112A"/>
    <w:rsid w:val="00681AAE"/>
    <w:rsid w:val="0068304A"/>
    <w:rsid w:val="00683752"/>
    <w:rsid w:val="0068402F"/>
    <w:rsid w:val="00684286"/>
    <w:rsid w:val="0068697A"/>
    <w:rsid w:val="00687CFD"/>
    <w:rsid w:val="0069089F"/>
    <w:rsid w:val="006910BA"/>
    <w:rsid w:val="00691E6A"/>
    <w:rsid w:val="006929DC"/>
    <w:rsid w:val="00692EEC"/>
    <w:rsid w:val="00693D81"/>
    <w:rsid w:val="00694931"/>
    <w:rsid w:val="0069639E"/>
    <w:rsid w:val="006A09CB"/>
    <w:rsid w:val="006A0A47"/>
    <w:rsid w:val="006A0CA2"/>
    <w:rsid w:val="006A1171"/>
    <w:rsid w:val="006A1D4C"/>
    <w:rsid w:val="006A22F0"/>
    <w:rsid w:val="006A2561"/>
    <w:rsid w:val="006A2BF5"/>
    <w:rsid w:val="006A365D"/>
    <w:rsid w:val="006A3C0C"/>
    <w:rsid w:val="006A43BE"/>
    <w:rsid w:val="006A483D"/>
    <w:rsid w:val="006A56CA"/>
    <w:rsid w:val="006A57D8"/>
    <w:rsid w:val="006A5918"/>
    <w:rsid w:val="006A603B"/>
    <w:rsid w:val="006A62BC"/>
    <w:rsid w:val="006A6830"/>
    <w:rsid w:val="006A729D"/>
    <w:rsid w:val="006A7473"/>
    <w:rsid w:val="006A796C"/>
    <w:rsid w:val="006A7B95"/>
    <w:rsid w:val="006B00A0"/>
    <w:rsid w:val="006B07D0"/>
    <w:rsid w:val="006B0D12"/>
    <w:rsid w:val="006B117D"/>
    <w:rsid w:val="006B197A"/>
    <w:rsid w:val="006B1BF5"/>
    <w:rsid w:val="006B1E11"/>
    <w:rsid w:val="006B2C81"/>
    <w:rsid w:val="006B3402"/>
    <w:rsid w:val="006B42B4"/>
    <w:rsid w:val="006B4403"/>
    <w:rsid w:val="006B4E89"/>
    <w:rsid w:val="006B67D7"/>
    <w:rsid w:val="006B6902"/>
    <w:rsid w:val="006B754A"/>
    <w:rsid w:val="006B7603"/>
    <w:rsid w:val="006C03AE"/>
    <w:rsid w:val="006C0677"/>
    <w:rsid w:val="006C0DBD"/>
    <w:rsid w:val="006C0FFB"/>
    <w:rsid w:val="006C2632"/>
    <w:rsid w:val="006C2A18"/>
    <w:rsid w:val="006C34E1"/>
    <w:rsid w:val="006C44FD"/>
    <w:rsid w:val="006C5703"/>
    <w:rsid w:val="006C670A"/>
    <w:rsid w:val="006C7406"/>
    <w:rsid w:val="006C780D"/>
    <w:rsid w:val="006D0190"/>
    <w:rsid w:val="006D08C4"/>
    <w:rsid w:val="006D0A75"/>
    <w:rsid w:val="006D0E5B"/>
    <w:rsid w:val="006D19F2"/>
    <w:rsid w:val="006D1A6F"/>
    <w:rsid w:val="006D22F3"/>
    <w:rsid w:val="006D2A32"/>
    <w:rsid w:val="006D2AFE"/>
    <w:rsid w:val="006D2EED"/>
    <w:rsid w:val="006D37C7"/>
    <w:rsid w:val="006D383C"/>
    <w:rsid w:val="006D3DD3"/>
    <w:rsid w:val="006D42E7"/>
    <w:rsid w:val="006D4795"/>
    <w:rsid w:val="006D4B23"/>
    <w:rsid w:val="006D560A"/>
    <w:rsid w:val="006D5699"/>
    <w:rsid w:val="006D58CF"/>
    <w:rsid w:val="006D6CC3"/>
    <w:rsid w:val="006D75D8"/>
    <w:rsid w:val="006D75E4"/>
    <w:rsid w:val="006E1465"/>
    <w:rsid w:val="006E1B2B"/>
    <w:rsid w:val="006E3791"/>
    <w:rsid w:val="006E4C5A"/>
    <w:rsid w:val="006E5213"/>
    <w:rsid w:val="006E54B9"/>
    <w:rsid w:val="006E6329"/>
    <w:rsid w:val="006E65A3"/>
    <w:rsid w:val="006E7F9D"/>
    <w:rsid w:val="006E7FB0"/>
    <w:rsid w:val="006F1CC9"/>
    <w:rsid w:val="006F1FAC"/>
    <w:rsid w:val="006F2FDF"/>
    <w:rsid w:val="006F3726"/>
    <w:rsid w:val="006F3A58"/>
    <w:rsid w:val="006F4173"/>
    <w:rsid w:val="006F41B9"/>
    <w:rsid w:val="006F5A15"/>
    <w:rsid w:val="006F71A2"/>
    <w:rsid w:val="006F74C0"/>
    <w:rsid w:val="006F783C"/>
    <w:rsid w:val="0070079F"/>
    <w:rsid w:val="00701837"/>
    <w:rsid w:val="00701A54"/>
    <w:rsid w:val="00702EA3"/>
    <w:rsid w:val="00703877"/>
    <w:rsid w:val="007039EB"/>
    <w:rsid w:val="00703DAA"/>
    <w:rsid w:val="00704316"/>
    <w:rsid w:val="00706745"/>
    <w:rsid w:val="007075E8"/>
    <w:rsid w:val="00707FBD"/>
    <w:rsid w:val="007100D2"/>
    <w:rsid w:val="007100ED"/>
    <w:rsid w:val="00710C46"/>
    <w:rsid w:val="00711047"/>
    <w:rsid w:val="007124FF"/>
    <w:rsid w:val="0071271E"/>
    <w:rsid w:val="00712958"/>
    <w:rsid w:val="00713409"/>
    <w:rsid w:val="007147EC"/>
    <w:rsid w:val="007148F6"/>
    <w:rsid w:val="00714FC6"/>
    <w:rsid w:val="007164AC"/>
    <w:rsid w:val="007176B4"/>
    <w:rsid w:val="007176F7"/>
    <w:rsid w:val="0071776A"/>
    <w:rsid w:val="00720304"/>
    <w:rsid w:val="00720311"/>
    <w:rsid w:val="0072063D"/>
    <w:rsid w:val="00720F60"/>
    <w:rsid w:val="00722335"/>
    <w:rsid w:val="0072329D"/>
    <w:rsid w:val="007251C2"/>
    <w:rsid w:val="007253C7"/>
    <w:rsid w:val="007266B3"/>
    <w:rsid w:val="00726D77"/>
    <w:rsid w:val="00727379"/>
    <w:rsid w:val="007304D5"/>
    <w:rsid w:val="0073109D"/>
    <w:rsid w:val="007323AA"/>
    <w:rsid w:val="00732CB8"/>
    <w:rsid w:val="0073494C"/>
    <w:rsid w:val="00736262"/>
    <w:rsid w:val="00736333"/>
    <w:rsid w:val="00736546"/>
    <w:rsid w:val="007372E0"/>
    <w:rsid w:val="00737FFB"/>
    <w:rsid w:val="007405A5"/>
    <w:rsid w:val="00740746"/>
    <w:rsid w:val="007408F4"/>
    <w:rsid w:val="007416B6"/>
    <w:rsid w:val="007416BA"/>
    <w:rsid w:val="00741C24"/>
    <w:rsid w:val="00745917"/>
    <w:rsid w:val="00745BBA"/>
    <w:rsid w:val="00746931"/>
    <w:rsid w:val="00746A7A"/>
    <w:rsid w:val="00746A7B"/>
    <w:rsid w:val="00747269"/>
    <w:rsid w:val="0075098D"/>
    <w:rsid w:val="00750DA9"/>
    <w:rsid w:val="00751CF5"/>
    <w:rsid w:val="007524FE"/>
    <w:rsid w:val="00753CD4"/>
    <w:rsid w:val="0075430F"/>
    <w:rsid w:val="00755040"/>
    <w:rsid w:val="0075520E"/>
    <w:rsid w:val="00755394"/>
    <w:rsid w:val="00755CA5"/>
    <w:rsid w:val="0075734A"/>
    <w:rsid w:val="0075756A"/>
    <w:rsid w:val="0075771D"/>
    <w:rsid w:val="0076057E"/>
    <w:rsid w:val="00760C9D"/>
    <w:rsid w:val="00760D84"/>
    <w:rsid w:val="00762258"/>
    <w:rsid w:val="00762644"/>
    <w:rsid w:val="007627D9"/>
    <w:rsid w:val="00762D56"/>
    <w:rsid w:val="007633E9"/>
    <w:rsid w:val="00763A76"/>
    <w:rsid w:val="0076424D"/>
    <w:rsid w:val="0076465C"/>
    <w:rsid w:val="0076476D"/>
    <w:rsid w:val="00764A4F"/>
    <w:rsid w:val="007653BB"/>
    <w:rsid w:val="00765449"/>
    <w:rsid w:val="007659EB"/>
    <w:rsid w:val="00766273"/>
    <w:rsid w:val="007671D5"/>
    <w:rsid w:val="00770626"/>
    <w:rsid w:val="00770EB2"/>
    <w:rsid w:val="00771011"/>
    <w:rsid w:val="0077123E"/>
    <w:rsid w:val="00771C5B"/>
    <w:rsid w:val="00772175"/>
    <w:rsid w:val="007721DF"/>
    <w:rsid w:val="00772274"/>
    <w:rsid w:val="00772513"/>
    <w:rsid w:val="00772BDE"/>
    <w:rsid w:val="00772FDB"/>
    <w:rsid w:val="00773E57"/>
    <w:rsid w:val="00774676"/>
    <w:rsid w:val="00774DD2"/>
    <w:rsid w:val="0077624F"/>
    <w:rsid w:val="00776F94"/>
    <w:rsid w:val="0078012B"/>
    <w:rsid w:val="00780BEE"/>
    <w:rsid w:val="00780D9F"/>
    <w:rsid w:val="0078173F"/>
    <w:rsid w:val="00781EDD"/>
    <w:rsid w:val="007833DB"/>
    <w:rsid w:val="00784A31"/>
    <w:rsid w:val="00785129"/>
    <w:rsid w:val="00786045"/>
    <w:rsid w:val="007870EE"/>
    <w:rsid w:val="00790913"/>
    <w:rsid w:val="00791648"/>
    <w:rsid w:val="00791C2B"/>
    <w:rsid w:val="007926E1"/>
    <w:rsid w:val="00793124"/>
    <w:rsid w:val="007935F3"/>
    <w:rsid w:val="0079489E"/>
    <w:rsid w:val="00794DCF"/>
    <w:rsid w:val="00796E32"/>
    <w:rsid w:val="00797317"/>
    <w:rsid w:val="00797968"/>
    <w:rsid w:val="007A144E"/>
    <w:rsid w:val="007A1671"/>
    <w:rsid w:val="007A2269"/>
    <w:rsid w:val="007A3569"/>
    <w:rsid w:val="007A41C5"/>
    <w:rsid w:val="007A4426"/>
    <w:rsid w:val="007A4AEA"/>
    <w:rsid w:val="007A5536"/>
    <w:rsid w:val="007B04CA"/>
    <w:rsid w:val="007B08C7"/>
    <w:rsid w:val="007B09AE"/>
    <w:rsid w:val="007B1F0E"/>
    <w:rsid w:val="007B2EAD"/>
    <w:rsid w:val="007B37C0"/>
    <w:rsid w:val="007B42E0"/>
    <w:rsid w:val="007B48C2"/>
    <w:rsid w:val="007B51C8"/>
    <w:rsid w:val="007B568E"/>
    <w:rsid w:val="007B680A"/>
    <w:rsid w:val="007B76A5"/>
    <w:rsid w:val="007C056C"/>
    <w:rsid w:val="007C150F"/>
    <w:rsid w:val="007C1B93"/>
    <w:rsid w:val="007C1C08"/>
    <w:rsid w:val="007C3552"/>
    <w:rsid w:val="007C3777"/>
    <w:rsid w:val="007C4076"/>
    <w:rsid w:val="007C4474"/>
    <w:rsid w:val="007C5E48"/>
    <w:rsid w:val="007C6A35"/>
    <w:rsid w:val="007C6F33"/>
    <w:rsid w:val="007C729E"/>
    <w:rsid w:val="007C7E51"/>
    <w:rsid w:val="007D051C"/>
    <w:rsid w:val="007D0F51"/>
    <w:rsid w:val="007D1BB2"/>
    <w:rsid w:val="007D2034"/>
    <w:rsid w:val="007D2EDC"/>
    <w:rsid w:val="007D3CF1"/>
    <w:rsid w:val="007D4B94"/>
    <w:rsid w:val="007D6547"/>
    <w:rsid w:val="007E08E7"/>
    <w:rsid w:val="007E0A1E"/>
    <w:rsid w:val="007E124D"/>
    <w:rsid w:val="007E1CC5"/>
    <w:rsid w:val="007E2831"/>
    <w:rsid w:val="007E3150"/>
    <w:rsid w:val="007E32F8"/>
    <w:rsid w:val="007E6227"/>
    <w:rsid w:val="007E66DA"/>
    <w:rsid w:val="007E6742"/>
    <w:rsid w:val="007E78B9"/>
    <w:rsid w:val="007E7E8F"/>
    <w:rsid w:val="007F0A98"/>
    <w:rsid w:val="007F0C06"/>
    <w:rsid w:val="007F18EE"/>
    <w:rsid w:val="007F32E0"/>
    <w:rsid w:val="007F40F0"/>
    <w:rsid w:val="007F4CA6"/>
    <w:rsid w:val="007F4FA1"/>
    <w:rsid w:val="007F5385"/>
    <w:rsid w:val="007F5F09"/>
    <w:rsid w:val="007F68DC"/>
    <w:rsid w:val="007F7BEB"/>
    <w:rsid w:val="007F7DC9"/>
    <w:rsid w:val="007F7E3B"/>
    <w:rsid w:val="00800225"/>
    <w:rsid w:val="00800328"/>
    <w:rsid w:val="00800D84"/>
    <w:rsid w:val="008011AE"/>
    <w:rsid w:val="00801D19"/>
    <w:rsid w:val="00802403"/>
    <w:rsid w:val="0080318A"/>
    <w:rsid w:val="00803453"/>
    <w:rsid w:val="0080362B"/>
    <w:rsid w:val="0080406E"/>
    <w:rsid w:val="008042E1"/>
    <w:rsid w:val="00804CAF"/>
    <w:rsid w:val="00805993"/>
    <w:rsid w:val="008059B1"/>
    <w:rsid w:val="00805B62"/>
    <w:rsid w:val="00806B10"/>
    <w:rsid w:val="0081342D"/>
    <w:rsid w:val="008137B9"/>
    <w:rsid w:val="00813CC4"/>
    <w:rsid w:val="0081468F"/>
    <w:rsid w:val="00814CC6"/>
    <w:rsid w:val="00814DD2"/>
    <w:rsid w:val="00815582"/>
    <w:rsid w:val="00816A7A"/>
    <w:rsid w:val="00817B91"/>
    <w:rsid w:val="0082094E"/>
    <w:rsid w:val="00820BD2"/>
    <w:rsid w:val="00820CD4"/>
    <w:rsid w:val="00822DC9"/>
    <w:rsid w:val="008232CF"/>
    <w:rsid w:val="008232FA"/>
    <w:rsid w:val="00823774"/>
    <w:rsid w:val="008240B7"/>
    <w:rsid w:val="0082449B"/>
    <w:rsid w:val="0082478E"/>
    <w:rsid w:val="00824AEF"/>
    <w:rsid w:val="00824ECB"/>
    <w:rsid w:val="00825118"/>
    <w:rsid w:val="00826133"/>
    <w:rsid w:val="008301A8"/>
    <w:rsid w:val="0083168B"/>
    <w:rsid w:val="00831965"/>
    <w:rsid w:val="00831BCF"/>
    <w:rsid w:val="008341D7"/>
    <w:rsid w:val="008349F1"/>
    <w:rsid w:val="0083564D"/>
    <w:rsid w:val="00835D25"/>
    <w:rsid w:val="00836422"/>
    <w:rsid w:val="00836BF9"/>
    <w:rsid w:val="0083713E"/>
    <w:rsid w:val="008378C1"/>
    <w:rsid w:val="00840704"/>
    <w:rsid w:val="00842DBA"/>
    <w:rsid w:val="00843253"/>
    <w:rsid w:val="0084352C"/>
    <w:rsid w:val="008435CA"/>
    <w:rsid w:val="00847EF0"/>
    <w:rsid w:val="00850E37"/>
    <w:rsid w:val="00851153"/>
    <w:rsid w:val="00852625"/>
    <w:rsid w:val="0085428A"/>
    <w:rsid w:val="00856A4F"/>
    <w:rsid w:val="008619FD"/>
    <w:rsid w:val="00862072"/>
    <w:rsid w:val="0086227E"/>
    <w:rsid w:val="0086262A"/>
    <w:rsid w:val="008629A0"/>
    <w:rsid w:val="00862B90"/>
    <w:rsid w:val="00862DBB"/>
    <w:rsid w:val="00863DD4"/>
    <w:rsid w:val="00864F13"/>
    <w:rsid w:val="00865C5B"/>
    <w:rsid w:val="00866FB8"/>
    <w:rsid w:val="0086787A"/>
    <w:rsid w:val="008708A1"/>
    <w:rsid w:val="00871B9D"/>
    <w:rsid w:val="008736EA"/>
    <w:rsid w:val="00874177"/>
    <w:rsid w:val="008742E0"/>
    <w:rsid w:val="008743D0"/>
    <w:rsid w:val="00874DBF"/>
    <w:rsid w:val="00874E50"/>
    <w:rsid w:val="00875022"/>
    <w:rsid w:val="008750AB"/>
    <w:rsid w:val="008774E5"/>
    <w:rsid w:val="00877695"/>
    <w:rsid w:val="00877B41"/>
    <w:rsid w:val="00877FCB"/>
    <w:rsid w:val="0088076C"/>
    <w:rsid w:val="00881792"/>
    <w:rsid w:val="00881849"/>
    <w:rsid w:val="008819C2"/>
    <w:rsid w:val="00881AFA"/>
    <w:rsid w:val="0088288E"/>
    <w:rsid w:val="00883E81"/>
    <w:rsid w:val="00885723"/>
    <w:rsid w:val="008910F7"/>
    <w:rsid w:val="0089250D"/>
    <w:rsid w:val="00892A4F"/>
    <w:rsid w:val="00892B1C"/>
    <w:rsid w:val="00892DBF"/>
    <w:rsid w:val="008959CA"/>
    <w:rsid w:val="00895DBB"/>
    <w:rsid w:val="008963C7"/>
    <w:rsid w:val="00896406"/>
    <w:rsid w:val="00897723"/>
    <w:rsid w:val="008977F0"/>
    <w:rsid w:val="00897935"/>
    <w:rsid w:val="008A00FE"/>
    <w:rsid w:val="008A0320"/>
    <w:rsid w:val="008A0541"/>
    <w:rsid w:val="008A09BE"/>
    <w:rsid w:val="008A1292"/>
    <w:rsid w:val="008A190E"/>
    <w:rsid w:val="008A2205"/>
    <w:rsid w:val="008A2917"/>
    <w:rsid w:val="008A3587"/>
    <w:rsid w:val="008A3FAF"/>
    <w:rsid w:val="008A4B5F"/>
    <w:rsid w:val="008A5362"/>
    <w:rsid w:val="008A621A"/>
    <w:rsid w:val="008A6FEB"/>
    <w:rsid w:val="008A7B8D"/>
    <w:rsid w:val="008A7C08"/>
    <w:rsid w:val="008B0439"/>
    <w:rsid w:val="008B0BCA"/>
    <w:rsid w:val="008B0CAF"/>
    <w:rsid w:val="008B27DE"/>
    <w:rsid w:val="008B2BA4"/>
    <w:rsid w:val="008B385D"/>
    <w:rsid w:val="008B5B33"/>
    <w:rsid w:val="008B62D5"/>
    <w:rsid w:val="008B6F2E"/>
    <w:rsid w:val="008B79DD"/>
    <w:rsid w:val="008B7FC7"/>
    <w:rsid w:val="008C0057"/>
    <w:rsid w:val="008C017C"/>
    <w:rsid w:val="008C0C55"/>
    <w:rsid w:val="008C11C0"/>
    <w:rsid w:val="008C261B"/>
    <w:rsid w:val="008C2884"/>
    <w:rsid w:val="008C3DE2"/>
    <w:rsid w:val="008C42DD"/>
    <w:rsid w:val="008C4C0B"/>
    <w:rsid w:val="008C4E80"/>
    <w:rsid w:val="008C5484"/>
    <w:rsid w:val="008C56B4"/>
    <w:rsid w:val="008C6568"/>
    <w:rsid w:val="008C6CBD"/>
    <w:rsid w:val="008C6FA2"/>
    <w:rsid w:val="008D0415"/>
    <w:rsid w:val="008D07A0"/>
    <w:rsid w:val="008D0B60"/>
    <w:rsid w:val="008D0CE1"/>
    <w:rsid w:val="008D0CF1"/>
    <w:rsid w:val="008D102F"/>
    <w:rsid w:val="008D33E0"/>
    <w:rsid w:val="008D36BA"/>
    <w:rsid w:val="008D397B"/>
    <w:rsid w:val="008D40CD"/>
    <w:rsid w:val="008D4DFA"/>
    <w:rsid w:val="008D546F"/>
    <w:rsid w:val="008D5968"/>
    <w:rsid w:val="008D6AED"/>
    <w:rsid w:val="008E03AF"/>
    <w:rsid w:val="008E04BF"/>
    <w:rsid w:val="008E0940"/>
    <w:rsid w:val="008E2265"/>
    <w:rsid w:val="008E25B2"/>
    <w:rsid w:val="008E289F"/>
    <w:rsid w:val="008E28A9"/>
    <w:rsid w:val="008E2C05"/>
    <w:rsid w:val="008E302D"/>
    <w:rsid w:val="008E3576"/>
    <w:rsid w:val="008E3D96"/>
    <w:rsid w:val="008E42C5"/>
    <w:rsid w:val="008E474C"/>
    <w:rsid w:val="008E4F7E"/>
    <w:rsid w:val="008E50A3"/>
    <w:rsid w:val="008E513A"/>
    <w:rsid w:val="008E5B55"/>
    <w:rsid w:val="008E67B8"/>
    <w:rsid w:val="008F038E"/>
    <w:rsid w:val="008F0655"/>
    <w:rsid w:val="008F1082"/>
    <w:rsid w:val="008F14CC"/>
    <w:rsid w:val="008F18E3"/>
    <w:rsid w:val="008F19E5"/>
    <w:rsid w:val="008F2318"/>
    <w:rsid w:val="008F28D9"/>
    <w:rsid w:val="008F2CE9"/>
    <w:rsid w:val="008F373E"/>
    <w:rsid w:val="008F537A"/>
    <w:rsid w:val="008F6683"/>
    <w:rsid w:val="008F7204"/>
    <w:rsid w:val="008F7345"/>
    <w:rsid w:val="008F76B1"/>
    <w:rsid w:val="008F7D98"/>
    <w:rsid w:val="00900A36"/>
    <w:rsid w:val="009016FF"/>
    <w:rsid w:val="009023B3"/>
    <w:rsid w:val="009023EC"/>
    <w:rsid w:val="00902843"/>
    <w:rsid w:val="00902CCA"/>
    <w:rsid w:val="00903508"/>
    <w:rsid w:val="00903E3F"/>
    <w:rsid w:val="009042E3"/>
    <w:rsid w:val="0090439E"/>
    <w:rsid w:val="00905167"/>
    <w:rsid w:val="00905EF6"/>
    <w:rsid w:val="00906388"/>
    <w:rsid w:val="00906448"/>
    <w:rsid w:val="00906741"/>
    <w:rsid w:val="00906F53"/>
    <w:rsid w:val="0090700F"/>
    <w:rsid w:val="0090701F"/>
    <w:rsid w:val="00907C0D"/>
    <w:rsid w:val="00911965"/>
    <w:rsid w:val="009126C8"/>
    <w:rsid w:val="00913EE6"/>
    <w:rsid w:val="00914C40"/>
    <w:rsid w:val="00914F27"/>
    <w:rsid w:val="00915CE6"/>
    <w:rsid w:val="0091685E"/>
    <w:rsid w:val="00917467"/>
    <w:rsid w:val="0092121F"/>
    <w:rsid w:val="0092456E"/>
    <w:rsid w:val="00925ACA"/>
    <w:rsid w:val="00925B16"/>
    <w:rsid w:val="00926D2D"/>
    <w:rsid w:val="0093038B"/>
    <w:rsid w:val="00932132"/>
    <w:rsid w:val="00932342"/>
    <w:rsid w:val="009331AE"/>
    <w:rsid w:val="00933400"/>
    <w:rsid w:val="0093392F"/>
    <w:rsid w:val="00934112"/>
    <w:rsid w:val="009344A8"/>
    <w:rsid w:val="009356D7"/>
    <w:rsid w:val="0093592D"/>
    <w:rsid w:val="009361AD"/>
    <w:rsid w:val="009365F8"/>
    <w:rsid w:val="009366B2"/>
    <w:rsid w:val="00936EF9"/>
    <w:rsid w:val="009372E9"/>
    <w:rsid w:val="00937B4F"/>
    <w:rsid w:val="009400B9"/>
    <w:rsid w:val="0094145A"/>
    <w:rsid w:val="00941D52"/>
    <w:rsid w:val="009427DB"/>
    <w:rsid w:val="00942ECD"/>
    <w:rsid w:val="009438AA"/>
    <w:rsid w:val="00943C24"/>
    <w:rsid w:val="00944329"/>
    <w:rsid w:val="0094566B"/>
    <w:rsid w:val="00950934"/>
    <w:rsid w:val="009523DC"/>
    <w:rsid w:val="00953183"/>
    <w:rsid w:val="00953441"/>
    <w:rsid w:val="009544E9"/>
    <w:rsid w:val="009559EE"/>
    <w:rsid w:val="00955A2F"/>
    <w:rsid w:val="00955E50"/>
    <w:rsid w:val="00957296"/>
    <w:rsid w:val="00957943"/>
    <w:rsid w:val="009604AE"/>
    <w:rsid w:val="00960A4F"/>
    <w:rsid w:val="00963C8C"/>
    <w:rsid w:val="0096455C"/>
    <w:rsid w:val="0096682B"/>
    <w:rsid w:val="00966D71"/>
    <w:rsid w:val="00970990"/>
    <w:rsid w:val="00975263"/>
    <w:rsid w:val="009755AB"/>
    <w:rsid w:val="0097571A"/>
    <w:rsid w:val="00975DBB"/>
    <w:rsid w:val="009779B3"/>
    <w:rsid w:val="00977A84"/>
    <w:rsid w:val="00977E5D"/>
    <w:rsid w:val="00981304"/>
    <w:rsid w:val="0098167F"/>
    <w:rsid w:val="0098266F"/>
    <w:rsid w:val="00983482"/>
    <w:rsid w:val="009837B6"/>
    <w:rsid w:val="00984C35"/>
    <w:rsid w:val="00986265"/>
    <w:rsid w:val="0098704A"/>
    <w:rsid w:val="00987394"/>
    <w:rsid w:val="00991735"/>
    <w:rsid w:val="00991CAB"/>
    <w:rsid w:val="00991F8F"/>
    <w:rsid w:val="009922D5"/>
    <w:rsid w:val="00992585"/>
    <w:rsid w:val="00993146"/>
    <w:rsid w:val="00993830"/>
    <w:rsid w:val="00995379"/>
    <w:rsid w:val="0099588F"/>
    <w:rsid w:val="00995AA6"/>
    <w:rsid w:val="009963EB"/>
    <w:rsid w:val="0099675D"/>
    <w:rsid w:val="0099765B"/>
    <w:rsid w:val="00997860"/>
    <w:rsid w:val="00997AA1"/>
    <w:rsid w:val="009A1116"/>
    <w:rsid w:val="009A13E5"/>
    <w:rsid w:val="009A1776"/>
    <w:rsid w:val="009A2084"/>
    <w:rsid w:val="009A2D8C"/>
    <w:rsid w:val="009A4C86"/>
    <w:rsid w:val="009A541C"/>
    <w:rsid w:val="009A6410"/>
    <w:rsid w:val="009A699A"/>
    <w:rsid w:val="009A71CA"/>
    <w:rsid w:val="009A79E8"/>
    <w:rsid w:val="009A7BF1"/>
    <w:rsid w:val="009B076C"/>
    <w:rsid w:val="009B1278"/>
    <w:rsid w:val="009B258B"/>
    <w:rsid w:val="009B27BA"/>
    <w:rsid w:val="009B2CC9"/>
    <w:rsid w:val="009B3406"/>
    <w:rsid w:val="009B471A"/>
    <w:rsid w:val="009B551A"/>
    <w:rsid w:val="009B6B93"/>
    <w:rsid w:val="009C1524"/>
    <w:rsid w:val="009C18A1"/>
    <w:rsid w:val="009C1F2E"/>
    <w:rsid w:val="009C36B8"/>
    <w:rsid w:val="009C5BA0"/>
    <w:rsid w:val="009C5E12"/>
    <w:rsid w:val="009C6FFF"/>
    <w:rsid w:val="009D175C"/>
    <w:rsid w:val="009D2053"/>
    <w:rsid w:val="009D292A"/>
    <w:rsid w:val="009D3838"/>
    <w:rsid w:val="009D393B"/>
    <w:rsid w:val="009D5330"/>
    <w:rsid w:val="009D59D5"/>
    <w:rsid w:val="009D5B2A"/>
    <w:rsid w:val="009D6416"/>
    <w:rsid w:val="009D6C3E"/>
    <w:rsid w:val="009D706F"/>
    <w:rsid w:val="009D727F"/>
    <w:rsid w:val="009D785B"/>
    <w:rsid w:val="009D7966"/>
    <w:rsid w:val="009D7BD8"/>
    <w:rsid w:val="009E1301"/>
    <w:rsid w:val="009E1902"/>
    <w:rsid w:val="009E25E2"/>
    <w:rsid w:val="009E27B3"/>
    <w:rsid w:val="009E285D"/>
    <w:rsid w:val="009E3A1F"/>
    <w:rsid w:val="009E3C17"/>
    <w:rsid w:val="009E4A7D"/>
    <w:rsid w:val="009E4BAD"/>
    <w:rsid w:val="009E4FFF"/>
    <w:rsid w:val="009E528D"/>
    <w:rsid w:val="009E54D0"/>
    <w:rsid w:val="009E5843"/>
    <w:rsid w:val="009E6071"/>
    <w:rsid w:val="009E6545"/>
    <w:rsid w:val="009E66AF"/>
    <w:rsid w:val="009E756C"/>
    <w:rsid w:val="009E761B"/>
    <w:rsid w:val="009F046C"/>
    <w:rsid w:val="009F13FE"/>
    <w:rsid w:val="009F2816"/>
    <w:rsid w:val="009F43DC"/>
    <w:rsid w:val="009F4D56"/>
    <w:rsid w:val="009F5333"/>
    <w:rsid w:val="009F5415"/>
    <w:rsid w:val="009F563A"/>
    <w:rsid w:val="009F63CD"/>
    <w:rsid w:val="00A0012B"/>
    <w:rsid w:val="00A005E7"/>
    <w:rsid w:val="00A00937"/>
    <w:rsid w:val="00A01F8A"/>
    <w:rsid w:val="00A03192"/>
    <w:rsid w:val="00A0334A"/>
    <w:rsid w:val="00A034B8"/>
    <w:rsid w:val="00A0404A"/>
    <w:rsid w:val="00A054CA"/>
    <w:rsid w:val="00A055BF"/>
    <w:rsid w:val="00A064DE"/>
    <w:rsid w:val="00A07626"/>
    <w:rsid w:val="00A1113E"/>
    <w:rsid w:val="00A12935"/>
    <w:rsid w:val="00A12ACD"/>
    <w:rsid w:val="00A13958"/>
    <w:rsid w:val="00A14567"/>
    <w:rsid w:val="00A16B50"/>
    <w:rsid w:val="00A16F03"/>
    <w:rsid w:val="00A177D2"/>
    <w:rsid w:val="00A20697"/>
    <w:rsid w:val="00A21051"/>
    <w:rsid w:val="00A21CA5"/>
    <w:rsid w:val="00A21D19"/>
    <w:rsid w:val="00A21F8F"/>
    <w:rsid w:val="00A2285A"/>
    <w:rsid w:val="00A241DC"/>
    <w:rsid w:val="00A2512E"/>
    <w:rsid w:val="00A25510"/>
    <w:rsid w:val="00A25A88"/>
    <w:rsid w:val="00A274A7"/>
    <w:rsid w:val="00A27835"/>
    <w:rsid w:val="00A27DE9"/>
    <w:rsid w:val="00A307E7"/>
    <w:rsid w:val="00A33108"/>
    <w:rsid w:val="00A34CE1"/>
    <w:rsid w:val="00A3596F"/>
    <w:rsid w:val="00A367F5"/>
    <w:rsid w:val="00A36C85"/>
    <w:rsid w:val="00A37791"/>
    <w:rsid w:val="00A37A31"/>
    <w:rsid w:val="00A37CE7"/>
    <w:rsid w:val="00A405A9"/>
    <w:rsid w:val="00A4066A"/>
    <w:rsid w:val="00A40BA6"/>
    <w:rsid w:val="00A414A2"/>
    <w:rsid w:val="00A420EA"/>
    <w:rsid w:val="00A425DE"/>
    <w:rsid w:val="00A426D4"/>
    <w:rsid w:val="00A42C5D"/>
    <w:rsid w:val="00A42EFB"/>
    <w:rsid w:val="00A42FA3"/>
    <w:rsid w:val="00A431CE"/>
    <w:rsid w:val="00A43B2E"/>
    <w:rsid w:val="00A43CDF"/>
    <w:rsid w:val="00A43E41"/>
    <w:rsid w:val="00A44112"/>
    <w:rsid w:val="00A44302"/>
    <w:rsid w:val="00A44839"/>
    <w:rsid w:val="00A44EC8"/>
    <w:rsid w:val="00A45373"/>
    <w:rsid w:val="00A45C1A"/>
    <w:rsid w:val="00A4656E"/>
    <w:rsid w:val="00A478B7"/>
    <w:rsid w:val="00A508B1"/>
    <w:rsid w:val="00A50920"/>
    <w:rsid w:val="00A5240E"/>
    <w:rsid w:val="00A531F4"/>
    <w:rsid w:val="00A5385B"/>
    <w:rsid w:val="00A545FF"/>
    <w:rsid w:val="00A560AB"/>
    <w:rsid w:val="00A5652A"/>
    <w:rsid w:val="00A60190"/>
    <w:rsid w:val="00A6210D"/>
    <w:rsid w:val="00A62161"/>
    <w:rsid w:val="00A624B3"/>
    <w:rsid w:val="00A6262C"/>
    <w:rsid w:val="00A63360"/>
    <w:rsid w:val="00A63D59"/>
    <w:rsid w:val="00A655B3"/>
    <w:rsid w:val="00A66FF3"/>
    <w:rsid w:val="00A670CE"/>
    <w:rsid w:val="00A677A7"/>
    <w:rsid w:val="00A67CBB"/>
    <w:rsid w:val="00A7096E"/>
    <w:rsid w:val="00A710FC"/>
    <w:rsid w:val="00A713F6"/>
    <w:rsid w:val="00A7154F"/>
    <w:rsid w:val="00A71D97"/>
    <w:rsid w:val="00A724E6"/>
    <w:rsid w:val="00A72769"/>
    <w:rsid w:val="00A732F9"/>
    <w:rsid w:val="00A733EB"/>
    <w:rsid w:val="00A73BA4"/>
    <w:rsid w:val="00A745ED"/>
    <w:rsid w:val="00A77612"/>
    <w:rsid w:val="00A77BA0"/>
    <w:rsid w:val="00A801CF"/>
    <w:rsid w:val="00A82158"/>
    <w:rsid w:val="00A83261"/>
    <w:rsid w:val="00A8350F"/>
    <w:rsid w:val="00A83534"/>
    <w:rsid w:val="00A85A22"/>
    <w:rsid w:val="00A85D2B"/>
    <w:rsid w:val="00A86B99"/>
    <w:rsid w:val="00A87EF5"/>
    <w:rsid w:val="00A905EE"/>
    <w:rsid w:val="00A9202F"/>
    <w:rsid w:val="00A93AFD"/>
    <w:rsid w:val="00A9473A"/>
    <w:rsid w:val="00A95B71"/>
    <w:rsid w:val="00A963AB"/>
    <w:rsid w:val="00A97724"/>
    <w:rsid w:val="00AA04CD"/>
    <w:rsid w:val="00AA0D01"/>
    <w:rsid w:val="00AA1141"/>
    <w:rsid w:val="00AA11EE"/>
    <w:rsid w:val="00AA1287"/>
    <w:rsid w:val="00AA1D38"/>
    <w:rsid w:val="00AA21B5"/>
    <w:rsid w:val="00AA23AD"/>
    <w:rsid w:val="00AA2627"/>
    <w:rsid w:val="00AA2742"/>
    <w:rsid w:val="00AA3108"/>
    <w:rsid w:val="00AA51C6"/>
    <w:rsid w:val="00AA57F1"/>
    <w:rsid w:val="00AA6D22"/>
    <w:rsid w:val="00AA6E9B"/>
    <w:rsid w:val="00AA6EAC"/>
    <w:rsid w:val="00AA6F9B"/>
    <w:rsid w:val="00AB054D"/>
    <w:rsid w:val="00AB0D0C"/>
    <w:rsid w:val="00AB149C"/>
    <w:rsid w:val="00AB1562"/>
    <w:rsid w:val="00AB2AEC"/>
    <w:rsid w:val="00AB3A35"/>
    <w:rsid w:val="00AB3B42"/>
    <w:rsid w:val="00AB43B3"/>
    <w:rsid w:val="00AB495C"/>
    <w:rsid w:val="00AB6312"/>
    <w:rsid w:val="00AB7121"/>
    <w:rsid w:val="00AB7F13"/>
    <w:rsid w:val="00AC24DC"/>
    <w:rsid w:val="00AC3893"/>
    <w:rsid w:val="00AC3A75"/>
    <w:rsid w:val="00AC3AF2"/>
    <w:rsid w:val="00AC3B64"/>
    <w:rsid w:val="00AC4DE6"/>
    <w:rsid w:val="00AC502B"/>
    <w:rsid w:val="00AC5546"/>
    <w:rsid w:val="00AC58EC"/>
    <w:rsid w:val="00AC631C"/>
    <w:rsid w:val="00AC63FF"/>
    <w:rsid w:val="00AC6C81"/>
    <w:rsid w:val="00AD1034"/>
    <w:rsid w:val="00AD1DB4"/>
    <w:rsid w:val="00AD2028"/>
    <w:rsid w:val="00AD3309"/>
    <w:rsid w:val="00AD3691"/>
    <w:rsid w:val="00AD38A0"/>
    <w:rsid w:val="00AD440A"/>
    <w:rsid w:val="00AD4942"/>
    <w:rsid w:val="00AD65E7"/>
    <w:rsid w:val="00AD6C63"/>
    <w:rsid w:val="00AD7E9E"/>
    <w:rsid w:val="00AE078C"/>
    <w:rsid w:val="00AE0CC5"/>
    <w:rsid w:val="00AE28E5"/>
    <w:rsid w:val="00AE30CD"/>
    <w:rsid w:val="00AE398C"/>
    <w:rsid w:val="00AE4389"/>
    <w:rsid w:val="00AE45F8"/>
    <w:rsid w:val="00AE46CB"/>
    <w:rsid w:val="00AE74B0"/>
    <w:rsid w:val="00AE7587"/>
    <w:rsid w:val="00AF02E7"/>
    <w:rsid w:val="00AF0309"/>
    <w:rsid w:val="00AF06B4"/>
    <w:rsid w:val="00AF232D"/>
    <w:rsid w:val="00AF2767"/>
    <w:rsid w:val="00AF43DA"/>
    <w:rsid w:val="00AF4B52"/>
    <w:rsid w:val="00AF4D9D"/>
    <w:rsid w:val="00AF5282"/>
    <w:rsid w:val="00AF533F"/>
    <w:rsid w:val="00AF6F0A"/>
    <w:rsid w:val="00AF7CCA"/>
    <w:rsid w:val="00B00AFD"/>
    <w:rsid w:val="00B02233"/>
    <w:rsid w:val="00B0259D"/>
    <w:rsid w:val="00B03396"/>
    <w:rsid w:val="00B038AE"/>
    <w:rsid w:val="00B03903"/>
    <w:rsid w:val="00B05127"/>
    <w:rsid w:val="00B055D2"/>
    <w:rsid w:val="00B05629"/>
    <w:rsid w:val="00B06C32"/>
    <w:rsid w:val="00B071E4"/>
    <w:rsid w:val="00B0773B"/>
    <w:rsid w:val="00B1129A"/>
    <w:rsid w:val="00B12615"/>
    <w:rsid w:val="00B12A11"/>
    <w:rsid w:val="00B12D8E"/>
    <w:rsid w:val="00B132BD"/>
    <w:rsid w:val="00B13983"/>
    <w:rsid w:val="00B13F5A"/>
    <w:rsid w:val="00B1423E"/>
    <w:rsid w:val="00B14F7A"/>
    <w:rsid w:val="00B1576B"/>
    <w:rsid w:val="00B15E2D"/>
    <w:rsid w:val="00B167E5"/>
    <w:rsid w:val="00B16FE7"/>
    <w:rsid w:val="00B200A0"/>
    <w:rsid w:val="00B200BC"/>
    <w:rsid w:val="00B20B0E"/>
    <w:rsid w:val="00B2152F"/>
    <w:rsid w:val="00B22329"/>
    <w:rsid w:val="00B22D22"/>
    <w:rsid w:val="00B247AC"/>
    <w:rsid w:val="00B2653B"/>
    <w:rsid w:val="00B267E7"/>
    <w:rsid w:val="00B27064"/>
    <w:rsid w:val="00B2737A"/>
    <w:rsid w:val="00B273D3"/>
    <w:rsid w:val="00B31265"/>
    <w:rsid w:val="00B3285B"/>
    <w:rsid w:val="00B32D77"/>
    <w:rsid w:val="00B32EE6"/>
    <w:rsid w:val="00B33871"/>
    <w:rsid w:val="00B34C91"/>
    <w:rsid w:val="00B352FB"/>
    <w:rsid w:val="00B35623"/>
    <w:rsid w:val="00B35EB8"/>
    <w:rsid w:val="00B379A9"/>
    <w:rsid w:val="00B40967"/>
    <w:rsid w:val="00B412BE"/>
    <w:rsid w:val="00B4249B"/>
    <w:rsid w:val="00B426F1"/>
    <w:rsid w:val="00B44488"/>
    <w:rsid w:val="00B44939"/>
    <w:rsid w:val="00B44E5F"/>
    <w:rsid w:val="00B4576A"/>
    <w:rsid w:val="00B4626F"/>
    <w:rsid w:val="00B46BF8"/>
    <w:rsid w:val="00B474EE"/>
    <w:rsid w:val="00B47C52"/>
    <w:rsid w:val="00B50A57"/>
    <w:rsid w:val="00B5194A"/>
    <w:rsid w:val="00B52396"/>
    <w:rsid w:val="00B52691"/>
    <w:rsid w:val="00B543B8"/>
    <w:rsid w:val="00B54CF1"/>
    <w:rsid w:val="00B54F8A"/>
    <w:rsid w:val="00B557A0"/>
    <w:rsid w:val="00B55A78"/>
    <w:rsid w:val="00B56277"/>
    <w:rsid w:val="00B564B3"/>
    <w:rsid w:val="00B56F91"/>
    <w:rsid w:val="00B60121"/>
    <w:rsid w:val="00B60616"/>
    <w:rsid w:val="00B61C48"/>
    <w:rsid w:val="00B62B68"/>
    <w:rsid w:val="00B633DF"/>
    <w:rsid w:val="00B63D99"/>
    <w:rsid w:val="00B64234"/>
    <w:rsid w:val="00B64D44"/>
    <w:rsid w:val="00B676E6"/>
    <w:rsid w:val="00B677C2"/>
    <w:rsid w:val="00B67C8E"/>
    <w:rsid w:val="00B7029D"/>
    <w:rsid w:val="00B71357"/>
    <w:rsid w:val="00B71635"/>
    <w:rsid w:val="00B71A70"/>
    <w:rsid w:val="00B7204A"/>
    <w:rsid w:val="00B729BC"/>
    <w:rsid w:val="00B72F70"/>
    <w:rsid w:val="00B743EA"/>
    <w:rsid w:val="00B754DD"/>
    <w:rsid w:val="00B76C5D"/>
    <w:rsid w:val="00B7715B"/>
    <w:rsid w:val="00B77F50"/>
    <w:rsid w:val="00B77FC4"/>
    <w:rsid w:val="00B80325"/>
    <w:rsid w:val="00B81258"/>
    <w:rsid w:val="00B81753"/>
    <w:rsid w:val="00B81BF4"/>
    <w:rsid w:val="00B82578"/>
    <w:rsid w:val="00B8265A"/>
    <w:rsid w:val="00B832B7"/>
    <w:rsid w:val="00B83319"/>
    <w:rsid w:val="00B844AD"/>
    <w:rsid w:val="00B853F0"/>
    <w:rsid w:val="00B867CB"/>
    <w:rsid w:val="00B86B39"/>
    <w:rsid w:val="00B90267"/>
    <w:rsid w:val="00B9040F"/>
    <w:rsid w:val="00B90C10"/>
    <w:rsid w:val="00B90C33"/>
    <w:rsid w:val="00B91FCC"/>
    <w:rsid w:val="00B92509"/>
    <w:rsid w:val="00B92585"/>
    <w:rsid w:val="00B92865"/>
    <w:rsid w:val="00B9320F"/>
    <w:rsid w:val="00B93620"/>
    <w:rsid w:val="00B93E48"/>
    <w:rsid w:val="00B946FF"/>
    <w:rsid w:val="00B94FCE"/>
    <w:rsid w:val="00B952A4"/>
    <w:rsid w:val="00B955D8"/>
    <w:rsid w:val="00B95605"/>
    <w:rsid w:val="00B95D61"/>
    <w:rsid w:val="00B973CB"/>
    <w:rsid w:val="00B97B98"/>
    <w:rsid w:val="00BA0169"/>
    <w:rsid w:val="00BA18CD"/>
    <w:rsid w:val="00BA4177"/>
    <w:rsid w:val="00BA47CD"/>
    <w:rsid w:val="00BA4B04"/>
    <w:rsid w:val="00BA5958"/>
    <w:rsid w:val="00BA666C"/>
    <w:rsid w:val="00BA6E2F"/>
    <w:rsid w:val="00BA6F21"/>
    <w:rsid w:val="00BA7490"/>
    <w:rsid w:val="00BA77D7"/>
    <w:rsid w:val="00BB1C8F"/>
    <w:rsid w:val="00BB2B19"/>
    <w:rsid w:val="00BB2D15"/>
    <w:rsid w:val="00BB37F0"/>
    <w:rsid w:val="00BB3896"/>
    <w:rsid w:val="00BB5742"/>
    <w:rsid w:val="00BB63FA"/>
    <w:rsid w:val="00BB6CB0"/>
    <w:rsid w:val="00BB78A0"/>
    <w:rsid w:val="00BB78D5"/>
    <w:rsid w:val="00BB7DD4"/>
    <w:rsid w:val="00BC0A87"/>
    <w:rsid w:val="00BC1FDB"/>
    <w:rsid w:val="00BC566F"/>
    <w:rsid w:val="00BC5B4A"/>
    <w:rsid w:val="00BC6D52"/>
    <w:rsid w:val="00BC6F71"/>
    <w:rsid w:val="00BC70B8"/>
    <w:rsid w:val="00BC7C35"/>
    <w:rsid w:val="00BC7D60"/>
    <w:rsid w:val="00BD0C45"/>
    <w:rsid w:val="00BD0EBF"/>
    <w:rsid w:val="00BD0FAA"/>
    <w:rsid w:val="00BD50A2"/>
    <w:rsid w:val="00BD5CFD"/>
    <w:rsid w:val="00BD6A85"/>
    <w:rsid w:val="00BD7445"/>
    <w:rsid w:val="00BD7A3B"/>
    <w:rsid w:val="00BD7EE4"/>
    <w:rsid w:val="00BE046C"/>
    <w:rsid w:val="00BE095D"/>
    <w:rsid w:val="00BE09F5"/>
    <w:rsid w:val="00BE0B04"/>
    <w:rsid w:val="00BE1CCE"/>
    <w:rsid w:val="00BE1FE6"/>
    <w:rsid w:val="00BE36B0"/>
    <w:rsid w:val="00BE4074"/>
    <w:rsid w:val="00BE4793"/>
    <w:rsid w:val="00BE49D9"/>
    <w:rsid w:val="00BE51A1"/>
    <w:rsid w:val="00BE53AF"/>
    <w:rsid w:val="00BE5856"/>
    <w:rsid w:val="00BE616F"/>
    <w:rsid w:val="00BE68E1"/>
    <w:rsid w:val="00BE7410"/>
    <w:rsid w:val="00BF0F04"/>
    <w:rsid w:val="00BF2BC6"/>
    <w:rsid w:val="00BF35E1"/>
    <w:rsid w:val="00BF485F"/>
    <w:rsid w:val="00BF5391"/>
    <w:rsid w:val="00BF5876"/>
    <w:rsid w:val="00BF5EA9"/>
    <w:rsid w:val="00BF612E"/>
    <w:rsid w:val="00BF6176"/>
    <w:rsid w:val="00BF6DF1"/>
    <w:rsid w:val="00BF7C96"/>
    <w:rsid w:val="00C00D80"/>
    <w:rsid w:val="00C0130C"/>
    <w:rsid w:val="00C020D9"/>
    <w:rsid w:val="00C02B61"/>
    <w:rsid w:val="00C02E8C"/>
    <w:rsid w:val="00C03EB4"/>
    <w:rsid w:val="00C04FEC"/>
    <w:rsid w:val="00C0521B"/>
    <w:rsid w:val="00C053C5"/>
    <w:rsid w:val="00C0613C"/>
    <w:rsid w:val="00C0623C"/>
    <w:rsid w:val="00C06657"/>
    <w:rsid w:val="00C071F7"/>
    <w:rsid w:val="00C07B34"/>
    <w:rsid w:val="00C07C7C"/>
    <w:rsid w:val="00C109D6"/>
    <w:rsid w:val="00C12D51"/>
    <w:rsid w:val="00C130A0"/>
    <w:rsid w:val="00C145B6"/>
    <w:rsid w:val="00C14665"/>
    <w:rsid w:val="00C14904"/>
    <w:rsid w:val="00C1603E"/>
    <w:rsid w:val="00C16B43"/>
    <w:rsid w:val="00C1782B"/>
    <w:rsid w:val="00C2005B"/>
    <w:rsid w:val="00C204C2"/>
    <w:rsid w:val="00C217DA"/>
    <w:rsid w:val="00C23EA6"/>
    <w:rsid w:val="00C2410B"/>
    <w:rsid w:val="00C241A6"/>
    <w:rsid w:val="00C2588B"/>
    <w:rsid w:val="00C25934"/>
    <w:rsid w:val="00C26B04"/>
    <w:rsid w:val="00C27A3C"/>
    <w:rsid w:val="00C30187"/>
    <w:rsid w:val="00C31605"/>
    <w:rsid w:val="00C335BC"/>
    <w:rsid w:val="00C337CA"/>
    <w:rsid w:val="00C35052"/>
    <w:rsid w:val="00C3536E"/>
    <w:rsid w:val="00C359B8"/>
    <w:rsid w:val="00C36297"/>
    <w:rsid w:val="00C368DC"/>
    <w:rsid w:val="00C369C5"/>
    <w:rsid w:val="00C36D37"/>
    <w:rsid w:val="00C37CCE"/>
    <w:rsid w:val="00C40300"/>
    <w:rsid w:val="00C4055F"/>
    <w:rsid w:val="00C41302"/>
    <w:rsid w:val="00C414A8"/>
    <w:rsid w:val="00C42D15"/>
    <w:rsid w:val="00C42E84"/>
    <w:rsid w:val="00C42F22"/>
    <w:rsid w:val="00C4308E"/>
    <w:rsid w:val="00C43332"/>
    <w:rsid w:val="00C44379"/>
    <w:rsid w:val="00C4495F"/>
    <w:rsid w:val="00C46191"/>
    <w:rsid w:val="00C465E6"/>
    <w:rsid w:val="00C4680E"/>
    <w:rsid w:val="00C46FAF"/>
    <w:rsid w:val="00C47909"/>
    <w:rsid w:val="00C5049B"/>
    <w:rsid w:val="00C5088E"/>
    <w:rsid w:val="00C51F23"/>
    <w:rsid w:val="00C525F7"/>
    <w:rsid w:val="00C52BA2"/>
    <w:rsid w:val="00C52CC8"/>
    <w:rsid w:val="00C53B3E"/>
    <w:rsid w:val="00C543CA"/>
    <w:rsid w:val="00C5777C"/>
    <w:rsid w:val="00C57FF2"/>
    <w:rsid w:val="00C60C0D"/>
    <w:rsid w:val="00C60EBE"/>
    <w:rsid w:val="00C61143"/>
    <w:rsid w:val="00C612F3"/>
    <w:rsid w:val="00C614CB"/>
    <w:rsid w:val="00C61930"/>
    <w:rsid w:val="00C631D8"/>
    <w:rsid w:val="00C631E5"/>
    <w:rsid w:val="00C63EAA"/>
    <w:rsid w:val="00C64F4A"/>
    <w:rsid w:val="00C65880"/>
    <w:rsid w:val="00C66396"/>
    <w:rsid w:val="00C6650C"/>
    <w:rsid w:val="00C66CE5"/>
    <w:rsid w:val="00C66F9D"/>
    <w:rsid w:val="00C706DF"/>
    <w:rsid w:val="00C70845"/>
    <w:rsid w:val="00C70A5B"/>
    <w:rsid w:val="00C72BB9"/>
    <w:rsid w:val="00C72BF5"/>
    <w:rsid w:val="00C72D3A"/>
    <w:rsid w:val="00C73A2A"/>
    <w:rsid w:val="00C7491C"/>
    <w:rsid w:val="00C74F79"/>
    <w:rsid w:val="00C7506E"/>
    <w:rsid w:val="00C75AC9"/>
    <w:rsid w:val="00C75FC8"/>
    <w:rsid w:val="00C76422"/>
    <w:rsid w:val="00C77821"/>
    <w:rsid w:val="00C80275"/>
    <w:rsid w:val="00C80583"/>
    <w:rsid w:val="00C816A2"/>
    <w:rsid w:val="00C83C2B"/>
    <w:rsid w:val="00C86E80"/>
    <w:rsid w:val="00C87042"/>
    <w:rsid w:val="00C87804"/>
    <w:rsid w:val="00C8786C"/>
    <w:rsid w:val="00C903D9"/>
    <w:rsid w:val="00C90F65"/>
    <w:rsid w:val="00C91E39"/>
    <w:rsid w:val="00C9303C"/>
    <w:rsid w:val="00C9672A"/>
    <w:rsid w:val="00C96C13"/>
    <w:rsid w:val="00C97149"/>
    <w:rsid w:val="00CA0198"/>
    <w:rsid w:val="00CA0EB2"/>
    <w:rsid w:val="00CA31E9"/>
    <w:rsid w:val="00CA4F08"/>
    <w:rsid w:val="00CA59C8"/>
    <w:rsid w:val="00CA5B84"/>
    <w:rsid w:val="00CA5E9A"/>
    <w:rsid w:val="00CA70AB"/>
    <w:rsid w:val="00CB20F2"/>
    <w:rsid w:val="00CB3ADE"/>
    <w:rsid w:val="00CB4349"/>
    <w:rsid w:val="00CB6172"/>
    <w:rsid w:val="00CB63B2"/>
    <w:rsid w:val="00CB7053"/>
    <w:rsid w:val="00CB7231"/>
    <w:rsid w:val="00CB7ADD"/>
    <w:rsid w:val="00CC2489"/>
    <w:rsid w:val="00CC2E85"/>
    <w:rsid w:val="00CC3293"/>
    <w:rsid w:val="00CC40C0"/>
    <w:rsid w:val="00CC4829"/>
    <w:rsid w:val="00CC6AC8"/>
    <w:rsid w:val="00CD09A6"/>
    <w:rsid w:val="00CD18BE"/>
    <w:rsid w:val="00CD46F2"/>
    <w:rsid w:val="00CD496F"/>
    <w:rsid w:val="00CD59CB"/>
    <w:rsid w:val="00CD677A"/>
    <w:rsid w:val="00CD68B9"/>
    <w:rsid w:val="00CD6F21"/>
    <w:rsid w:val="00CD719A"/>
    <w:rsid w:val="00CD7B86"/>
    <w:rsid w:val="00CE1AEC"/>
    <w:rsid w:val="00CE1D37"/>
    <w:rsid w:val="00CE2B0A"/>
    <w:rsid w:val="00CE2BD9"/>
    <w:rsid w:val="00CE3F4C"/>
    <w:rsid w:val="00CE548E"/>
    <w:rsid w:val="00CE581D"/>
    <w:rsid w:val="00CE591D"/>
    <w:rsid w:val="00CF00BD"/>
    <w:rsid w:val="00CF02E9"/>
    <w:rsid w:val="00CF1437"/>
    <w:rsid w:val="00CF22FE"/>
    <w:rsid w:val="00CF28AC"/>
    <w:rsid w:val="00CF3179"/>
    <w:rsid w:val="00CF3559"/>
    <w:rsid w:val="00CF3992"/>
    <w:rsid w:val="00CF4C18"/>
    <w:rsid w:val="00CF4E7F"/>
    <w:rsid w:val="00CF50F5"/>
    <w:rsid w:val="00CF5295"/>
    <w:rsid w:val="00CF5507"/>
    <w:rsid w:val="00CF5958"/>
    <w:rsid w:val="00CF5E94"/>
    <w:rsid w:val="00CF6CF5"/>
    <w:rsid w:val="00CF7268"/>
    <w:rsid w:val="00CF7269"/>
    <w:rsid w:val="00D01824"/>
    <w:rsid w:val="00D01B8A"/>
    <w:rsid w:val="00D02AF2"/>
    <w:rsid w:val="00D04E74"/>
    <w:rsid w:val="00D05B14"/>
    <w:rsid w:val="00D06028"/>
    <w:rsid w:val="00D06CC4"/>
    <w:rsid w:val="00D07106"/>
    <w:rsid w:val="00D107A1"/>
    <w:rsid w:val="00D108AC"/>
    <w:rsid w:val="00D12048"/>
    <w:rsid w:val="00D1217B"/>
    <w:rsid w:val="00D128AB"/>
    <w:rsid w:val="00D1327B"/>
    <w:rsid w:val="00D13AA1"/>
    <w:rsid w:val="00D16DC4"/>
    <w:rsid w:val="00D2051B"/>
    <w:rsid w:val="00D21CE9"/>
    <w:rsid w:val="00D2377A"/>
    <w:rsid w:val="00D242A3"/>
    <w:rsid w:val="00D2451B"/>
    <w:rsid w:val="00D24BDC"/>
    <w:rsid w:val="00D24EE9"/>
    <w:rsid w:val="00D25378"/>
    <w:rsid w:val="00D25898"/>
    <w:rsid w:val="00D26B0D"/>
    <w:rsid w:val="00D2788E"/>
    <w:rsid w:val="00D27A49"/>
    <w:rsid w:val="00D30EF4"/>
    <w:rsid w:val="00D31044"/>
    <w:rsid w:val="00D315B8"/>
    <w:rsid w:val="00D3174A"/>
    <w:rsid w:val="00D31907"/>
    <w:rsid w:val="00D31E6E"/>
    <w:rsid w:val="00D31F0B"/>
    <w:rsid w:val="00D33260"/>
    <w:rsid w:val="00D343D2"/>
    <w:rsid w:val="00D3538A"/>
    <w:rsid w:val="00D35D10"/>
    <w:rsid w:val="00D35FB7"/>
    <w:rsid w:val="00D36568"/>
    <w:rsid w:val="00D365BD"/>
    <w:rsid w:val="00D36D5D"/>
    <w:rsid w:val="00D37EA8"/>
    <w:rsid w:val="00D40159"/>
    <w:rsid w:val="00D401EF"/>
    <w:rsid w:val="00D41652"/>
    <w:rsid w:val="00D41871"/>
    <w:rsid w:val="00D42815"/>
    <w:rsid w:val="00D42FB2"/>
    <w:rsid w:val="00D43137"/>
    <w:rsid w:val="00D4333A"/>
    <w:rsid w:val="00D45441"/>
    <w:rsid w:val="00D45E60"/>
    <w:rsid w:val="00D46B79"/>
    <w:rsid w:val="00D46BEC"/>
    <w:rsid w:val="00D46C8A"/>
    <w:rsid w:val="00D47627"/>
    <w:rsid w:val="00D47C8D"/>
    <w:rsid w:val="00D509F1"/>
    <w:rsid w:val="00D50F53"/>
    <w:rsid w:val="00D50FB4"/>
    <w:rsid w:val="00D50FC6"/>
    <w:rsid w:val="00D51E2A"/>
    <w:rsid w:val="00D5230B"/>
    <w:rsid w:val="00D5464F"/>
    <w:rsid w:val="00D54795"/>
    <w:rsid w:val="00D5485E"/>
    <w:rsid w:val="00D5576B"/>
    <w:rsid w:val="00D55847"/>
    <w:rsid w:val="00D56353"/>
    <w:rsid w:val="00D56747"/>
    <w:rsid w:val="00D569D0"/>
    <w:rsid w:val="00D57394"/>
    <w:rsid w:val="00D5773B"/>
    <w:rsid w:val="00D6011C"/>
    <w:rsid w:val="00D602E9"/>
    <w:rsid w:val="00D60A8E"/>
    <w:rsid w:val="00D61A95"/>
    <w:rsid w:val="00D62EF5"/>
    <w:rsid w:val="00D62F7F"/>
    <w:rsid w:val="00D63888"/>
    <w:rsid w:val="00D644DE"/>
    <w:rsid w:val="00D6450B"/>
    <w:rsid w:val="00D64700"/>
    <w:rsid w:val="00D649D9"/>
    <w:rsid w:val="00D654DC"/>
    <w:rsid w:val="00D655DA"/>
    <w:rsid w:val="00D6575E"/>
    <w:rsid w:val="00D65F05"/>
    <w:rsid w:val="00D65F80"/>
    <w:rsid w:val="00D669D9"/>
    <w:rsid w:val="00D70083"/>
    <w:rsid w:val="00D709BB"/>
    <w:rsid w:val="00D70B47"/>
    <w:rsid w:val="00D70F40"/>
    <w:rsid w:val="00D71063"/>
    <w:rsid w:val="00D71549"/>
    <w:rsid w:val="00D71BD0"/>
    <w:rsid w:val="00D72672"/>
    <w:rsid w:val="00D72FEC"/>
    <w:rsid w:val="00D730CE"/>
    <w:rsid w:val="00D7340B"/>
    <w:rsid w:val="00D73C8E"/>
    <w:rsid w:val="00D73F02"/>
    <w:rsid w:val="00D73F0C"/>
    <w:rsid w:val="00D73F27"/>
    <w:rsid w:val="00D74C49"/>
    <w:rsid w:val="00D75488"/>
    <w:rsid w:val="00D762DF"/>
    <w:rsid w:val="00D768F7"/>
    <w:rsid w:val="00D76929"/>
    <w:rsid w:val="00D76C89"/>
    <w:rsid w:val="00D77987"/>
    <w:rsid w:val="00D80390"/>
    <w:rsid w:val="00D81299"/>
    <w:rsid w:val="00D813B3"/>
    <w:rsid w:val="00D8149A"/>
    <w:rsid w:val="00D815B3"/>
    <w:rsid w:val="00D81651"/>
    <w:rsid w:val="00D82450"/>
    <w:rsid w:val="00D84EF7"/>
    <w:rsid w:val="00D86415"/>
    <w:rsid w:val="00D86432"/>
    <w:rsid w:val="00D86571"/>
    <w:rsid w:val="00D86696"/>
    <w:rsid w:val="00D86F1E"/>
    <w:rsid w:val="00D8744A"/>
    <w:rsid w:val="00D87B86"/>
    <w:rsid w:val="00D910E5"/>
    <w:rsid w:val="00D911DA"/>
    <w:rsid w:val="00D91E0F"/>
    <w:rsid w:val="00D92244"/>
    <w:rsid w:val="00D92A31"/>
    <w:rsid w:val="00D93786"/>
    <w:rsid w:val="00D93A75"/>
    <w:rsid w:val="00D959D9"/>
    <w:rsid w:val="00D97563"/>
    <w:rsid w:val="00D977A8"/>
    <w:rsid w:val="00DA07CD"/>
    <w:rsid w:val="00DA0FEC"/>
    <w:rsid w:val="00DA1F64"/>
    <w:rsid w:val="00DA243A"/>
    <w:rsid w:val="00DA2C3F"/>
    <w:rsid w:val="00DA3492"/>
    <w:rsid w:val="00DA352F"/>
    <w:rsid w:val="00DA4488"/>
    <w:rsid w:val="00DA453E"/>
    <w:rsid w:val="00DA4E02"/>
    <w:rsid w:val="00DA6BB9"/>
    <w:rsid w:val="00DB132B"/>
    <w:rsid w:val="00DB19E6"/>
    <w:rsid w:val="00DB2CC3"/>
    <w:rsid w:val="00DB3FEB"/>
    <w:rsid w:val="00DB465D"/>
    <w:rsid w:val="00DB4D2C"/>
    <w:rsid w:val="00DB522F"/>
    <w:rsid w:val="00DB567C"/>
    <w:rsid w:val="00DB592D"/>
    <w:rsid w:val="00DB6DB9"/>
    <w:rsid w:val="00DB78EC"/>
    <w:rsid w:val="00DC007A"/>
    <w:rsid w:val="00DC0D01"/>
    <w:rsid w:val="00DC159A"/>
    <w:rsid w:val="00DC211C"/>
    <w:rsid w:val="00DC2505"/>
    <w:rsid w:val="00DC270C"/>
    <w:rsid w:val="00DC2B9F"/>
    <w:rsid w:val="00DC3186"/>
    <w:rsid w:val="00DC32AE"/>
    <w:rsid w:val="00DC39CD"/>
    <w:rsid w:val="00DC3A2F"/>
    <w:rsid w:val="00DC45D3"/>
    <w:rsid w:val="00DC4BBE"/>
    <w:rsid w:val="00DC501B"/>
    <w:rsid w:val="00DC6122"/>
    <w:rsid w:val="00DC6920"/>
    <w:rsid w:val="00DC7389"/>
    <w:rsid w:val="00DC7828"/>
    <w:rsid w:val="00DC78A1"/>
    <w:rsid w:val="00DD04D3"/>
    <w:rsid w:val="00DD0753"/>
    <w:rsid w:val="00DD0D63"/>
    <w:rsid w:val="00DD2D54"/>
    <w:rsid w:val="00DD41FA"/>
    <w:rsid w:val="00DD533E"/>
    <w:rsid w:val="00DD662C"/>
    <w:rsid w:val="00DD6B1F"/>
    <w:rsid w:val="00DD71BB"/>
    <w:rsid w:val="00DE0CBF"/>
    <w:rsid w:val="00DE101B"/>
    <w:rsid w:val="00DE1A74"/>
    <w:rsid w:val="00DE20C7"/>
    <w:rsid w:val="00DE211E"/>
    <w:rsid w:val="00DE38FB"/>
    <w:rsid w:val="00DE3F0B"/>
    <w:rsid w:val="00DE46A4"/>
    <w:rsid w:val="00DE4B32"/>
    <w:rsid w:val="00DE5D1A"/>
    <w:rsid w:val="00DE5D46"/>
    <w:rsid w:val="00DE5EDB"/>
    <w:rsid w:val="00DE5F7B"/>
    <w:rsid w:val="00DE6A74"/>
    <w:rsid w:val="00DE6C91"/>
    <w:rsid w:val="00DE70A9"/>
    <w:rsid w:val="00DF0624"/>
    <w:rsid w:val="00DF070A"/>
    <w:rsid w:val="00DF0FB6"/>
    <w:rsid w:val="00DF1122"/>
    <w:rsid w:val="00DF1AF6"/>
    <w:rsid w:val="00DF1C95"/>
    <w:rsid w:val="00DF5378"/>
    <w:rsid w:val="00DF5FEB"/>
    <w:rsid w:val="00DF6760"/>
    <w:rsid w:val="00DF7DFA"/>
    <w:rsid w:val="00E01EEF"/>
    <w:rsid w:val="00E03521"/>
    <w:rsid w:val="00E03751"/>
    <w:rsid w:val="00E03BAB"/>
    <w:rsid w:val="00E042FF"/>
    <w:rsid w:val="00E05547"/>
    <w:rsid w:val="00E05C0C"/>
    <w:rsid w:val="00E06B9F"/>
    <w:rsid w:val="00E06BEA"/>
    <w:rsid w:val="00E06FA8"/>
    <w:rsid w:val="00E07FAB"/>
    <w:rsid w:val="00E100D8"/>
    <w:rsid w:val="00E101E5"/>
    <w:rsid w:val="00E10DA6"/>
    <w:rsid w:val="00E13981"/>
    <w:rsid w:val="00E16012"/>
    <w:rsid w:val="00E162B6"/>
    <w:rsid w:val="00E16726"/>
    <w:rsid w:val="00E2047F"/>
    <w:rsid w:val="00E20B6D"/>
    <w:rsid w:val="00E210FE"/>
    <w:rsid w:val="00E21AD8"/>
    <w:rsid w:val="00E21EC8"/>
    <w:rsid w:val="00E220A8"/>
    <w:rsid w:val="00E2232B"/>
    <w:rsid w:val="00E22363"/>
    <w:rsid w:val="00E23015"/>
    <w:rsid w:val="00E24A6F"/>
    <w:rsid w:val="00E257B2"/>
    <w:rsid w:val="00E26020"/>
    <w:rsid w:val="00E26588"/>
    <w:rsid w:val="00E26770"/>
    <w:rsid w:val="00E26C90"/>
    <w:rsid w:val="00E30A68"/>
    <w:rsid w:val="00E32AE9"/>
    <w:rsid w:val="00E32C89"/>
    <w:rsid w:val="00E33587"/>
    <w:rsid w:val="00E336B3"/>
    <w:rsid w:val="00E33AAF"/>
    <w:rsid w:val="00E34D98"/>
    <w:rsid w:val="00E34E1B"/>
    <w:rsid w:val="00E356E0"/>
    <w:rsid w:val="00E43167"/>
    <w:rsid w:val="00E432D6"/>
    <w:rsid w:val="00E43EF6"/>
    <w:rsid w:val="00E44A21"/>
    <w:rsid w:val="00E44D67"/>
    <w:rsid w:val="00E45792"/>
    <w:rsid w:val="00E459E1"/>
    <w:rsid w:val="00E46348"/>
    <w:rsid w:val="00E468A3"/>
    <w:rsid w:val="00E47788"/>
    <w:rsid w:val="00E50B65"/>
    <w:rsid w:val="00E517AF"/>
    <w:rsid w:val="00E51B74"/>
    <w:rsid w:val="00E520AD"/>
    <w:rsid w:val="00E52110"/>
    <w:rsid w:val="00E52FC4"/>
    <w:rsid w:val="00E52FC8"/>
    <w:rsid w:val="00E53DAF"/>
    <w:rsid w:val="00E5450C"/>
    <w:rsid w:val="00E54B18"/>
    <w:rsid w:val="00E54BE8"/>
    <w:rsid w:val="00E55012"/>
    <w:rsid w:val="00E55449"/>
    <w:rsid w:val="00E55B10"/>
    <w:rsid w:val="00E5601C"/>
    <w:rsid w:val="00E5727E"/>
    <w:rsid w:val="00E601FE"/>
    <w:rsid w:val="00E6093D"/>
    <w:rsid w:val="00E616BC"/>
    <w:rsid w:val="00E616D9"/>
    <w:rsid w:val="00E61FCE"/>
    <w:rsid w:val="00E622DD"/>
    <w:rsid w:val="00E62EAC"/>
    <w:rsid w:val="00E62F08"/>
    <w:rsid w:val="00E63022"/>
    <w:rsid w:val="00E6347B"/>
    <w:rsid w:val="00E63B84"/>
    <w:rsid w:val="00E63D71"/>
    <w:rsid w:val="00E6524B"/>
    <w:rsid w:val="00E65E1A"/>
    <w:rsid w:val="00E6619A"/>
    <w:rsid w:val="00E70BED"/>
    <w:rsid w:val="00E71C38"/>
    <w:rsid w:val="00E71FF0"/>
    <w:rsid w:val="00E72E8F"/>
    <w:rsid w:val="00E73B0D"/>
    <w:rsid w:val="00E74B55"/>
    <w:rsid w:val="00E74D5C"/>
    <w:rsid w:val="00E74FF1"/>
    <w:rsid w:val="00E75125"/>
    <w:rsid w:val="00E75434"/>
    <w:rsid w:val="00E7605F"/>
    <w:rsid w:val="00E76B6C"/>
    <w:rsid w:val="00E776D6"/>
    <w:rsid w:val="00E81912"/>
    <w:rsid w:val="00E82103"/>
    <w:rsid w:val="00E8228D"/>
    <w:rsid w:val="00E823BD"/>
    <w:rsid w:val="00E82C22"/>
    <w:rsid w:val="00E83605"/>
    <w:rsid w:val="00E83D04"/>
    <w:rsid w:val="00E84630"/>
    <w:rsid w:val="00E85924"/>
    <w:rsid w:val="00E86FE6"/>
    <w:rsid w:val="00E87105"/>
    <w:rsid w:val="00E911F6"/>
    <w:rsid w:val="00E91B7D"/>
    <w:rsid w:val="00E91E55"/>
    <w:rsid w:val="00E92110"/>
    <w:rsid w:val="00E92867"/>
    <w:rsid w:val="00E93062"/>
    <w:rsid w:val="00E93770"/>
    <w:rsid w:val="00E9467C"/>
    <w:rsid w:val="00E947CC"/>
    <w:rsid w:val="00E95254"/>
    <w:rsid w:val="00E95D9F"/>
    <w:rsid w:val="00E963F6"/>
    <w:rsid w:val="00E9702E"/>
    <w:rsid w:val="00E97A69"/>
    <w:rsid w:val="00EA0D64"/>
    <w:rsid w:val="00EA1000"/>
    <w:rsid w:val="00EA252C"/>
    <w:rsid w:val="00EA2990"/>
    <w:rsid w:val="00EA37BB"/>
    <w:rsid w:val="00EA4494"/>
    <w:rsid w:val="00EA5128"/>
    <w:rsid w:val="00EA5147"/>
    <w:rsid w:val="00EA539C"/>
    <w:rsid w:val="00EA62EF"/>
    <w:rsid w:val="00EA63B8"/>
    <w:rsid w:val="00EA68C6"/>
    <w:rsid w:val="00EA6E82"/>
    <w:rsid w:val="00EB0DE7"/>
    <w:rsid w:val="00EB22B0"/>
    <w:rsid w:val="00EB25CB"/>
    <w:rsid w:val="00EB4074"/>
    <w:rsid w:val="00EB5C4C"/>
    <w:rsid w:val="00EB70A4"/>
    <w:rsid w:val="00EB784C"/>
    <w:rsid w:val="00EC020F"/>
    <w:rsid w:val="00EC082E"/>
    <w:rsid w:val="00EC0968"/>
    <w:rsid w:val="00EC0BCD"/>
    <w:rsid w:val="00EC17DC"/>
    <w:rsid w:val="00EC1A73"/>
    <w:rsid w:val="00EC1C67"/>
    <w:rsid w:val="00EC3537"/>
    <w:rsid w:val="00EC43CE"/>
    <w:rsid w:val="00EC4539"/>
    <w:rsid w:val="00EC4DA9"/>
    <w:rsid w:val="00EC5188"/>
    <w:rsid w:val="00EC5611"/>
    <w:rsid w:val="00EC5D10"/>
    <w:rsid w:val="00EC61D6"/>
    <w:rsid w:val="00EC684C"/>
    <w:rsid w:val="00EC6856"/>
    <w:rsid w:val="00EC6B54"/>
    <w:rsid w:val="00ED0765"/>
    <w:rsid w:val="00ED0969"/>
    <w:rsid w:val="00ED16D5"/>
    <w:rsid w:val="00ED16ED"/>
    <w:rsid w:val="00ED17B1"/>
    <w:rsid w:val="00ED2836"/>
    <w:rsid w:val="00ED3512"/>
    <w:rsid w:val="00ED38B8"/>
    <w:rsid w:val="00ED4420"/>
    <w:rsid w:val="00ED4C97"/>
    <w:rsid w:val="00ED7DD3"/>
    <w:rsid w:val="00EE0371"/>
    <w:rsid w:val="00EE053B"/>
    <w:rsid w:val="00EE05CA"/>
    <w:rsid w:val="00EE0B7B"/>
    <w:rsid w:val="00EE1A09"/>
    <w:rsid w:val="00EE1F1F"/>
    <w:rsid w:val="00EE1F7F"/>
    <w:rsid w:val="00EE328F"/>
    <w:rsid w:val="00EE3784"/>
    <w:rsid w:val="00EE39A3"/>
    <w:rsid w:val="00EE3ABA"/>
    <w:rsid w:val="00EE3B8F"/>
    <w:rsid w:val="00EE4772"/>
    <w:rsid w:val="00EE6400"/>
    <w:rsid w:val="00EE6737"/>
    <w:rsid w:val="00EE76CE"/>
    <w:rsid w:val="00EF06DA"/>
    <w:rsid w:val="00EF1159"/>
    <w:rsid w:val="00EF1454"/>
    <w:rsid w:val="00EF1521"/>
    <w:rsid w:val="00EF18DD"/>
    <w:rsid w:val="00EF194A"/>
    <w:rsid w:val="00EF1A6F"/>
    <w:rsid w:val="00EF1C95"/>
    <w:rsid w:val="00EF4069"/>
    <w:rsid w:val="00EF49D0"/>
    <w:rsid w:val="00EF7CB4"/>
    <w:rsid w:val="00EF7E25"/>
    <w:rsid w:val="00F00103"/>
    <w:rsid w:val="00F0026C"/>
    <w:rsid w:val="00F01361"/>
    <w:rsid w:val="00F034BD"/>
    <w:rsid w:val="00F0573B"/>
    <w:rsid w:val="00F11372"/>
    <w:rsid w:val="00F11AC7"/>
    <w:rsid w:val="00F11E49"/>
    <w:rsid w:val="00F12C72"/>
    <w:rsid w:val="00F14623"/>
    <w:rsid w:val="00F14A83"/>
    <w:rsid w:val="00F16219"/>
    <w:rsid w:val="00F16E8C"/>
    <w:rsid w:val="00F17A37"/>
    <w:rsid w:val="00F17FB8"/>
    <w:rsid w:val="00F2024B"/>
    <w:rsid w:val="00F20363"/>
    <w:rsid w:val="00F20648"/>
    <w:rsid w:val="00F20B7B"/>
    <w:rsid w:val="00F20BD1"/>
    <w:rsid w:val="00F21891"/>
    <w:rsid w:val="00F21C2C"/>
    <w:rsid w:val="00F22A1B"/>
    <w:rsid w:val="00F22C0E"/>
    <w:rsid w:val="00F22CFB"/>
    <w:rsid w:val="00F23AD7"/>
    <w:rsid w:val="00F23D9F"/>
    <w:rsid w:val="00F2469A"/>
    <w:rsid w:val="00F277F7"/>
    <w:rsid w:val="00F30B20"/>
    <w:rsid w:val="00F31AC9"/>
    <w:rsid w:val="00F31F47"/>
    <w:rsid w:val="00F32091"/>
    <w:rsid w:val="00F329BB"/>
    <w:rsid w:val="00F32BCB"/>
    <w:rsid w:val="00F32DCB"/>
    <w:rsid w:val="00F368C6"/>
    <w:rsid w:val="00F3767E"/>
    <w:rsid w:val="00F40F58"/>
    <w:rsid w:val="00F41F37"/>
    <w:rsid w:val="00F41F3D"/>
    <w:rsid w:val="00F434AC"/>
    <w:rsid w:val="00F43CD3"/>
    <w:rsid w:val="00F43DF8"/>
    <w:rsid w:val="00F43F07"/>
    <w:rsid w:val="00F44036"/>
    <w:rsid w:val="00F441E4"/>
    <w:rsid w:val="00F44C37"/>
    <w:rsid w:val="00F45161"/>
    <w:rsid w:val="00F458EE"/>
    <w:rsid w:val="00F463F9"/>
    <w:rsid w:val="00F4683F"/>
    <w:rsid w:val="00F4788C"/>
    <w:rsid w:val="00F47F56"/>
    <w:rsid w:val="00F51B8F"/>
    <w:rsid w:val="00F51CDF"/>
    <w:rsid w:val="00F5254C"/>
    <w:rsid w:val="00F54281"/>
    <w:rsid w:val="00F54FBF"/>
    <w:rsid w:val="00F55B8C"/>
    <w:rsid w:val="00F55CD3"/>
    <w:rsid w:val="00F56C1A"/>
    <w:rsid w:val="00F57533"/>
    <w:rsid w:val="00F57848"/>
    <w:rsid w:val="00F57C38"/>
    <w:rsid w:val="00F602C8"/>
    <w:rsid w:val="00F609F4"/>
    <w:rsid w:val="00F60A48"/>
    <w:rsid w:val="00F626B4"/>
    <w:rsid w:val="00F62A8F"/>
    <w:rsid w:val="00F6366D"/>
    <w:rsid w:val="00F64A89"/>
    <w:rsid w:val="00F66B79"/>
    <w:rsid w:val="00F67322"/>
    <w:rsid w:val="00F67575"/>
    <w:rsid w:val="00F70671"/>
    <w:rsid w:val="00F70E61"/>
    <w:rsid w:val="00F71038"/>
    <w:rsid w:val="00F71039"/>
    <w:rsid w:val="00F7397D"/>
    <w:rsid w:val="00F7418F"/>
    <w:rsid w:val="00F744DD"/>
    <w:rsid w:val="00F74B5E"/>
    <w:rsid w:val="00F74C04"/>
    <w:rsid w:val="00F74C49"/>
    <w:rsid w:val="00F7564D"/>
    <w:rsid w:val="00F75811"/>
    <w:rsid w:val="00F7598C"/>
    <w:rsid w:val="00F75B0C"/>
    <w:rsid w:val="00F766C0"/>
    <w:rsid w:val="00F768DF"/>
    <w:rsid w:val="00F7752B"/>
    <w:rsid w:val="00F808D3"/>
    <w:rsid w:val="00F809F5"/>
    <w:rsid w:val="00F81888"/>
    <w:rsid w:val="00F81F2C"/>
    <w:rsid w:val="00F829E2"/>
    <w:rsid w:val="00F82B70"/>
    <w:rsid w:val="00F85124"/>
    <w:rsid w:val="00F87022"/>
    <w:rsid w:val="00F871BB"/>
    <w:rsid w:val="00F87A2B"/>
    <w:rsid w:val="00F9078B"/>
    <w:rsid w:val="00F90841"/>
    <w:rsid w:val="00F91902"/>
    <w:rsid w:val="00F91918"/>
    <w:rsid w:val="00F91D26"/>
    <w:rsid w:val="00F92E19"/>
    <w:rsid w:val="00F936AB"/>
    <w:rsid w:val="00F93B15"/>
    <w:rsid w:val="00F93F9F"/>
    <w:rsid w:val="00F947D5"/>
    <w:rsid w:val="00F9499E"/>
    <w:rsid w:val="00F95818"/>
    <w:rsid w:val="00F9589F"/>
    <w:rsid w:val="00F95C45"/>
    <w:rsid w:val="00F9608B"/>
    <w:rsid w:val="00F96754"/>
    <w:rsid w:val="00F96B2B"/>
    <w:rsid w:val="00F974A1"/>
    <w:rsid w:val="00FA1247"/>
    <w:rsid w:val="00FA1827"/>
    <w:rsid w:val="00FA1928"/>
    <w:rsid w:val="00FA3BAA"/>
    <w:rsid w:val="00FA3FDC"/>
    <w:rsid w:val="00FA42DC"/>
    <w:rsid w:val="00FA4694"/>
    <w:rsid w:val="00FA470D"/>
    <w:rsid w:val="00FA749C"/>
    <w:rsid w:val="00FB011D"/>
    <w:rsid w:val="00FB14AB"/>
    <w:rsid w:val="00FB1B47"/>
    <w:rsid w:val="00FB2C2D"/>
    <w:rsid w:val="00FB3319"/>
    <w:rsid w:val="00FB41B6"/>
    <w:rsid w:val="00FB4597"/>
    <w:rsid w:val="00FB5891"/>
    <w:rsid w:val="00FB61A2"/>
    <w:rsid w:val="00FB61CC"/>
    <w:rsid w:val="00FB67F9"/>
    <w:rsid w:val="00FB6F9E"/>
    <w:rsid w:val="00FC1E98"/>
    <w:rsid w:val="00FC3264"/>
    <w:rsid w:val="00FC368F"/>
    <w:rsid w:val="00FC473C"/>
    <w:rsid w:val="00FC599C"/>
    <w:rsid w:val="00FC5ABC"/>
    <w:rsid w:val="00FC5C36"/>
    <w:rsid w:val="00FC639B"/>
    <w:rsid w:val="00FC7946"/>
    <w:rsid w:val="00FC7A14"/>
    <w:rsid w:val="00FC7D4B"/>
    <w:rsid w:val="00FD1C1D"/>
    <w:rsid w:val="00FD266A"/>
    <w:rsid w:val="00FD276C"/>
    <w:rsid w:val="00FD2BEB"/>
    <w:rsid w:val="00FD2E9F"/>
    <w:rsid w:val="00FD3C9F"/>
    <w:rsid w:val="00FD4E72"/>
    <w:rsid w:val="00FD63DD"/>
    <w:rsid w:val="00FD6822"/>
    <w:rsid w:val="00FD6A8A"/>
    <w:rsid w:val="00FD6AB8"/>
    <w:rsid w:val="00FD720D"/>
    <w:rsid w:val="00FD745C"/>
    <w:rsid w:val="00FD7662"/>
    <w:rsid w:val="00FD76C1"/>
    <w:rsid w:val="00FE0EA2"/>
    <w:rsid w:val="00FE0EF1"/>
    <w:rsid w:val="00FE2127"/>
    <w:rsid w:val="00FE21BB"/>
    <w:rsid w:val="00FE38CB"/>
    <w:rsid w:val="00FE3BAF"/>
    <w:rsid w:val="00FE41A8"/>
    <w:rsid w:val="00FE4448"/>
    <w:rsid w:val="00FE6FC3"/>
    <w:rsid w:val="00FF3EF3"/>
    <w:rsid w:val="00FF4454"/>
    <w:rsid w:val="00FF4859"/>
    <w:rsid w:val="00FF486A"/>
    <w:rsid w:val="00FF4E8D"/>
    <w:rsid w:val="00FF5541"/>
    <w:rsid w:val="00FF5AD7"/>
    <w:rsid w:val="00FF5B9A"/>
    <w:rsid w:val="00FF5BE5"/>
    <w:rsid w:val="00FF612D"/>
    <w:rsid w:val="00FF61BF"/>
    <w:rsid w:val="00FF630F"/>
    <w:rsid w:val="00FF67D1"/>
    <w:rsid w:val="00FF7957"/>
    <w:rsid w:val="00FF796B"/>
    <w:rsid w:val="00FF7B3E"/>
    <w:rsid w:val="00FF7C46"/>
    <w:rsid w:val="00FF7F13"/>
    <w:rsid w:val="0A703E13"/>
    <w:rsid w:val="0B2631ED"/>
    <w:rsid w:val="28F57AAA"/>
    <w:rsid w:val="607731D6"/>
    <w:rsid w:val="77E44A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qFormat="1"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3"/>
    <w:qFormat/>
    <w:uiPriority w:val="9"/>
    <w:pPr>
      <w:keepNext/>
      <w:keepLines/>
      <w:spacing w:before="50" w:beforeLines="50" w:after="50" w:afterLines="50"/>
      <w:ind w:firstLine="0" w:firstLineChars="0"/>
      <w:jc w:val="left"/>
      <w:outlineLvl w:val="0"/>
    </w:pPr>
    <w:rPr>
      <w:rFonts w:eastAsia="楷体_GB2312"/>
      <w:b/>
      <w:bCs/>
      <w:kern w:val="44"/>
      <w:sz w:val="36"/>
      <w:szCs w:val="44"/>
    </w:rPr>
  </w:style>
  <w:style w:type="paragraph" w:styleId="3">
    <w:name w:val="heading 2"/>
    <w:basedOn w:val="1"/>
    <w:next w:val="1"/>
    <w:link w:val="32"/>
    <w:unhideWhenUsed/>
    <w:qFormat/>
    <w:uiPriority w:val="9"/>
    <w:pPr>
      <w:keepNext/>
      <w:keepLines/>
      <w:spacing w:before="50" w:beforeLines="50" w:after="50" w:afterLines="50"/>
      <w:ind w:firstLine="0" w:firstLineChars="0"/>
      <w:jc w:val="left"/>
      <w:outlineLvl w:val="1"/>
    </w:pPr>
    <w:rPr>
      <w:rFonts w:eastAsia="华文楷体" w:cstheme="majorBidi"/>
      <w:b/>
      <w:bCs/>
      <w:sz w:val="32"/>
      <w:szCs w:val="32"/>
    </w:rPr>
  </w:style>
  <w:style w:type="paragraph" w:styleId="4">
    <w:name w:val="heading 3"/>
    <w:basedOn w:val="1"/>
    <w:next w:val="1"/>
    <w:link w:val="4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link w:val="56"/>
    <w:unhideWhenUsed/>
    <w:qFormat/>
    <w:uiPriority w:val="0"/>
    <w:pPr>
      <w:jc w:val="left"/>
    </w:pPr>
  </w:style>
  <w:style w:type="paragraph" w:styleId="7">
    <w:name w:val="Body Text"/>
    <w:basedOn w:val="1"/>
    <w:link w:val="73"/>
    <w:semiHidden/>
    <w:unhideWhenUsed/>
    <w:qFormat/>
    <w:uiPriority w:val="99"/>
    <w:pPr>
      <w:spacing w:after="120"/>
    </w:pPr>
  </w:style>
  <w:style w:type="paragraph" w:styleId="8">
    <w:name w:val="Body Text Indent"/>
    <w:basedOn w:val="1"/>
    <w:link w:val="79"/>
    <w:semiHidden/>
    <w:unhideWhenUsed/>
    <w:qFormat/>
    <w:uiPriority w:val="99"/>
    <w:pPr>
      <w:spacing w:after="120"/>
      <w:ind w:left="420" w:leftChars="200"/>
    </w:pPr>
  </w:style>
  <w:style w:type="paragraph" w:styleId="9">
    <w:name w:val="toc 3"/>
    <w:basedOn w:val="1"/>
    <w:next w:val="1"/>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rPr>
  </w:style>
  <w:style w:type="paragraph" w:styleId="10">
    <w:name w:val="Date"/>
    <w:basedOn w:val="1"/>
    <w:next w:val="1"/>
    <w:link w:val="75"/>
    <w:semiHidden/>
    <w:unhideWhenUsed/>
    <w:qFormat/>
    <w:uiPriority w:val="99"/>
    <w:pPr>
      <w:ind w:left="100" w:leftChars="2500"/>
    </w:pPr>
  </w:style>
  <w:style w:type="paragraph" w:styleId="11">
    <w:name w:val="endnote text"/>
    <w:basedOn w:val="1"/>
    <w:link w:val="50"/>
    <w:unhideWhenUsed/>
    <w:qFormat/>
    <w:uiPriority w:val="99"/>
    <w:pPr>
      <w:snapToGrid w:val="0"/>
      <w:jc w:val="left"/>
    </w:p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834"/>
      </w:tabs>
      <w:ind w:firstLine="115" w:firstLineChars="55"/>
      <w:jc w:val="left"/>
    </w:pPr>
  </w:style>
  <w:style w:type="paragraph" w:styleId="15">
    <w:name w:val="Subtitle"/>
    <w:basedOn w:val="1"/>
    <w:next w:val="1"/>
    <w:link w:val="71"/>
    <w:qFormat/>
    <w:uiPriority w:val="11"/>
    <w:pPr>
      <w:spacing w:line="240" w:lineRule="auto"/>
      <w:ind w:firstLine="0" w:firstLineChars="0"/>
      <w:jc w:val="center"/>
    </w:pPr>
    <w:rPr>
      <w:bCs/>
      <w:kern w:val="28"/>
      <w:sz w:val="21"/>
      <w:szCs w:val="32"/>
    </w:rPr>
  </w:style>
  <w:style w:type="paragraph" w:styleId="16">
    <w:name w:val="toc 2"/>
    <w:basedOn w:val="1"/>
    <w:next w:val="1"/>
    <w:unhideWhenUsed/>
    <w:qFormat/>
    <w:uiPriority w:val="39"/>
    <w:pPr>
      <w:widowControl/>
      <w:spacing w:after="100" w:line="259" w:lineRule="auto"/>
      <w:ind w:left="220" w:firstLine="0" w:firstLineChars="0"/>
      <w:jc w:val="left"/>
    </w:pPr>
    <w:rPr>
      <w:rFonts w:cs="Times New Roman" w:asciiTheme="minorHAnsi" w:hAnsiTheme="minorHAnsi" w:eastAsiaTheme="minorEastAsia"/>
      <w:kern w:val="0"/>
      <w:sz w:val="22"/>
    </w:rPr>
  </w:style>
  <w:style w:type="paragraph" w:styleId="17">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18">
    <w:name w:val="annotation subject"/>
    <w:basedOn w:val="6"/>
    <w:next w:val="6"/>
    <w:link w:val="57"/>
    <w:semiHidden/>
    <w:unhideWhenUsed/>
    <w:qFormat/>
    <w:uiPriority w:val="99"/>
    <w:rPr>
      <w:b/>
      <w:bCs/>
    </w:rPr>
  </w:style>
  <w:style w:type="paragraph" w:styleId="19">
    <w:name w:val="Body Text First Indent 2"/>
    <w:basedOn w:val="8"/>
    <w:link w:val="80"/>
    <w:semiHidden/>
    <w:unhideWhenUsed/>
    <w:qFormat/>
    <w:uiPriority w:val="99"/>
    <w:pPr>
      <w:ind w:firstLine="42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endnote reference"/>
    <w:basedOn w:val="22"/>
    <w:semiHidden/>
    <w:unhideWhenUsed/>
    <w:qFormat/>
    <w:uiPriority w:val="99"/>
    <w:rPr>
      <w:vertAlign w:val="superscript"/>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unhideWhenUsed/>
    <w:qFormat/>
    <w:uiPriority w:val="0"/>
    <w:rPr>
      <w:sz w:val="21"/>
      <w:szCs w:val="21"/>
    </w:rPr>
  </w:style>
  <w:style w:type="character" w:customStyle="1" w:styleId="26">
    <w:name w:val="页眉 字符"/>
    <w:basedOn w:val="22"/>
    <w:link w:val="13"/>
    <w:qFormat/>
    <w:uiPriority w:val="99"/>
    <w:rPr>
      <w:sz w:val="18"/>
      <w:szCs w:val="18"/>
    </w:rPr>
  </w:style>
  <w:style w:type="character" w:customStyle="1" w:styleId="27">
    <w:name w:val="页脚 字符"/>
    <w:basedOn w:val="22"/>
    <w:link w:val="12"/>
    <w:qFormat/>
    <w:uiPriority w:val="99"/>
    <w:rPr>
      <w:sz w:val="18"/>
      <w:szCs w:val="18"/>
    </w:rPr>
  </w:style>
  <w:style w:type="paragraph" w:customStyle="1" w:styleId="28">
    <w:name w:val="表名"/>
    <w:basedOn w:val="1"/>
    <w:next w:val="29"/>
    <w:link w:val="30"/>
    <w:qFormat/>
    <w:uiPriority w:val="0"/>
    <w:pPr>
      <w:spacing w:before="50" w:beforeLines="50" w:line="240" w:lineRule="auto"/>
      <w:ind w:firstLine="0" w:firstLineChars="0"/>
      <w:jc w:val="center"/>
    </w:pPr>
    <w:rPr>
      <w:b/>
      <w:sz w:val="21"/>
    </w:rPr>
  </w:style>
  <w:style w:type="paragraph" w:customStyle="1" w:styleId="29">
    <w:name w:val="表格"/>
    <w:basedOn w:val="1"/>
    <w:link w:val="31"/>
    <w:qFormat/>
    <w:uiPriority w:val="0"/>
    <w:pPr>
      <w:spacing w:line="240" w:lineRule="auto"/>
      <w:ind w:firstLine="0" w:firstLineChars="0"/>
      <w:jc w:val="center"/>
    </w:pPr>
    <w:rPr>
      <w:sz w:val="21"/>
    </w:rPr>
  </w:style>
  <w:style w:type="character" w:customStyle="1" w:styleId="30">
    <w:name w:val="表名 字符"/>
    <w:basedOn w:val="22"/>
    <w:link w:val="28"/>
    <w:qFormat/>
    <w:uiPriority w:val="0"/>
    <w:rPr>
      <w:rFonts w:ascii="Times New Roman" w:hAnsi="Times New Roman" w:eastAsia="宋体"/>
      <w:b/>
    </w:rPr>
  </w:style>
  <w:style w:type="character" w:customStyle="1" w:styleId="31">
    <w:name w:val="表格 字符"/>
    <w:basedOn w:val="22"/>
    <w:link w:val="29"/>
    <w:qFormat/>
    <w:uiPriority w:val="0"/>
    <w:rPr>
      <w:rFonts w:ascii="Times New Roman" w:hAnsi="Times New Roman" w:eastAsia="宋体"/>
    </w:rPr>
  </w:style>
  <w:style w:type="character" w:customStyle="1" w:styleId="32">
    <w:name w:val="标题 2 字符"/>
    <w:basedOn w:val="22"/>
    <w:link w:val="3"/>
    <w:qFormat/>
    <w:uiPriority w:val="9"/>
    <w:rPr>
      <w:rFonts w:ascii="Times New Roman" w:hAnsi="Times New Roman" w:eastAsia="华文楷体" w:cstheme="majorBidi"/>
      <w:b/>
      <w:bCs/>
      <w:sz w:val="32"/>
      <w:szCs w:val="32"/>
    </w:rPr>
  </w:style>
  <w:style w:type="character" w:customStyle="1" w:styleId="33">
    <w:name w:val="标题 1 字符"/>
    <w:basedOn w:val="22"/>
    <w:link w:val="2"/>
    <w:qFormat/>
    <w:uiPriority w:val="9"/>
    <w:rPr>
      <w:rFonts w:ascii="Times New Roman" w:hAnsi="Times New Roman" w:eastAsia="楷体_GB2312"/>
      <w:b/>
      <w:bCs/>
      <w:kern w:val="44"/>
      <w:sz w:val="36"/>
      <w:szCs w:val="44"/>
    </w:rPr>
  </w:style>
  <w:style w:type="paragraph" w:customStyle="1" w:styleId="34">
    <w:name w:val="标题1"/>
    <w:basedOn w:val="1"/>
    <w:next w:val="1"/>
    <w:link w:val="36"/>
    <w:qFormat/>
    <w:uiPriority w:val="0"/>
    <w:pPr>
      <w:spacing w:before="50" w:beforeLines="50" w:after="50" w:afterLines="50"/>
      <w:ind w:firstLine="0" w:firstLineChars="0"/>
    </w:pPr>
    <w:rPr>
      <w:rFonts w:eastAsia="楷体_GB2312"/>
      <w:b/>
      <w:sz w:val="36"/>
    </w:rPr>
  </w:style>
  <w:style w:type="paragraph" w:customStyle="1" w:styleId="35">
    <w:name w:val="标题2"/>
    <w:basedOn w:val="1"/>
    <w:next w:val="1"/>
    <w:link w:val="38"/>
    <w:qFormat/>
    <w:uiPriority w:val="0"/>
    <w:pPr>
      <w:spacing w:before="50" w:beforeLines="50" w:after="50" w:afterLines="50"/>
      <w:ind w:firstLine="0" w:firstLineChars="0"/>
    </w:pPr>
    <w:rPr>
      <w:rFonts w:eastAsia="华文楷体"/>
      <w:b/>
      <w:sz w:val="32"/>
    </w:rPr>
  </w:style>
  <w:style w:type="character" w:customStyle="1" w:styleId="36">
    <w:name w:val="标题1 字符"/>
    <w:basedOn w:val="32"/>
    <w:link w:val="34"/>
    <w:qFormat/>
    <w:uiPriority w:val="0"/>
    <w:rPr>
      <w:rFonts w:ascii="Times New Roman" w:hAnsi="Times New Roman" w:eastAsia="楷体_GB2312" w:cstheme="majorBidi"/>
      <w:bCs w:val="0"/>
      <w:sz w:val="36"/>
      <w:szCs w:val="32"/>
    </w:rPr>
  </w:style>
  <w:style w:type="paragraph" w:customStyle="1" w:styleId="37">
    <w:name w:val="标题3"/>
    <w:basedOn w:val="1"/>
    <w:next w:val="1"/>
    <w:link w:val="40"/>
    <w:qFormat/>
    <w:uiPriority w:val="0"/>
    <w:pPr>
      <w:spacing w:before="50" w:beforeLines="50" w:after="50" w:afterLines="50"/>
      <w:ind w:firstLine="0" w:firstLineChars="0"/>
    </w:pPr>
    <w:rPr>
      <w:b/>
      <w:sz w:val="28"/>
    </w:rPr>
  </w:style>
  <w:style w:type="character" w:customStyle="1" w:styleId="38">
    <w:name w:val="标题2 字符"/>
    <w:basedOn w:val="22"/>
    <w:link w:val="35"/>
    <w:qFormat/>
    <w:uiPriority w:val="0"/>
    <w:rPr>
      <w:rFonts w:ascii="Times New Roman" w:hAnsi="Times New Roman" w:eastAsia="华文楷体"/>
      <w:b/>
      <w:sz w:val="32"/>
    </w:rPr>
  </w:style>
  <w:style w:type="paragraph" w:customStyle="1" w:styleId="39">
    <w:name w:val="标题4"/>
    <w:basedOn w:val="1"/>
    <w:next w:val="1"/>
    <w:link w:val="42"/>
    <w:qFormat/>
    <w:uiPriority w:val="0"/>
    <w:pPr>
      <w:spacing w:before="50" w:beforeLines="50" w:after="50" w:afterLines="50"/>
      <w:ind w:firstLine="0" w:firstLineChars="0"/>
    </w:pPr>
    <w:rPr>
      <w:b/>
    </w:rPr>
  </w:style>
  <w:style w:type="character" w:customStyle="1" w:styleId="40">
    <w:name w:val="标题3 字符"/>
    <w:basedOn w:val="38"/>
    <w:link w:val="37"/>
    <w:qFormat/>
    <w:uiPriority w:val="0"/>
    <w:rPr>
      <w:rFonts w:ascii="Times New Roman" w:hAnsi="Times New Roman" w:eastAsia="宋体"/>
      <w:sz w:val="28"/>
    </w:rPr>
  </w:style>
  <w:style w:type="paragraph" w:customStyle="1" w:styleId="41">
    <w:name w:val="图名"/>
    <w:basedOn w:val="1"/>
    <w:next w:val="1"/>
    <w:link w:val="44"/>
    <w:qFormat/>
    <w:uiPriority w:val="0"/>
    <w:pPr>
      <w:spacing w:after="50" w:afterLines="50" w:line="240" w:lineRule="auto"/>
      <w:ind w:firstLine="0" w:firstLineChars="0"/>
      <w:jc w:val="center"/>
    </w:pPr>
    <w:rPr>
      <w:b/>
      <w:sz w:val="21"/>
    </w:rPr>
  </w:style>
  <w:style w:type="character" w:customStyle="1" w:styleId="42">
    <w:name w:val="标题4 字符"/>
    <w:basedOn w:val="40"/>
    <w:link w:val="39"/>
    <w:qFormat/>
    <w:uiPriority w:val="0"/>
    <w:rPr>
      <w:rFonts w:ascii="Times New Roman" w:hAnsi="Times New Roman" w:eastAsia="宋体"/>
      <w:sz w:val="24"/>
    </w:rPr>
  </w:style>
  <w:style w:type="paragraph" w:customStyle="1" w:styleId="43">
    <w:name w:val="图形"/>
    <w:basedOn w:val="1"/>
    <w:next w:val="1"/>
    <w:link w:val="45"/>
    <w:qFormat/>
    <w:uiPriority w:val="0"/>
    <w:pPr>
      <w:spacing w:line="240" w:lineRule="auto"/>
      <w:ind w:firstLine="0" w:firstLineChars="0"/>
    </w:pPr>
    <w:rPr>
      <w:sz w:val="21"/>
    </w:rPr>
  </w:style>
  <w:style w:type="character" w:customStyle="1" w:styleId="44">
    <w:name w:val="图名 字符"/>
    <w:basedOn w:val="30"/>
    <w:link w:val="41"/>
    <w:qFormat/>
    <w:uiPriority w:val="0"/>
    <w:rPr>
      <w:rFonts w:ascii="Times New Roman" w:hAnsi="Times New Roman" w:eastAsia="宋体"/>
    </w:rPr>
  </w:style>
  <w:style w:type="character" w:customStyle="1" w:styleId="45">
    <w:name w:val="图形 字符"/>
    <w:basedOn w:val="44"/>
    <w:link w:val="43"/>
    <w:qFormat/>
    <w:uiPriority w:val="0"/>
    <w:rPr>
      <w:rFonts w:ascii="Times New Roman" w:hAnsi="Times New Roman" w:eastAsia="宋体"/>
      <w:b w:val="0"/>
    </w:rPr>
  </w:style>
  <w:style w:type="character" w:customStyle="1" w:styleId="46">
    <w:name w:val="标题 4 字符"/>
    <w:basedOn w:val="22"/>
    <w:link w:val="5"/>
    <w:semiHidden/>
    <w:qFormat/>
    <w:uiPriority w:val="9"/>
    <w:rPr>
      <w:rFonts w:asciiTheme="majorHAnsi" w:hAnsiTheme="majorHAnsi" w:eastAsiaTheme="majorEastAsia" w:cstheme="majorBidi"/>
      <w:b/>
      <w:bCs/>
      <w:sz w:val="28"/>
      <w:szCs w:val="28"/>
    </w:rPr>
  </w:style>
  <w:style w:type="character" w:customStyle="1" w:styleId="47">
    <w:name w:val="标题 3 字符"/>
    <w:basedOn w:val="22"/>
    <w:link w:val="4"/>
    <w:qFormat/>
    <w:uiPriority w:val="9"/>
    <w:rPr>
      <w:rFonts w:ascii="Times New Roman" w:hAnsi="Times New Roman" w:eastAsia="宋体"/>
      <w:b/>
      <w:bCs/>
      <w:sz w:val="32"/>
      <w:szCs w:val="32"/>
    </w:rPr>
  </w:style>
  <w:style w:type="table" w:customStyle="1" w:styleId="48">
    <w:name w:val="Table Normal"/>
    <w:semiHidden/>
    <w:unhideWhenUsed/>
    <w:qFormat/>
    <w:uiPriority w:val="2"/>
    <w:pPr>
      <w:autoSpaceDE w:val="0"/>
      <w:autoSpaceDN w:val="0"/>
      <w:jc w:val="left"/>
    </w:pPr>
    <w:rPr>
      <w:kern w:val="0"/>
      <w:sz w:val="22"/>
      <w:lang w:eastAsia="en-US"/>
    </w:rPr>
    <w:tblPr>
      <w:tblLayout w:type="fixed"/>
      <w:tblCellMar>
        <w:top w:w="0" w:type="dxa"/>
        <w:left w:w="0" w:type="dxa"/>
        <w:bottom w:w="0" w:type="dxa"/>
        <w:right w:w="0" w:type="dxa"/>
      </w:tblCellMar>
    </w:tblPr>
  </w:style>
  <w:style w:type="paragraph" w:customStyle="1" w:styleId="49">
    <w:name w:val="Default"/>
    <w:qFormat/>
    <w:uiPriority w:val="0"/>
    <w:pPr>
      <w:widowControl w:val="0"/>
      <w:autoSpaceDE w:val="0"/>
      <w:autoSpaceDN w:val="0"/>
      <w:adjustRightInd w:val="0"/>
      <w:jc w:val="left"/>
    </w:pPr>
    <w:rPr>
      <w:rFonts w:ascii="Times New Roman" w:hAnsi="Times New Roman" w:cs="Times New Roman" w:eastAsiaTheme="minorEastAsia"/>
      <w:color w:val="000000"/>
      <w:kern w:val="0"/>
      <w:sz w:val="24"/>
      <w:szCs w:val="24"/>
      <w:lang w:val="en-US" w:eastAsia="zh-CN" w:bidi="ar-SA"/>
    </w:rPr>
  </w:style>
  <w:style w:type="character" w:customStyle="1" w:styleId="50">
    <w:name w:val="尾注文本 字符"/>
    <w:basedOn w:val="22"/>
    <w:link w:val="11"/>
    <w:semiHidden/>
    <w:qFormat/>
    <w:uiPriority w:val="99"/>
    <w:rPr>
      <w:rFonts w:ascii="Times New Roman" w:hAnsi="Times New Roman" w:eastAsia="宋体"/>
      <w:sz w:val="24"/>
    </w:rPr>
  </w:style>
  <w:style w:type="paragraph" w:customStyle="1" w:styleId="51">
    <w:name w:val="1-表中文字"/>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character" w:customStyle="1" w:styleId="52">
    <w:name w:val="表格 Char"/>
    <w:basedOn w:val="22"/>
    <w:qFormat/>
    <w:uiPriority w:val="0"/>
    <w:rPr>
      <w:rFonts w:ascii="Times New Roman" w:hAnsi="Times New Roman" w:eastAsia="宋体"/>
    </w:rPr>
  </w:style>
  <w:style w:type="character" w:styleId="53">
    <w:name w:val="Placeholder Text"/>
    <w:basedOn w:val="22"/>
    <w:semiHidden/>
    <w:qFormat/>
    <w:uiPriority w:val="99"/>
    <w:rPr>
      <w:color w:val="808080"/>
    </w:rPr>
  </w:style>
  <w:style w:type="paragraph" w:customStyle="1" w:styleId="54">
    <w:name w:val="bceer正文"/>
    <w:basedOn w:val="1"/>
    <w:link w:val="55"/>
    <w:qFormat/>
    <w:uiPriority w:val="0"/>
    <w:rPr>
      <w:rFonts w:ascii="Arial" w:hAnsi="Arial"/>
      <w:szCs w:val="21"/>
    </w:rPr>
  </w:style>
  <w:style w:type="character" w:customStyle="1" w:styleId="55">
    <w:name w:val="bceer正文 字符"/>
    <w:basedOn w:val="22"/>
    <w:link w:val="54"/>
    <w:qFormat/>
    <w:uiPriority w:val="0"/>
    <w:rPr>
      <w:rFonts w:ascii="Arial" w:hAnsi="Arial" w:eastAsia="宋体"/>
      <w:sz w:val="24"/>
      <w:szCs w:val="21"/>
    </w:rPr>
  </w:style>
  <w:style w:type="character" w:customStyle="1" w:styleId="56">
    <w:name w:val="批注文字 字符"/>
    <w:basedOn w:val="22"/>
    <w:link w:val="6"/>
    <w:qFormat/>
    <w:uiPriority w:val="0"/>
    <w:rPr>
      <w:rFonts w:ascii="Times New Roman" w:hAnsi="Times New Roman" w:eastAsia="宋体"/>
      <w:sz w:val="24"/>
    </w:rPr>
  </w:style>
  <w:style w:type="character" w:customStyle="1" w:styleId="57">
    <w:name w:val="批注主题 字符"/>
    <w:basedOn w:val="56"/>
    <w:link w:val="18"/>
    <w:semiHidden/>
    <w:qFormat/>
    <w:uiPriority w:val="99"/>
    <w:rPr>
      <w:rFonts w:ascii="Times New Roman" w:hAnsi="Times New Roman" w:eastAsia="宋体"/>
      <w:b/>
      <w:bCs/>
      <w:sz w:val="24"/>
    </w:rPr>
  </w:style>
  <w:style w:type="paragraph" w:customStyle="1" w:styleId="58">
    <w:name w:val="正正文"/>
    <w:basedOn w:val="1"/>
    <w:qFormat/>
    <w:uiPriority w:val="0"/>
    <w:pPr>
      <w:adjustRightInd w:val="0"/>
      <w:jc w:val="left"/>
      <w:textAlignment w:val="baseline"/>
    </w:pPr>
    <w:rPr>
      <w:rFonts w:cs="仿宋_GB2312"/>
      <w:kern w:val="0"/>
      <w:szCs w:val="20"/>
    </w:rPr>
  </w:style>
  <w:style w:type="paragraph" w:customStyle="1" w:styleId="59">
    <w:name w:val="正文啊"/>
    <w:basedOn w:val="60"/>
    <w:link w:val="61"/>
    <w:qFormat/>
    <w:uiPriority w:val="0"/>
    <w:pPr>
      <w:spacing w:line="360" w:lineRule="auto"/>
    </w:pPr>
    <w:rPr>
      <w:rFonts w:cs="Times New Roman"/>
    </w:rPr>
  </w:style>
  <w:style w:type="paragraph" w:styleId="60">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character" w:customStyle="1" w:styleId="61">
    <w:name w:val="正文啊 字符"/>
    <w:basedOn w:val="22"/>
    <w:link w:val="59"/>
    <w:qFormat/>
    <w:uiPriority w:val="0"/>
    <w:rPr>
      <w:rFonts w:ascii="Times New Roman" w:hAnsi="Times New Roman" w:eastAsia="宋体" w:cs="Times New Roman"/>
      <w:sz w:val="24"/>
    </w:rPr>
  </w:style>
  <w:style w:type="paragraph" w:customStyle="1" w:styleId="62">
    <w:name w:val="表格样"/>
    <w:basedOn w:val="1"/>
    <w:link w:val="63"/>
    <w:qFormat/>
    <w:uiPriority w:val="0"/>
    <w:pPr>
      <w:widowControl/>
      <w:spacing w:line="240" w:lineRule="auto"/>
      <w:ind w:firstLine="0" w:firstLineChars="0"/>
      <w:jc w:val="center"/>
    </w:pPr>
    <w:rPr>
      <w:rFonts w:cs="Times New Roman"/>
      <w:kern w:val="0"/>
      <w:szCs w:val="21"/>
    </w:rPr>
  </w:style>
  <w:style w:type="character" w:customStyle="1" w:styleId="63">
    <w:name w:val="表格样 字符"/>
    <w:basedOn w:val="22"/>
    <w:link w:val="62"/>
    <w:qFormat/>
    <w:uiPriority w:val="0"/>
    <w:rPr>
      <w:rFonts w:ascii="Times New Roman" w:hAnsi="Times New Roman" w:eastAsia="宋体" w:cs="Times New Roman"/>
      <w:kern w:val="0"/>
      <w:sz w:val="24"/>
      <w:szCs w:val="21"/>
    </w:rPr>
  </w:style>
  <w:style w:type="paragraph" w:customStyle="1" w:styleId="64">
    <w:name w:val="（一）表文"/>
    <w:link w:val="65"/>
    <w:qFormat/>
    <w:uiPriority w:val="0"/>
    <w:pPr>
      <w:widowControl/>
      <w:jc w:val="center"/>
    </w:pPr>
    <w:rPr>
      <w:rFonts w:ascii="Times New Roman" w:hAnsi="Times New Roman" w:eastAsia="宋体" w:cs="Times New Roman"/>
      <w:color w:val="000000"/>
      <w:kern w:val="2"/>
      <w:sz w:val="21"/>
      <w:szCs w:val="21"/>
      <w:lang w:val="en-US" w:eastAsia="zh-CN" w:bidi="ar-SA"/>
    </w:rPr>
  </w:style>
  <w:style w:type="character" w:customStyle="1" w:styleId="65">
    <w:name w:val="（一）表文 Char"/>
    <w:link w:val="64"/>
    <w:qFormat/>
    <w:uiPriority w:val="0"/>
    <w:rPr>
      <w:rFonts w:ascii="Times New Roman" w:hAnsi="Times New Roman" w:eastAsia="宋体" w:cs="Times New Roman"/>
      <w:color w:val="000000"/>
      <w:szCs w:val="21"/>
    </w:rPr>
  </w:style>
  <w:style w:type="character" w:customStyle="1" w:styleId="66">
    <w:name w:val="Unresolved Mention"/>
    <w:basedOn w:val="22"/>
    <w:semiHidden/>
    <w:unhideWhenUsed/>
    <w:qFormat/>
    <w:uiPriority w:val="99"/>
    <w:rPr>
      <w:color w:val="605E5C"/>
      <w:shd w:val="clear" w:color="auto" w:fill="E1DFDD"/>
    </w:rPr>
  </w:style>
  <w:style w:type="paragraph" w:customStyle="1" w:styleId="67">
    <w:name w:val="TOC Heading"/>
    <w:basedOn w:val="2"/>
    <w:next w:val="1"/>
    <w:unhideWhenUsed/>
    <w:qFormat/>
    <w:uiPriority w:val="39"/>
    <w:pPr>
      <w:widowControl/>
      <w:spacing w:before="240" w:beforeLines="0" w:after="0" w:after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68">
    <w:name w:val="01MG表格样式"/>
    <w:basedOn w:val="20"/>
    <w:qFormat/>
    <w:uiPriority w:val="99"/>
    <w:pPr>
      <w:widowControl/>
      <w:jc w:val="left"/>
    </w:pPr>
    <w:rPr>
      <w:rFonts w:ascii="Times New Roman" w:hAnsi="Times New Roman" w:eastAsia="宋体" w:cs="Times New Roman"/>
      <w:kern w:val="0"/>
      <w:szCs w:val="20"/>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
    <w:trPr>
      <w:jc w:val="center"/>
    </w:trPr>
    <w:tcPr>
      <w:vAlign w:val="center"/>
    </w:tcPr>
    <w:tblStylePr w:type="firstRow">
      <w:pPr>
        <w:jc w:val="center"/>
      </w:pPr>
      <w:rPr>
        <w:rFonts w:ascii="Times New Roman" w:hAnsi="Times New Roman" w:eastAsia="宋体"/>
        <w:b/>
        <w:sz w:val="21"/>
      </w:rPr>
      <w:tblPr>
        <w:tblLayout w:type="fixed"/>
      </w:tblPr>
      <w:trPr>
        <w:tblHeader/>
      </w:trPr>
      <w:tcPr>
        <w:shd w:val="clear" w:color="auto" w:fill="BDD6EE" w:themeFill="accent5" w:themeFillTint="66"/>
      </w:tcPr>
    </w:tblStylePr>
  </w:style>
  <w:style w:type="paragraph" w:customStyle="1" w:styleId="69">
    <w:name w:val="7MG表文字"/>
    <w:link w:val="70"/>
    <w:qFormat/>
    <w:uiPriority w:val="0"/>
    <w:pPr>
      <w:widowControl w:val="0"/>
      <w:jc w:val="center"/>
    </w:pPr>
    <w:rPr>
      <w:rFonts w:ascii="Times New Roman" w:hAnsi="Times New Roman" w:eastAsia="宋体" w:cs="Times New Roman"/>
      <w:kern w:val="0"/>
      <w:sz w:val="21"/>
      <w:szCs w:val="20"/>
      <w:lang w:val="en-US" w:eastAsia="zh-CN" w:bidi="ar-SA"/>
    </w:rPr>
  </w:style>
  <w:style w:type="character" w:customStyle="1" w:styleId="70">
    <w:name w:val="7MG表文字 字符"/>
    <w:link w:val="69"/>
    <w:qFormat/>
    <w:uiPriority w:val="0"/>
    <w:rPr>
      <w:rFonts w:ascii="Times New Roman" w:hAnsi="Times New Roman" w:eastAsia="宋体" w:cs="Times New Roman"/>
      <w:kern w:val="0"/>
      <w:szCs w:val="20"/>
    </w:rPr>
  </w:style>
  <w:style w:type="character" w:customStyle="1" w:styleId="71">
    <w:name w:val="副标题 字符"/>
    <w:basedOn w:val="22"/>
    <w:link w:val="15"/>
    <w:qFormat/>
    <w:uiPriority w:val="11"/>
    <w:rPr>
      <w:rFonts w:ascii="Times New Roman" w:hAnsi="Times New Roman" w:eastAsia="宋体"/>
      <w:bCs/>
      <w:kern w:val="28"/>
      <w:szCs w:val="32"/>
    </w:rPr>
  </w:style>
  <w:style w:type="paragraph" w:styleId="72">
    <w:name w:val="List Paragraph"/>
    <w:basedOn w:val="1"/>
    <w:qFormat/>
    <w:uiPriority w:val="34"/>
    <w:pPr>
      <w:ind w:firstLine="420"/>
    </w:pPr>
  </w:style>
  <w:style w:type="character" w:customStyle="1" w:styleId="73">
    <w:name w:val="正文文本 字符"/>
    <w:basedOn w:val="22"/>
    <w:link w:val="7"/>
    <w:semiHidden/>
    <w:qFormat/>
    <w:uiPriority w:val="99"/>
    <w:rPr>
      <w:rFonts w:ascii="Times New Roman" w:hAnsi="Times New Roman" w:eastAsia="宋体"/>
      <w:sz w:val="24"/>
    </w:rPr>
  </w:style>
  <w:style w:type="table" w:customStyle="1" w:styleId="74">
    <w:name w:val="表格样式1"/>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5">
    <w:name w:val="日期 字符"/>
    <w:basedOn w:val="22"/>
    <w:link w:val="10"/>
    <w:semiHidden/>
    <w:qFormat/>
    <w:uiPriority w:val="99"/>
    <w:rPr>
      <w:rFonts w:ascii="Times New Roman" w:hAnsi="Times New Roman" w:eastAsia="宋体"/>
      <w:sz w:val="24"/>
    </w:rPr>
  </w:style>
  <w:style w:type="paragraph" w:customStyle="1" w:styleId="76">
    <w:name w:val="正文1"/>
    <w:qFormat/>
    <w:uiPriority w:val="0"/>
    <w:pPr>
      <w:widowControl/>
      <w:jc w:val="both"/>
    </w:pPr>
    <w:rPr>
      <w:rFonts w:ascii="Times New Roman" w:hAnsi="Times New Roman" w:eastAsia="宋体" w:cs="Times New Roman"/>
      <w:kern w:val="2"/>
      <w:sz w:val="21"/>
      <w:szCs w:val="21"/>
      <w:lang w:val="en-US" w:eastAsia="zh-CN" w:bidi="ar-SA"/>
    </w:rPr>
  </w:style>
  <w:style w:type="paragraph" w:customStyle="1" w:styleId="77">
    <w:name w:val="XG表文"/>
    <w:basedOn w:val="1"/>
    <w:link w:val="78"/>
    <w:qFormat/>
    <w:uiPriority w:val="0"/>
    <w:pPr>
      <w:snapToGrid w:val="0"/>
      <w:spacing w:line="240" w:lineRule="auto"/>
      <w:ind w:firstLine="0" w:firstLineChars="0"/>
      <w:jc w:val="center"/>
    </w:pPr>
    <w:rPr>
      <w:sz w:val="21"/>
      <w:szCs w:val="21"/>
    </w:rPr>
  </w:style>
  <w:style w:type="character" w:customStyle="1" w:styleId="78">
    <w:name w:val="XG表文 字符"/>
    <w:basedOn w:val="22"/>
    <w:link w:val="77"/>
    <w:qFormat/>
    <w:uiPriority w:val="0"/>
    <w:rPr>
      <w:rFonts w:ascii="Times New Roman" w:hAnsi="Times New Roman" w:eastAsia="宋体"/>
      <w:szCs w:val="21"/>
    </w:rPr>
  </w:style>
  <w:style w:type="character" w:customStyle="1" w:styleId="79">
    <w:name w:val="正文文本缩进 字符"/>
    <w:basedOn w:val="22"/>
    <w:link w:val="8"/>
    <w:semiHidden/>
    <w:qFormat/>
    <w:uiPriority w:val="99"/>
    <w:rPr>
      <w:rFonts w:ascii="Times New Roman" w:hAnsi="Times New Roman" w:eastAsia="宋体"/>
      <w:sz w:val="24"/>
    </w:rPr>
  </w:style>
  <w:style w:type="character" w:customStyle="1" w:styleId="80">
    <w:name w:val="正文文本首行缩进 2 字符"/>
    <w:basedOn w:val="79"/>
    <w:link w:val="19"/>
    <w:semiHidden/>
    <w:qFormat/>
    <w:uiPriority w:val="99"/>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2.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3EF1B-0F78-43B9-B974-F3ED24ADE6D6}">
  <ds:schemaRefs/>
</ds:datastoreItem>
</file>

<file path=docProps/app.xml><?xml version="1.0" encoding="utf-8"?>
<Properties xmlns="http://schemas.openxmlformats.org/officeDocument/2006/extended-properties" xmlns:vt="http://schemas.openxmlformats.org/officeDocument/2006/docPropsVTypes">
  <Template>Normal</Template>
  <Pages>145</Pages>
  <Words>15999</Words>
  <Characters>91197</Characters>
  <Lines>759</Lines>
  <Paragraphs>213</Paragraphs>
  <TotalTime>42</TotalTime>
  <ScaleCrop>false</ScaleCrop>
  <LinksUpToDate>false</LinksUpToDate>
  <CharactersWithSpaces>106983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2023-05-08T06:38:00Z</dcterms:created>
  <dc:creator>xgg</dc:creator>
  <cp:lastModifiedBy>Administrator</cp:lastModifiedBy>
  <cp:lastPrinted>2023-11-10T07:04:00Z</cp:lastPrinted>
  <dcterms:modified xsi:type="dcterms:W3CDTF">2024-08-08T02:28:46Z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76694CD930684861B800BAA8A002778E</vt:lpwstr>
  </property>
</Properties>
</file>