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trike w:val="0"/>
          <w:dstrike w:val="0"/>
          <w:color w:val="auto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trike w:val="0"/>
          <w:dstrike w:val="0"/>
          <w:color w:val="auto"/>
          <w:sz w:val="44"/>
          <w:szCs w:val="44"/>
          <w:lang w:eastAsia="zh-CN"/>
        </w:rPr>
        <w:t>行政许可事项实施规范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auto"/>
          <w:sz w:val="32"/>
          <w:szCs w:val="32"/>
          <w:lang w:eastAsia="zh-CN"/>
        </w:rPr>
        <w:t>（基本要素）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一、行政许可事项名称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法人或者其他组织需要利用属于国家秘密的基础测绘成果审批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二、主管部门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县自然资源局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三、实施机关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县自然资源局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四、设定和实施依据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《中华人民共和国测绘成果管理条例》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《涉密基础测绘成果提供使用管理办法》（自然资规〔2023〕3号）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五、子项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</w:pP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法人或者其他组织需要利用属于国家秘密的基础测绘成果审批。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1947CF"/>
    <w:rsid w:val="27A36046"/>
    <w:rsid w:val="4A1947CF"/>
    <w:rsid w:val="53600C00"/>
    <w:rsid w:val="572331A2"/>
    <w:rsid w:val="763F90EE"/>
    <w:rsid w:val="77FE2283"/>
    <w:rsid w:val="B27F53EA"/>
    <w:rsid w:val="FBBE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2018-07-12T15:11:00Z</dcterms:created>
  <dc:creator>d</dc:creator>
  <cp:lastModifiedBy>ZCDN</cp:lastModifiedBy>
  <dcterms:modified xsi:type="dcterms:W3CDTF">2023-11-13T02:07:59Z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